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  <w:jc w:val="center"/>
      </w:pPr>
      <w:r>
        <w:rPr>
          <w:rFonts w:ascii="Calibri" w:cs="Calibri" w:eastAsia="Calibri" w:hAnsi="Calibri"/>
          <w:b/>
          <w:bCs/>
          <w:spacing w:val="40"/>
          <w:sz w:val="44"/>
          <w:szCs w:val="44"/>
        </w:rPr>
        <w:t xml:space="preserve">EVAN PARNELL</w:t>
      </w:r>
    </w:p>
    <w:p>
      <w:pPr>
        <w:spacing w:after="20" w:before="0"/>
        <w:jc w:val="center"/>
      </w:pPr>
      <w:r>
        <w:rPr>
          <w:rFonts w:ascii="Calibri" w:cs="Calibri" w:eastAsia="Calibri" w:hAnsi="Calibri"/>
          <w:b/>
          <w:bCs/>
          <w:color w:val="333333"/>
          <w:sz w:val="21"/>
          <w:szCs w:val="21"/>
        </w:rPr>
        <w:t xml:space="preserve">Laboratory Operations Executive  |  Multi-Site Technical Services  |  ISO/IEC 17025</w:t>
      </w:r>
    </w:p>
    <w:p>
      <w:pPr>
        <w:spacing w:after="140" w:before="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Annapolis, Maryland  ·  (443) 294-5481  ·  efparnell@gmail.com  ·  linkedin.com/in/evanparnell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Executive Profile</w:t>
      </w:r>
    </w:p>
    <w:p>
      <w:pPr>
        <w:spacing w:after="90" w:before="0"/>
      </w:pPr>
      <w:r>
        <w:rPr>
          <w:rFonts w:ascii="Calibri" w:cs="Calibri" w:eastAsia="Calibri" w:hAnsi="Calibri"/>
          <w:sz w:val="20"/>
          <w:szCs w:val="20"/>
        </w:rPr>
        <w:t xml:space="preserve">Laboratory operations executive with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14 years in commercial analytical laboratories</w:t>
      </w:r>
      <w:r>
        <w:rPr>
          <w:rFonts w:ascii="Calibri" w:cs="Calibri" w:eastAsia="Calibri" w:hAnsi="Calibri"/>
          <w:sz w:val="20"/>
          <w:szCs w:val="20"/>
        </w:rPr>
        <w:t xml:space="preserve"> — environmental, pharmaceutical and regulated cannabis testing — spanning laboratory startup, ISO/IEC 17025 accreditation, quality-system ownership and multi-site operational leadership.</w:t>
      </w:r>
    </w:p>
    <w:p>
      <w:pPr>
        <w:spacing w:after="40" w:before="0"/>
      </w:pPr>
      <w:r>
        <w:rPr>
          <w:rFonts w:ascii="Calibri" w:cs="Calibri" w:eastAsia="Calibri" w:hAnsi="Calibri"/>
          <w:sz w:val="20"/>
          <w:szCs w:val="20"/>
        </w:rPr>
        <w:t xml:space="preserve">I run the inside of a laboratory: throughput, turnaround, quality discipline, capacity, cost per sample, and the people who deliver it. I have built two laboratories from an empty building through accreditation and commercial operation, rebuilt a quality system after a failed external audit, and doubled the annual volume of a high-throughput laboratory while cutting both turnaround time and turnover. My work is the same in every setting: find the constraint keeping a technically excellent laboratory from performing commercially, then build the operating system that removes it and keeps it removed.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Selected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Grew annual testing volume from ~25,000 to ~47,000 samples</w:t>
      </w:r>
      <w:r>
        <w:rPr>
          <w:rFonts w:ascii="Calibri" w:cs="Calibri" w:eastAsia="Calibri" w:hAnsi="Calibri"/>
          <w:sz w:val="20"/>
          <w:szCs w:val="20"/>
        </w:rPr>
        <w:t xml:space="preserve"> — 27,000 / 33,000 / 39,000 / 47,000 by year — while staff grew from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32 to 45 (+40%)</w:t>
      </w:r>
      <w:r>
        <w:rPr>
          <w:rFonts w:ascii="Calibri" w:cs="Calibri" w:eastAsia="Calibri" w:hAnsi="Calibri"/>
          <w:sz w:val="20"/>
          <w:szCs w:val="20"/>
        </w:rPr>
        <w:t xml:space="preserve">, roughly a third more output per person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Turnaround time reduced from 5 days to 3 days</w:t>
      </w:r>
      <w:r>
        <w:rPr>
          <w:rFonts w:ascii="Calibri" w:cs="Calibri" w:eastAsia="Calibri" w:hAnsi="Calibri"/>
          <w:sz w:val="20"/>
          <w:szCs w:val="20"/>
        </w:rPr>
        <w:t xml:space="preserve"> in a market where clients choose on speed and defensibility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Turnover reduced from 12 departures per year to 4</w:t>
      </w:r>
      <w:r>
        <w:rPr>
          <w:rFonts w:ascii="Calibri" w:cs="Calibri" w:eastAsia="Calibri" w:hAnsi="Calibri"/>
          <w:sz w:val="20"/>
          <w:szCs w:val="20"/>
        </w:rPr>
        <w:t xml:space="preserve"> through a competency-based job leveling framework with published pay bands and skill checklists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Two laboratories accredited to ISO/IEC 17025</w:t>
      </w:r>
      <w:r>
        <w:rPr>
          <w:rFonts w:ascii="Calibri" w:cs="Calibri" w:eastAsia="Calibri" w:hAnsi="Calibri"/>
          <w:sz w:val="20"/>
          <w:szCs w:val="20"/>
        </w:rPr>
        <w:t xml:space="preserve">; one also licensed for DEA controlled substances.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ISO 9001 system</w:t>
      </w:r>
      <w:r>
        <w:rPr>
          <w:rFonts w:ascii="Calibri" w:cs="Calibri" w:eastAsia="Calibri" w:hAnsi="Calibri"/>
          <w:sz w:val="20"/>
          <w:szCs w:val="20"/>
        </w:rPr>
        <w:t xml:space="preserve"> built after an unsuccessful external audit.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Audited dozens of times across three organizations at a ~97% success rate</w:t>
      </w:r>
      <w:r>
        <w:rPr>
          <w:rFonts w:ascii="Calibri" w:cs="Calibri" w:eastAsia="Calibri" w:hAnsi="Calibri"/>
          <w:sz w:val="20"/>
          <w:szCs w:val="20"/>
        </w:rPr>
        <w:t xml:space="preserve"> — A2LA, PJLA, IAS, FDA, DEA and state programs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$1M+ financing secured</w:t>
      </w:r>
      <w:r>
        <w:rPr>
          <w:rFonts w:ascii="Calibri" w:cs="Calibri" w:eastAsia="Calibri" w:hAnsi="Calibri"/>
          <w:sz w:val="20"/>
          <w:szCs w:val="20"/>
        </w:rPr>
        <w:t xml:space="preserve"> for a greenfield laboratory build, carried through construction, validation and launch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Operating costs reduced ~15% while expanding capabilities</w:t>
      </w:r>
      <w:r>
        <w:rPr>
          <w:rFonts w:ascii="Calibri" w:cs="Calibri" w:eastAsia="Calibri" w:hAnsi="Calibri"/>
          <w:sz w:val="20"/>
          <w:szCs w:val="20"/>
        </w:rPr>
        <w:t xml:space="preserve">, and a 30% sales increase with a 40% cost reduction in four months at an earlier laboratory during a leadership transition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Core Competencies</w:t>
      </w:r>
    </w:p>
    <w:p>
      <w:pPr>
        <w:spacing w:after="40" w:before="0"/>
      </w:pPr>
      <w:r>
        <w:rPr>
          <w:rFonts w:ascii="Calibri" w:cs="Calibri" w:eastAsia="Calibri" w:hAnsi="Calibri"/>
          <w:sz w:val="20"/>
          <w:szCs w:val="20"/>
        </w:rPr>
        <w:t xml:space="preserve">Laboratory Operations · P&amp;L and Budget Ownership · ISO/IEC 17025 · ISO 9001 · Method Validation · Accreditation and Regulatory Readiness · Throughput and Turnaround Optimization · Capacity Planning · Multi-Site Leadership · Workforce Development and Retention · KPI Systems and Management Cadence · SOP Architecture · Laboratory Design and Workflow · Facility and Capital Projects · Purchasing Analysis · Chain of Custody and Data Defensibility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Technical Experience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Instrumentation and methods: </w:t>
      </w:r>
      <w:r>
        <w:rPr>
          <w:rFonts w:ascii="Calibri" w:cs="Calibri" w:eastAsia="Calibri" w:hAnsi="Calibri"/>
          <w:sz w:val="20"/>
          <w:szCs w:val="20"/>
        </w:rPr>
        <w:t xml:space="preserve">HPLC · LC-MS/MS · GC-MS/MS · ICP-MS · ICP-OES · qPCR · Total Aerobic Count · Total Yeast and Mold Count · pathogen detection and confirmation · pesticide residues · heavy metals · residual solvents · potency · terpenes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Matrices: </w:t>
      </w:r>
      <w:r>
        <w:rPr>
          <w:rFonts w:ascii="Calibri" w:cs="Calibri" w:eastAsia="Calibri" w:hAnsi="Calibri"/>
          <w:sz w:val="20"/>
          <w:szCs w:val="20"/>
        </w:rPr>
        <w:t xml:space="preserve">water and liquid samples of all types (drinking, ground, surface, waste) · soil · agricultural inputs · surface and air environmental monitoring for microbials, pesticides and heavy metals · pharmaceutical drug product and pharmaceutical environmental · cannabis and hemp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Quality and compliance: </w:t>
      </w:r>
      <w:r>
        <w:rPr>
          <w:rFonts w:ascii="Calibri" w:cs="Calibri" w:eastAsia="Calibri" w:hAnsi="Calibri"/>
          <w:sz w:val="20"/>
          <w:szCs w:val="20"/>
        </w:rPr>
        <w:t xml:space="preserve">ISO/IEC 17025 · ISO 9001 · method validation and verification · demonstration of capability · proficiency testing · CAPA · state regulatory programs · DEA registration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Controlled environments (early career): </w:t>
      </w:r>
      <w:r>
        <w:rPr>
          <w:rFonts w:ascii="Calibri" w:cs="Calibri" w:eastAsia="Calibri" w:hAnsi="Calibri"/>
          <w:sz w:val="20"/>
          <w:szCs w:val="20"/>
        </w:rPr>
        <w:t xml:space="preserve">cleanroom certification · ASHRAE 110 fume hood testing · HEPA/HEGA filtration · pharmaceutical, healthcare, semiconductor and nuclear facilities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Professional Experience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Associate Laboratory Director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November 2021 – 2026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Green Analytics MD, LLC</w:t>
      </w:r>
    </w:p>
    <w:p>
      <w:pPr>
        <w:spacing w:after="7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Owned all internal operations of a high-throughput regulated analytical laboratory — people, workflow, throughput, quality practice and facility — partnered with a Laboratory Director who owned technical specialty and external relationships.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Led a site organization of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40–45 people</w:t>
      </w:r>
      <w:r>
        <w:rPr>
          <w:rFonts w:ascii="Calibri" w:cs="Calibri" w:eastAsia="Calibri" w:hAnsi="Calibri"/>
          <w:sz w:val="20"/>
          <w:szCs w:val="20"/>
        </w:rPr>
        <w:t xml:space="preserve"> through a middle-management cadre of five — department managers across chemistry, microbiology and sampling, plus shift leads — with roughly sixteen analysts and technicians beneath them.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Grew annual volume from ~25,000 to ~47,000 samples on a staff that went from 32 to 45</w:t>
      </w:r>
      <w:r>
        <w:rPr>
          <w:rFonts w:ascii="Calibri" w:cs="Calibri" w:eastAsia="Calibri" w:hAnsi="Calibri"/>
          <w:sz w:val="20"/>
          <w:szCs w:val="20"/>
        </w:rPr>
        <w:t xml:space="preserve"> — about a third more output per person — by analyzing workflow and purchasing, redesigning the physical laboratory around how samples move, and building a management layer accountable for its own results.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Cut turnaround from five days to three</w:t>
      </w:r>
      <w:r>
        <w:rPr>
          <w:rFonts w:ascii="Calibri" w:cs="Calibri" w:eastAsia="Calibri" w:hAnsi="Calibri"/>
          <w:sz w:val="20"/>
          <w:szCs w:val="20"/>
        </w:rPr>
        <w:t xml:space="preserve">, and reduced operating costs ~15% while expanding service capability.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Reduced turnover from twelve departures a year to four</w:t>
      </w:r>
      <w:r>
        <w:rPr>
          <w:rFonts w:ascii="Calibri" w:cs="Calibri" w:eastAsia="Calibri" w:hAnsi="Calibri"/>
          <w:sz w:val="20"/>
          <w:szCs w:val="20"/>
        </w:rPr>
        <w:t xml:space="preserve"> by designing a job-leveling and competency framework — Technician I–III and Analyst I–III with published pay ranges, skill checklists and supervisor sign-off — replacing a structure where identical titles carried widely different pay and responsibility.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Built management infrastructure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adopted across eight laboratories and 250+ employees on a $10M operating budget</w:t>
      </w:r>
      <w:r>
        <w:rPr>
          <w:rFonts w:ascii="Calibri" w:cs="Calibri" w:eastAsia="Calibri" w:hAnsi="Calibri"/>
          <w:sz w:val="20"/>
          <w:szCs w:val="20"/>
        </w:rPr>
        <w:t xml:space="preserve"> — job architecture, workforce development, operating procedures, career progression and leadership development — carried enterprise-wide through influence rather than formal authority as the company grew toward ~350 people.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Built and taught a management-development curriculum for middle managers covering accountability, retention and psychological safety; moved the culture from blame to ownership.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Held local authority for pricing, capital requests and headcount. Served as site facility manager: contractors, capital projects and laboratory redesign for throughput. Monitored method-level pass/fail excursions as a leading quality indicator.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Co-Founder &amp; Managing Partner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2019 – 2021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Atlas Labs FL, LLC</w:t>
      </w:r>
    </w:p>
    <w:p>
      <w:pPr>
        <w:spacing w:after="7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Built a greenfield analytical laboratory end to end — market selection and financing through construction, accreditation and operational readiness.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Secured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more than $1M in financing</w:t>
      </w:r>
      <w:r>
        <w:rPr>
          <w:rFonts w:ascii="Calibri" w:cs="Calibri" w:eastAsia="Calibri" w:hAnsi="Calibri"/>
          <w:sz w:val="20"/>
          <w:szCs w:val="20"/>
        </w:rPr>
        <w:t xml:space="preserve">; led facility design and construction, equipment procurement, installation and validation.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Achieved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ISO/IEC 17025 accreditation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DEA registration</w:t>
      </w:r>
      <w:r>
        <w:rPr>
          <w:rFonts w:ascii="Calibri" w:cs="Calibri" w:eastAsia="Calibri" w:hAnsi="Calibri"/>
          <w:sz w:val="20"/>
          <w:szCs w:val="20"/>
        </w:rPr>
        <w:t xml:space="preserve"> for controlled substances, with the method validation, documentation and quality infrastructure behind both — through the COVID-19 disruption.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Technical Manager  |  Quality Manager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2017 – 2019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Atlantic Test Labs, Inc.</w:t>
      </w:r>
    </w:p>
    <w:p>
      <w:pPr>
        <w:spacing w:after="7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Launched an ISO/IEC 17025 analytical laboratory serving Maryland's newly regulated cannabis market.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Led implementation of the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ISO/IEC 17025 quality management system</w:t>
      </w:r>
      <w:r>
        <w:rPr>
          <w:rFonts w:ascii="Calibri" w:cs="Calibri" w:eastAsia="Calibri" w:hAnsi="Calibri"/>
          <w:sz w:val="20"/>
          <w:szCs w:val="20"/>
        </w:rPr>
        <w:t xml:space="preserve"> — accreditation, method validation, documentation and regulatory readiness — and directed startup: equipment selection, workflow design, training and operating systems.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During a leadership transition, contributed to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30% increase in sales and 40% reduction in operating costs across four months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Field Service Technician → Technical Manager → Quality Manager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2012 – 2017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Atlantic Technical Services, Inc.</w:t>
      </w:r>
    </w:p>
    <w:p>
      <w:pPr>
        <w:spacing w:after="7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Joined a $400K field-services company as a technician and progressively assumed its most complex technical and operational responsibilities as it became a regulated laboratory business; acquired in 2019.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Helped build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one of Maryland's first pharmaceutical microbiology laboratories of its kind</w:t>
      </w:r>
      <w:r>
        <w:rPr>
          <w:rFonts w:ascii="Calibri" w:cs="Calibri" w:eastAsia="Calibri" w:hAnsi="Calibri"/>
          <w:sz w:val="20"/>
          <w:szCs w:val="20"/>
        </w:rPr>
        <w:t xml:space="preserve">, expanding the company from field services into regulated laboratory testing.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Re-engineered the operating system after an unsuccessful external audit</w:t>
      </w:r>
      <w:r>
        <w:rPr>
          <w:rFonts w:ascii="Calibri" w:cs="Calibri" w:eastAsia="Calibri" w:hAnsi="Calibri"/>
          <w:sz w:val="20"/>
          <w:szCs w:val="20"/>
        </w:rPr>
        <w:t xml:space="preserve">, implementing ISO 9001 and rebuilding the procedural infrastructure behind it. Became the primary resource for controlled-environment certification, regulatory compliance and technician development.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Earlier Experience and Education</w:t>
      </w:r>
    </w:p>
    <w:p>
      <w:pPr>
        <w:spacing w:after="5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Dann Marine Towing</w:t>
      </w:r>
      <w:r>
        <w:rPr>
          <w:rFonts w:ascii="Calibri" w:cs="Calibri" w:eastAsia="Calibri" w:hAnsi="Calibri"/>
          <w:sz w:val="20"/>
          <w:szCs w:val="20"/>
        </w:rPr>
        <w:t xml:space="preserve"> — Able Seaman / Deckhand, 2010–2012.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United States Navy</w:t>
      </w:r>
      <w:r>
        <w:rPr>
          <w:rFonts w:ascii="Calibri" w:cs="Calibri" w:eastAsia="Calibri" w:hAnsi="Calibri"/>
          <w:sz w:val="20"/>
          <w:szCs w:val="20"/>
        </w:rPr>
        <w:t xml:space="preserve"> — Surface Warfare Officer, USS McFaul (DDG-74), 2008–2010.</w:t>
      </w:r>
    </w:p>
    <w:p>
      <w:pPr>
        <w:spacing w:after="9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Bachelor of Science, Chemistry</w:t>
      </w:r>
      <w:r>
        <w:rPr>
          <w:rFonts w:ascii="Calibri" w:cs="Calibri" w:eastAsia="Calibri" w:hAnsi="Calibri"/>
          <w:sz w:val="20"/>
          <w:szCs w:val="20"/>
        </w:rPr>
        <w:t xml:space="preserve"> — United States Naval Academy, 2008</w:t>
      </w:r>
    </w:p>
    <w:sectPr>
      <w:pgSz w:w="12240" w:h="15840" w:orient="portrait"/>
      <w:pgMar w:top="700" w:right="880" w:bottom="700" w:left="8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45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2026-09-30T13:42:43.249Z</dcterms:created>
  <dcterms:modified xsi:type="dcterms:W3CDTF">2026-09-30T13:42:43.250Z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