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including a decade running analytical microbiology operations, and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Laboratory Operations Consultant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October 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Named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backup reporting officer on the laboratory’s state license</w:t>
      </w:r>
      <w:r>
        <w:rPr>
          <w:rFonts w:ascii="Calibri" w:cs="Calibri" w:eastAsia="Calibri" w:hAnsi="Calibri"/>
          <w:sz w:val="20"/>
          <w:szCs w:val="20"/>
        </w:rPr>
        <w:t xml:space="preserve">; led the handoff and execution of a laboratory renovation I had specified before stepping out of the director seat, and covered weekend results reporting through mid-2026.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October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the laboratory information management system</w:t>
      </w:r>
      <w:r>
        <w:rPr>
          <w:rFonts w:ascii="Calibri" w:cs="Calibri" w:eastAsia="Calibri" w:hAnsi="Calibri"/>
          <w:sz w:val="20"/>
          <w:szCs w:val="20"/>
        </w:rPr>
        <w:t xml:space="preserve"> that ran the laboratory — later carried into Atlas Labs and used as the kernel of the system built at Green Analytics: one system across three laboratories over nine years.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2026-10-06T17:53:40.503Z</dcterms:created>
  <dcterms:modified xsi:type="dcterms:W3CDTF">2026-10-06T17:53:40.504Z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