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Calibri" w:cs="Calibri" w:eastAsia="Calibri" w:hAnsi="Calibri"/>
          <w:b/>
          <w:bCs/>
          <w:spacing w:val="40"/>
          <w:sz w:val="44"/>
          <w:szCs w:val="44"/>
        </w:rPr>
        <w:t xml:space="preserve">EVAN PARNELL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Laboratory Operations Executive  |  Multi-Site Technical Services  |  ISO/IEC 17025</w:t>
      </w:r>
    </w:p>
    <w:p>
      <w:pPr>
        <w:spacing w:after="140" w:before="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Annapolis, Maryland  ·  (443) 294-5481  ·  efparnell@gmail.com  ·  linkedin.com/in/evanparnell</w:t>
      </w:r>
    </w:p>
    <w:p>
      <w:pPr>
        <w:pBdr>
          <w:bottom w:val="single" w:color="999999" w:sz="6" w:space="2"/>
        </w:pBdr>
        <w:spacing w:after="90" w:before="200"/>
      </w:pPr>
      <w:r>
        <w:rPr>
          <w:rFonts w:ascii="Calibri" w:cs="Calibri" w:eastAsia="Calibri" w:hAnsi="Calibri"/>
          <w:b/>
          <w:bCs/>
          <w:caps/>
          <w:spacing w:val="30"/>
          <w:sz w:val="21"/>
          <w:szCs w:val="21"/>
        </w:rPr>
        <w:t xml:space="preserve">Executive Profile</w:t>
      </w:r>
    </w:p>
    <w:p>
      <w:pPr>
        <w:spacing w:after="90" w:before="0"/>
      </w:pPr>
      <w:r>
        <w:rPr>
          <w:rFonts w:ascii="Calibri" w:cs="Calibri" w:eastAsia="Calibri" w:hAnsi="Calibri"/>
          <w:sz w:val="20"/>
          <w:szCs w:val="20"/>
        </w:rPr>
        <w:t xml:space="preserve">Laboratory operations executive with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14 years in commercial analytical laboratories</w:t>
      </w:r>
      <w:r>
        <w:rPr>
          <w:rFonts w:ascii="Calibri" w:cs="Calibri" w:eastAsia="Calibri" w:hAnsi="Calibri"/>
          <w:sz w:val="20"/>
          <w:szCs w:val="20"/>
        </w:rPr>
        <w:t xml:space="preserve"> — environmental, pharmaceutical and regulated cannabis testing — spanning laboratory startup, ISO/IEC 17025 accreditation, quality-system ownership and multi-site operational leadership.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I run the inside of a laboratory: throughput, turnaround, quality discipline, capacity, cost per sample, and the people who deliver it. I have built two laboratories from an empty building through accreditation and commercial operation, rebuilt a quality system after a failed external audit, and doubled the annual volume of a high-throughput laboratory while cutting both turnaround time and turnover. My work is the same in every setting: find the constraint keeping a technically excellent laboratory from performing commercially, then build the operating system that removes it and keeps it removed.</w:t>
      </w:r>
    </w:p>
    <w:p>
      <w:pPr>
        <w:pBdr>
          <w:bottom w:val="single" w:color="999999" w:sz="6" w:space="2"/>
        </w:pBdr>
        <w:spacing w:after="90" w:before="200"/>
      </w:pPr>
      <w:r>
        <w:rPr>
          <w:rFonts w:ascii="Calibri" w:cs="Calibri" w:eastAsia="Calibri" w:hAnsi="Calibri"/>
          <w:b/>
          <w:bCs/>
          <w:caps/>
          <w:spacing w:val="30"/>
          <w:sz w:val="21"/>
          <w:szCs w:val="21"/>
        </w:rPr>
        <w:t xml:space="preserve">Selected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Doubled annual sample volume</w:t>
      </w:r>
      <w:r>
        <w:rPr>
          <w:rFonts w:ascii="Calibri" w:cs="Calibri" w:eastAsia="Calibri" w:hAnsi="Calibri"/>
          <w:sz w:val="20"/>
          <w:szCs w:val="20"/>
        </w:rPr>
        <w:t xml:space="preserve"> from ~25,000 to ~48,000 on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35% increase in staff</w:t>
      </w:r>
      <w:r>
        <w:rPr>
          <w:rFonts w:ascii="Calibri" w:cs="Calibri" w:eastAsia="Calibri" w:hAnsi="Calibri"/>
          <w:sz w:val="20"/>
          <w:szCs w:val="20"/>
        </w:rPr>
        <w:t xml:space="preserve"> — roughly 50% more output per person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Turnaround time reduced from 5 days to 3 days</w:t>
      </w:r>
      <w:r>
        <w:rPr>
          <w:rFonts w:ascii="Calibri" w:cs="Calibri" w:eastAsia="Calibri" w:hAnsi="Calibri"/>
          <w:sz w:val="20"/>
          <w:szCs w:val="20"/>
        </w:rPr>
        <w:t xml:space="preserve"> in a market where clients choose on speed and defensibility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Turnover reduced ~75%</w:t>
      </w:r>
      <w:r>
        <w:rPr>
          <w:rFonts w:ascii="Calibri" w:cs="Calibri" w:eastAsia="Calibri" w:hAnsi="Calibri"/>
          <w:sz w:val="20"/>
          <w:szCs w:val="20"/>
        </w:rPr>
        <w:t xml:space="preserve"> through a competency-based job architecture with published pay bands — while company headcount grew 40%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Two laboratories accredited to ISO/IEC 17025</w:t>
      </w:r>
      <w:r>
        <w:rPr>
          <w:rFonts w:ascii="Calibri" w:cs="Calibri" w:eastAsia="Calibri" w:hAnsi="Calibri"/>
          <w:sz w:val="20"/>
          <w:szCs w:val="20"/>
        </w:rPr>
        <w:t xml:space="preserve">; one also licensed for DEA controlled substances.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ISO 9001 system</w:t>
      </w:r>
      <w:r>
        <w:rPr>
          <w:rFonts w:ascii="Calibri" w:cs="Calibri" w:eastAsia="Calibri" w:hAnsi="Calibri"/>
          <w:sz w:val="20"/>
          <w:szCs w:val="20"/>
        </w:rPr>
        <w:t xml:space="preserve"> built after an unsuccessful external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$1M+ financing secured</w:t>
      </w:r>
      <w:r>
        <w:rPr>
          <w:rFonts w:ascii="Calibri" w:cs="Calibri" w:eastAsia="Calibri" w:hAnsi="Calibri"/>
          <w:sz w:val="20"/>
          <w:szCs w:val="20"/>
        </w:rPr>
        <w:t xml:space="preserve"> for a greenfield laboratory build, carried through construction, validation and launch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30% sales increase and 40% operating-cost reduction in four months</w:t>
      </w:r>
      <w:r>
        <w:rPr>
          <w:rFonts w:ascii="Calibri" w:cs="Calibri" w:eastAsia="Calibri" w:hAnsi="Calibri"/>
          <w:sz w:val="20"/>
          <w:szCs w:val="20"/>
        </w:rPr>
        <w:t xml:space="preserve"> during a leadership transition</w:t>
      </w:r>
    </w:p>
    <w:p>
      <w:pPr>
        <w:pBdr>
          <w:bottom w:val="single" w:color="999999" w:sz="6" w:space="2"/>
        </w:pBdr>
        <w:spacing w:after="90" w:before="200"/>
      </w:pPr>
      <w:r>
        <w:rPr>
          <w:rFonts w:ascii="Calibri" w:cs="Calibri" w:eastAsia="Calibri" w:hAnsi="Calibri"/>
          <w:b/>
          <w:bCs/>
          <w:caps/>
          <w:spacing w:val="30"/>
          <w:sz w:val="21"/>
          <w:szCs w:val="21"/>
        </w:rPr>
        <w:t xml:space="preserve">Core Competencies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Laboratory Operations · P&amp;L and Budget Ownership · ISO/IEC 17025 · ISO 9001 · Method Validation · Accreditation and Regulatory Readiness · Throughput and Turnaround Optimization · Capacity Planning · Multi-Site Leadership · Workforce Development and Retention · KPI Systems and Management Cadence · SOP Architecture · Laboratory Design and Workflow · Facility and Capital Projects · Purchasing Analysis · Chain of Custody and Data Defensibility</w:t>
      </w:r>
    </w:p>
    <w:p>
      <w:pPr>
        <w:pBdr>
          <w:bottom w:val="single" w:color="999999" w:sz="6" w:space="2"/>
        </w:pBdr>
        <w:spacing w:after="90" w:before="200"/>
      </w:pPr>
      <w:r>
        <w:rPr>
          <w:rFonts w:ascii="Calibri" w:cs="Calibri" w:eastAsia="Calibri" w:hAnsi="Calibri"/>
          <w:b/>
          <w:bCs/>
          <w:caps/>
          <w:spacing w:val="30"/>
          <w:sz w:val="21"/>
          <w:szCs w:val="21"/>
        </w:rPr>
        <w:t xml:space="preserve">Technical Experience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Instrumentation and methods: </w:t>
      </w:r>
      <w:r>
        <w:rPr>
          <w:rFonts w:ascii="Calibri" w:cs="Calibri" w:eastAsia="Calibri" w:hAnsi="Calibri"/>
          <w:sz w:val="20"/>
          <w:szCs w:val="20"/>
        </w:rPr>
        <w:t xml:space="preserve">HPLC · LC-MS/MS · GC-MS/MS · ICP-MS · qPCR · Total Aerobic Count · Total Yeast and Mold Count · pathogen detection and confirmation · environmental monitoring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Quality and compliance: </w:t>
      </w:r>
      <w:r>
        <w:rPr>
          <w:rFonts w:ascii="Calibri" w:cs="Calibri" w:eastAsia="Calibri" w:hAnsi="Calibri"/>
          <w:sz w:val="20"/>
          <w:szCs w:val="20"/>
        </w:rPr>
        <w:t xml:space="preserve">ISO/IEC 17025 · ISO 9001 · method validation and verification · demonstration of capability · proficiency testing · CAPA · state regulatory programs · DEA registration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Controlled environments (early career): </w:t>
      </w:r>
      <w:r>
        <w:rPr>
          <w:rFonts w:ascii="Calibri" w:cs="Calibri" w:eastAsia="Calibri" w:hAnsi="Calibri"/>
          <w:sz w:val="20"/>
          <w:szCs w:val="20"/>
        </w:rPr>
        <w:t xml:space="preserve">cleanroom certification · ASHRAE 110 fume hood testing · HEPA/HEGA filtration · pharmaceutical, healthcare, semiconductor and nuclear facilities</w:t>
      </w:r>
    </w:p>
    <w:p>
      <w:pPr>
        <w:pBdr>
          <w:bottom w:val="single" w:color="999999" w:sz="6" w:space="2"/>
        </w:pBdr>
        <w:spacing w:after="90" w:before="200"/>
      </w:pPr>
      <w:r>
        <w:rPr>
          <w:rFonts w:ascii="Calibri" w:cs="Calibri" w:eastAsia="Calibri" w:hAnsi="Calibri"/>
          <w:b/>
          <w:bCs/>
          <w:caps/>
          <w:spacing w:val="30"/>
          <w:sz w:val="21"/>
          <w:szCs w:val="21"/>
        </w:rPr>
        <w:t xml:space="preserve">Professional Experience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Associate Laboratory Director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November 2021 – 2026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Green Analytics MD, LLC</w:t>
      </w:r>
    </w:p>
    <w:p>
      <w:pPr>
        <w:spacing w:after="7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Owned all internal operations of a high-throughput regulated analytical laboratory — people, workflow, throughput, quality practice and facility — partnered with a Laboratory Director who owned technical specialty and external relationships.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Directly led roughly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40 people</w:t>
      </w:r>
      <w:r>
        <w:rPr>
          <w:rFonts w:ascii="Calibri" w:cs="Calibri" w:eastAsia="Calibri" w:hAnsi="Calibri"/>
          <w:sz w:val="20"/>
          <w:szCs w:val="20"/>
        </w:rPr>
        <w:t xml:space="preserve">: three department managers (chemistry, microbiology, sampling), three shift leads, ~16 analysts and technicians.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Doubled annual sample volume, ~25,000 to ~48,000, on 35% more staff</w:t>
      </w:r>
      <w:r>
        <w:rPr>
          <w:rFonts w:ascii="Calibri" w:cs="Calibri" w:eastAsia="Calibri" w:hAnsi="Calibri"/>
          <w:sz w:val="20"/>
          <w:szCs w:val="20"/>
        </w:rPr>
        <w:t xml:space="preserve"> — about 50% more output per person — by analyzing workflow and purchasing, redesigning the physical laboratory around how samples move, and building a management layer accountable for its own results.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Cut turnaround from five days to three.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Reduced turnover ~75%</w:t>
      </w:r>
      <w:r>
        <w:rPr>
          <w:rFonts w:ascii="Calibri" w:cs="Calibri" w:eastAsia="Calibri" w:hAnsi="Calibri"/>
          <w:sz w:val="20"/>
          <w:szCs w:val="20"/>
        </w:rPr>
        <w:t xml:space="preserve"> by designing a job-leveling program — Technician I–III and Analyst I–III with published pay ranges, skill checklists and supervisor sign-off — replacing a structure where identical titles carried widely different pay and responsibility.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management infrastructure adopted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across an eight-location organization that grew from 250 to ~350 employees on a $10M operating budget</w:t>
      </w:r>
      <w:r>
        <w:rPr>
          <w:rFonts w:ascii="Calibri" w:cs="Calibri" w:eastAsia="Calibri" w:hAnsi="Calibri"/>
          <w:sz w:val="20"/>
          <w:szCs w:val="20"/>
        </w:rPr>
        <w:t xml:space="preserve"> — job architecture, workforce development, operating procedures and leadership systems — carried enterprise-wide through influence rather than formal authority.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and taught a management-development curriculum for middle managers covering accountability, retention and psychological safety; moved the culture from blame to ownership.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Held local authority for pricing, capital requests and headcount. Served as site facility manager: contractors, capital projects and laboratory redesign for throughput. Monitored method-level pass/fail excursions as a leading quality indicator.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Co-Founder &amp; Managing Partner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2019 – 2021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Atlas Labs FL, LLC</w:t>
      </w:r>
    </w:p>
    <w:p>
      <w:pPr>
        <w:spacing w:after="7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Built a greenfield analytical laboratory end to end — market selection and financing through construction, accreditation and operational readiness.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Secured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more than $1M in financing</w:t>
      </w:r>
      <w:r>
        <w:rPr>
          <w:rFonts w:ascii="Calibri" w:cs="Calibri" w:eastAsia="Calibri" w:hAnsi="Calibri"/>
          <w:sz w:val="20"/>
          <w:szCs w:val="20"/>
        </w:rPr>
        <w:t xml:space="preserve">; led facility design and construction, equipment procurement, installation and validation.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Achieved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ISO/IEC 17025 accreditation</w:t>
      </w:r>
      <w:r>
        <w:rPr>
          <w:rFonts w:ascii="Calibri" w:cs="Calibri" w:eastAsia="Calibri" w:hAnsi="Calibri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DEA registration</w:t>
      </w:r>
      <w:r>
        <w:rPr>
          <w:rFonts w:ascii="Calibri" w:cs="Calibri" w:eastAsia="Calibri" w:hAnsi="Calibri"/>
          <w:sz w:val="20"/>
          <w:szCs w:val="20"/>
        </w:rPr>
        <w:t xml:space="preserve"> for controlled substances, with the method validation, documentation and quality infrastructure behind both — through the COVID-19 disruption.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 Manager  |  Quality Manager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2017 – 2019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Atlantic Test Labs, Inc.</w:t>
      </w:r>
    </w:p>
    <w:p>
      <w:pPr>
        <w:spacing w:after="7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Launched an ISO/IEC 17025 analytical laboratory serving Maryland's newly regulated cannabis market.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Led implementation of the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ISO/IEC 17025 quality management system</w:t>
      </w:r>
      <w:r>
        <w:rPr>
          <w:rFonts w:ascii="Calibri" w:cs="Calibri" w:eastAsia="Calibri" w:hAnsi="Calibri"/>
          <w:sz w:val="20"/>
          <w:szCs w:val="20"/>
        </w:rPr>
        <w:t xml:space="preserve"> — accreditation, method validation, documentation and regulatory readiness — and directed startup: equipment selection, workflow design, training and operating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During a leadership transition, contributed to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30% increase in sales and 40% reduction in operating costs across four months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Field Service Technician → Technical Manager → Quality Manager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2012 – 2017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Atlantic Technical Services, Inc.</w:t>
      </w:r>
    </w:p>
    <w:p>
      <w:pPr>
        <w:spacing w:after="7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Joined a $400K field-services company as a technician and progressively assumed its most complex technical and operational responsibilities as it became a regulated laboratory business; acquired in 2019.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Helped build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one of Maryland's first pharmaceutical microbiology laboratories of its kind</w:t>
      </w:r>
      <w:r>
        <w:rPr>
          <w:rFonts w:ascii="Calibri" w:cs="Calibri" w:eastAsia="Calibri" w:hAnsi="Calibri"/>
          <w:sz w:val="20"/>
          <w:szCs w:val="20"/>
        </w:rPr>
        <w:t xml:space="preserve">, expanding the company from field services into regulated laboratory testing.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Re-engineered the operating system after an unsuccessful external audit</w:t>
      </w:r>
      <w:r>
        <w:rPr>
          <w:rFonts w:ascii="Calibri" w:cs="Calibri" w:eastAsia="Calibri" w:hAnsi="Calibri"/>
          <w:sz w:val="20"/>
          <w:szCs w:val="20"/>
        </w:rPr>
        <w:t xml:space="preserve">, implementing ISO 9001 and rebuilding the procedural infrastructure behind it. Became the primary resource for controlled-environment certification, regulatory compliance and technician development.</w:t>
      </w:r>
    </w:p>
    <w:p>
      <w:pPr>
        <w:pBdr>
          <w:bottom w:val="single" w:color="999999" w:sz="6" w:space="2"/>
        </w:pBdr>
        <w:spacing w:after="90" w:before="200"/>
      </w:pPr>
      <w:r>
        <w:rPr>
          <w:rFonts w:ascii="Calibri" w:cs="Calibri" w:eastAsia="Calibri" w:hAnsi="Calibri"/>
          <w:b/>
          <w:bCs/>
          <w:caps/>
          <w:spacing w:val="30"/>
          <w:sz w:val="21"/>
          <w:szCs w:val="21"/>
        </w:rPr>
        <w:t xml:space="preserve">Earlier Experience and Education</w:t>
      </w:r>
    </w:p>
    <w:p>
      <w:pPr>
        <w:spacing w:after="5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Dann Marine Towing</w:t>
      </w:r>
      <w:r>
        <w:rPr>
          <w:rFonts w:ascii="Calibri" w:cs="Calibri" w:eastAsia="Calibri" w:hAnsi="Calibri"/>
          <w:sz w:val="20"/>
          <w:szCs w:val="20"/>
        </w:rPr>
        <w:t xml:space="preserve"> — Able Seaman / Deckhand, 2010–2012.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United States Navy</w:t>
      </w:r>
      <w:r>
        <w:rPr>
          <w:rFonts w:ascii="Calibri" w:cs="Calibri" w:eastAsia="Calibri" w:hAnsi="Calibri"/>
          <w:sz w:val="20"/>
          <w:szCs w:val="20"/>
        </w:rPr>
        <w:t xml:space="preserve"> — Surface Warfare Officer, USS McFaul (DDG-74), 2008–2010.</w:t>
      </w:r>
    </w:p>
    <w:p>
      <w:pPr>
        <w:spacing w:after="9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Science, Chemistry</w:t>
      </w:r>
      <w:r>
        <w:rPr>
          <w:rFonts w:ascii="Calibri" w:cs="Calibri" w:eastAsia="Calibri" w:hAnsi="Calibri"/>
          <w:sz w:val="20"/>
          <w:szCs w:val="20"/>
        </w:rPr>
        <w:t xml:space="preserve"> — United States Naval Academy, 2008</w:t>
      </w:r>
    </w:p>
    <w:sectPr>
      <w:pgSz w:w="12240" w:h="15840" w:orient="portrait"/>
      <w:pgMar w:top="700" w:right="880" w:bottom="700" w:left="8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45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2026-09-30T01:41:00.010Z</dcterms:created>
  <dcterms:modified xsi:type="dcterms:W3CDTF">2026-09-30T01:41:00.011Z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