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Laboratory Operations Consultant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October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Named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backup reporting officer on the laboratory’s state license</w:t>
      </w:r>
      <w:r>
        <w:rPr>
          <w:rFonts w:ascii="Calibri" w:cs="Calibri" w:eastAsia="Calibri" w:hAnsi="Calibri"/>
          <w:sz w:val="20"/>
          <w:szCs w:val="20"/>
        </w:rPr>
        <w:t xml:space="preserve">; led the handoff and execution of a laboratory renovation I had specified before stepping out of the director seat, and covered weekend results reporting through mid-2026.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October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2026-10-06T18:15:23.187Z</dcterms:created>
  <dcterms:modified xsi:type="dcterms:W3CDTF">2026-10-06T18:15:23.187Z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