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including a decade running analytical microbiology operations, and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the laboratory information management system</w:t>
      </w:r>
      <w:r>
        <w:rPr>
          <w:rFonts w:ascii="Calibri" w:cs="Calibri" w:eastAsia="Calibri" w:hAnsi="Calibri"/>
          <w:sz w:val="20"/>
          <w:szCs w:val="20"/>
        </w:rPr>
        <w:t xml:space="preserve"> that ran the laboratory — later carried into Atlas Labs and used as the kernel of the system built at Green Analytics: one system across three laboratories over nine years.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2026-10-01T14:33:38.299Z</dcterms:created>
  <dcterms:modified xsi:type="dcterms:W3CDTF">2026-10-01T14:33:38.300Z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