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Explicación del Código CSS: estilo7.css</w:t>
      </w:r>
    </w:p>
    <w:p>
      <w:pPr>
        <w:pStyle w:val="IntenseQuote"/>
      </w:pPr>
      <w:r>
        <w:t>nav</w:t>
      </w:r>
    </w:p>
    <w:p>
      <w:r>
        <w:rPr>
          <w:sz w:val="22"/>
        </w:rPr>
        <w:t>Define los estilos del contenedor de navegación. Se establece el color de fondo y la fuente.</w:t>
      </w:r>
    </w:p>
    <w:p>
      <w:pPr>
        <w:pStyle w:val="IntenseQuote"/>
      </w:pPr>
      <w:r>
        <w:t>background-color: #2c3e50;</w:t>
      </w:r>
    </w:p>
    <w:p>
      <w:r>
        <w:rPr>
          <w:sz w:val="22"/>
        </w:rPr>
        <w:t>Color de fondo oscuro para la barra de navegación.</w:t>
      </w:r>
    </w:p>
    <w:p>
      <w:pPr>
        <w:pStyle w:val="IntenseQuote"/>
      </w:pPr>
      <w:r>
        <w:t>font-family: Arial, sans-serif;</w:t>
      </w:r>
    </w:p>
    <w:p>
      <w:r>
        <w:rPr>
          <w:sz w:val="22"/>
        </w:rPr>
        <w:t>Fuente utilizada para el texto del menú.</w:t>
      </w:r>
    </w:p>
    <w:p>
      <w:pPr>
        <w:pStyle w:val="IntenseQuote"/>
      </w:pPr>
      <w:r>
        <w:t>ul.menu</w:t>
      </w:r>
    </w:p>
    <w:p>
      <w:r>
        <w:rPr>
          <w:sz w:val="22"/>
        </w:rPr>
        <w:t>Estilos para la lista principal del menú. Elimina viñetas y espacios.</w:t>
      </w:r>
    </w:p>
    <w:p>
      <w:pPr>
        <w:pStyle w:val="IntenseQuote"/>
      </w:pPr>
      <w:r>
        <w:t>list-style: none;</w:t>
      </w:r>
    </w:p>
    <w:p>
      <w:r>
        <w:rPr>
          <w:sz w:val="22"/>
        </w:rPr>
        <w:t>Quita los puntos de la lista.</w:t>
      </w:r>
    </w:p>
    <w:p>
      <w:pPr>
        <w:pStyle w:val="IntenseQuote"/>
      </w:pPr>
      <w:r>
        <w:t>margin: 0;</w:t>
      </w:r>
    </w:p>
    <w:p>
      <w:r>
        <w:rPr>
          <w:sz w:val="22"/>
        </w:rPr>
        <w:t>Elimina el margen exterior.</w:t>
      </w:r>
    </w:p>
    <w:p>
      <w:pPr>
        <w:pStyle w:val="IntenseQuote"/>
      </w:pPr>
      <w:r>
        <w:t>padding: 0;</w:t>
      </w:r>
    </w:p>
    <w:p>
      <w:r>
        <w:rPr>
          <w:sz w:val="22"/>
        </w:rPr>
        <w:t>Elimina el relleno interno.</w:t>
      </w:r>
    </w:p>
    <w:p>
      <w:pPr>
        <w:pStyle w:val="IntenseQuote"/>
      </w:pPr>
      <w:r>
        <w:t>display: flex;</w:t>
      </w:r>
    </w:p>
    <w:p>
      <w:r>
        <w:rPr>
          <w:sz w:val="22"/>
        </w:rPr>
        <w:t>Muestra los elementos del menú en línea (horizontal).</w:t>
      </w:r>
    </w:p>
    <w:p>
      <w:pPr>
        <w:pStyle w:val="IntenseQuote"/>
      </w:pPr>
      <w:r>
        <w:t>ul.menu &gt; li</w:t>
      </w:r>
    </w:p>
    <w:p>
      <w:r>
        <w:rPr>
          <w:sz w:val="22"/>
        </w:rPr>
        <w:t>Cada ítem del menú principal. Se posiciona de manera relativa para controlar submenús.</w:t>
      </w:r>
    </w:p>
    <w:p>
      <w:pPr>
        <w:pStyle w:val="IntenseQuote"/>
      </w:pPr>
      <w:r>
        <w:t>position: relative;</w:t>
      </w:r>
    </w:p>
    <w:p>
      <w:r>
        <w:rPr>
          <w:sz w:val="22"/>
        </w:rPr>
        <w:t>Permite posicionar absolutamente los submenús dentro del ítem padre.</w:t>
      </w:r>
    </w:p>
    <w:p>
      <w:pPr>
        <w:pStyle w:val="IntenseQuote"/>
      </w:pPr>
      <w:r>
        <w:t>ul.menu &gt; li &gt; a</w:t>
      </w:r>
    </w:p>
    <w:p>
      <w:r>
        <w:rPr>
          <w:sz w:val="22"/>
        </w:rPr>
        <w:t>Enlaces dentro del menú principal.</w:t>
      </w:r>
    </w:p>
    <w:p>
      <w:pPr>
        <w:pStyle w:val="IntenseQuote"/>
      </w:pPr>
      <w:r>
        <w:t>display: block;</w:t>
      </w:r>
    </w:p>
    <w:p>
      <w:r>
        <w:rPr>
          <w:sz w:val="22"/>
        </w:rPr>
        <w:t>Hace que toda el área del enlace sea clickeable.</w:t>
      </w:r>
    </w:p>
    <w:p>
      <w:pPr>
        <w:pStyle w:val="IntenseQuote"/>
      </w:pPr>
      <w:r>
        <w:t>padding: 14px 20px;</w:t>
      </w:r>
    </w:p>
    <w:p>
      <w:r>
        <w:rPr>
          <w:sz w:val="22"/>
        </w:rPr>
        <w:t>Espaciado interior para los enlaces.</w:t>
      </w:r>
    </w:p>
    <w:p>
      <w:pPr>
        <w:pStyle w:val="IntenseQuote"/>
      </w:pPr>
      <w:r>
        <w:t>color: #fff;</w:t>
      </w:r>
    </w:p>
    <w:p>
      <w:r>
        <w:rPr>
          <w:sz w:val="22"/>
        </w:rPr>
        <w:t>Color del texto: blanco.</w:t>
      </w:r>
    </w:p>
    <w:p>
      <w:pPr>
        <w:pStyle w:val="IntenseQuote"/>
      </w:pPr>
      <w:r>
        <w:t>text-decoration: none;</w:t>
      </w:r>
    </w:p>
    <w:p>
      <w:r>
        <w:rPr>
          <w:sz w:val="22"/>
        </w:rPr>
        <w:t>Quita el subrayado de los enlaces.</w:t>
      </w:r>
    </w:p>
    <w:p>
      <w:pPr>
        <w:pStyle w:val="IntenseQuote"/>
      </w:pPr>
      <w:r>
        <w:t>ul.menu &gt; li:hover</w:t>
      </w:r>
    </w:p>
    <w:p>
      <w:r>
        <w:rPr>
          <w:sz w:val="22"/>
        </w:rPr>
        <w:t>Estilo cuando el usuario pasa el cursor sobre un ítem del menú.</w:t>
      </w:r>
    </w:p>
    <w:p>
      <w:pPr>
        <w:pStyle w:val="IntenseQuote"/>
      </w:pPr>
      <w:r>
        <w:t>background-color: #34495e;</w:t>
      </w:r>
    </w:p>
    <w:p>
      <w:r>
        <w:rPr>
          <w:sz w:val="22"/>
        </w:rPr>
        <w:t>Cambia el color de fondo al pasar el mouse.</w:t>
      </w:r>
    </w:p>
    <w:p>
      <w:pPr>
        <w:pStyle w:val="IntenseQuote"/>
      </w:pPr>
      <w:r>
        <w:t>ul.submenu</w:t>
      </w:r>
    </w:p>
    <w:p>
      <w:r>
        <w:rPr>
          <w:sz w:val="22"/>
        </w:rPr>
        <w:t>Contenedor de los submenús. Oculto por defecto.</w:t>
      </w:r>
    </w:p>
    <w:p>
      <w:pPr>
        <w:pStyle w:val="IntenseQuote"/>
      </w:pPr>
      <w:r>
        <w:t>display: none;</w:t>
      </w:r>
    </w:p>
    <w:p>
      <w:r>
        <w:rPr>
          <w:sz w:val="22"/>
        </w:rPr>
        <w:t>Inicialmente no se muestra.</w:t>
      </w:r>
    </w:p>
    <w:p>
      <w:pPr>
        <w:pStyle w:val="IntenseQuote"/>
      </w:pPr>
      <w:r>
        <w:t>position: absolute;</w:t>
      </w:r>
    </w:p>
    <w:p>
      <w:r>
        <w:rPr>
          <w:sz w:val="22"/>
        </w:rPr>
        <w:t>Posicionamiento respecto al ítem principal.</w:t>
      </w:r>
    </w:p>
    <w:p>
      <w:pPr>
        <w:pStyle w:val="IntenseQuote"/>
      </w:pPr>
      <w:r>
        <w:t>top: 100%;</w:t>
      </w:r>
    </w:p>
    <w:p>
      <w:r>
        <w:rPr>
          <w:sz w:val="22"/>
        </w:rPr>
        <w:t>Ubica el submenú justo debajo del ítem padre.</w:t>
      </w:r>
    </w:p>
    <w:p>
      <w:pPr>
        <w:pStyle w:val="IntenseQuote"/>
      </w:pPr>
      <w:r>
        <w:t>left: 0;</w:t>
      </w:r>
    </w:p>
    <w:p>
      <w:r>
        <w:rPr>
          <w:sz w:val="22"/>
        </w:rPr>
        <w:t>Alineado a la izquierda del ítem padre.</w:t>
      </w:r>
    </w:p>
    <w:p>
      <w:pPr>
        <w:pStyle w:val="IntenseQuote"/>
      </w:pPr>
      <w:r>
        <w:t>list-style: none;</w:t>
      </w:r>
    </w:p>
    <w:p>
      <w:r>
        <w:rPr>
          <w:sz w:val="22"/>
        </w:rPr>
        <w:t>Quita viñetas.</w:t>
      </w:r>
    </w:p>
    <w:p>
      <w:pPr>
        <w:pStyle w:val="IntenseQuote"/>
      </w:pPr>
      <w:r>
        <w:t>background-color: #34495e;</w:t>
      </w:r>
    </w:p>
    <w:p>
      <w:r>
        <w:rPr>
          <w:sz w:val="22"/>
        </w:rPr>
        <w:t>Color de fondo del submenú.</w:t>
      </w:r>
    </w:p>
    <w:p>
      <w:pPr>
        <w:pStyle w:val="IntenseQuote"/>
      </w:pPr>
      <w:r>
        <w:t>padding: 0;</w:t>
      </w:r>
    </w:p>
    <w:p>
      <w:r>
        <w:rPr>
          <w:sz w:val="22"/>
        </w:rPr>
        <w:t>Quita espacio interno.</w:t>
      </w:r>
    </w:p>
    <w:p>
      <w:pPr>
        <w:pStyle w:val="IntenseQuote"/>
      </w:pPr>
      <w:r>
        <w:t>margin: 0;</w:t>
      </w:r>
    </w:p>
    <w:p>
      <w:r>
        <w:rPr>
          <w:sz w:val="22"/>
        </w:rPr>
        <w:t>Quita margen externo.</w:t>
      </w:r>
    </w:p>
    <w:p>
      <w:pPr>
        <w:pStyle w:val="IntenseQuote"/>
      </w:pPr>
      <w:r>
        <w:t>min-width: 160px;</w:t>
      </w:r>
    </w:p>
    <w:p>
      <w:r>
        <w:rPr>
          <w:sz w:val="22"/>
        </w:rPr>
        <w:t>Ancho mínimo para los submenús.</w:t>
      </w:r>
    </w:p>
    <w:p>
      <w:pPr>
        <w:pStyle w:val="IntenseQuote"/>
      </w:pPr>
      <w:r>
        <w:t>ul.submenu li a</w:t>
      </w:r>
    </w:p>
    <w:p>
      <w:r>
        <w:rPr>
          <w:sz w:val="22"/>
        </w:rPr>
        <w:t>Estilo para los enlaces dentro del submenú.</w:t>
      </w:r>
    </w:p>
    <w:p>
      <w:pPr>
        <w:pStyle w:val="IntenseQuote"/>
      </w:pPr>
      <w:r>
        <w:t>display: block;</w:t>
      </w:r>
    </w:p>
    <w:p>
      <w:r>
        <w:rPr>
          <w:sz w:val="22"/>
        </w:rPr>
        <w:t>Área del enlace abarca todo el ítem.</w:t>
      </w:r>
    </w:p>
    <w:p>
      <w:pPr>
        <w:pStyle w:val="IntenseQuote"/>
      </w:pPr>
      <w:r>
        <w:t>padding: 12px;</w:t>
      </w:r>
    </w:p>
    <w:p>
      <w:r>
        <w:rPr>
          <w:sz w:val="22"/>
        </w:rPr>
        <w:t>Espacio interno para los enlaces.</w:t>
      </w:r>
    </w:p>
    <w:p>
      <w:pPr>
        <w:pStyle w:val="IntenseQuote"/>
      </w:pPr>
      <w:r>
        <w:t>color: white;</w:t>
      </w:r>
    </w:p>
    <w:p>
      <w:r>
        <w:rPr>
          <w:sz w:val="22"/>
        </w:rPr>
        <w:t>Texto en blanco.</w:t>
      </w:r>
    </w:p>
    <w:p>
      <w:pPr>
        <w:pStyle w:val="IntenseQuote"/>
      </w:pPr>
      <w:r>
        <w:t>text-decoration: none;</w:t>
      </w:r>
    </w:p>
    <w:p>
      <w:r>
        <w:rPr>
          <w:sz w:val="22"/>
        </w:rPr>
        <w:t>Quita subrayado.</w:t>
      </w:r>
    </w:p>
    <w:p>
      <w:pPr>
        <w:pStyle w:val="IntenseQuote"/>
      </w:pPr>
      <w:r>
        <w:t>ul.submenu li a:hover</w:t>
      </w:r>
    </w:p>
    <w:p>
      <w:r>
        <w:rPr>
          <w:sz w:val="22"/>
        </w:rPr>
        <w:t>Estilo del enlace del submenú al pasar el mouse.</w:t>
      </w:r>
    </w:p>
    <w:p>
      <w:pPr>
        <w:pStyle w:val="IntenseQuote"/>
      </w:pPr>
      <w:r>
        <w:t>background-color: #3b5998;</w:t>
      </w:r>
    </w:p>
    <w:p>
      <w:r>
        <w:rPr>
          <w:sz w:val="22"/>
        </w:rPr>
        <w:t>Color de fondo cuando se pasa el mouse por un submenú.</w:t>
      </w:r>
    </w:p>
    <w:p>
      <w:pPr>
        <w:pStyle w:val="IntenseQuote"/>
      </w:pPr>
      <w:r>
        <w:t>li:hover &gt; ul.submenu</w:t>
      </w:r>
    </w:p>
    <w:p>
      <w:r>
        <w:rPr>
          <w:sz w:val="22"/>
        </w:rPr>
        <w:t>Regla para mostrar el submenú al pasar el cursor por el ítem padre.</w:t>
      </w:r>
    </w:p>
    <w:p>
      <w:pPr>
        <w:pStyle w:val="IntenseQuote"/>
      </w:pPr>
      <w:r>
        <w:t>display: block;</w:t>
      </w:r>
    </w:p>
    <w:p>
      <w:r>
        <w:rPr>
          <w:sz w:val="22"/>
        </w:rPr>
        <w:t>Muestra el submenú.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