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" w:after="0"/>
        <w:jc w:val="center"/>
        <w:rPr>
          <w:rFonts w:ascii="Arial" w:hAnsi="Arial"/>
          <w:color w:val="auto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132715</wp:posOffset>
            </wp:positionV>
            <wp:extent cx="981710" cy="981710"/>
            <wp:effectExtent l="0" t="0" r="0" b="0"/>
            <wp:wrapTopAndBottom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tabs>
          <w:tab w:val="clear" w:pos="708"/>
          <w:tab w:val="left" w:pos="8647" w:leader="none"/>
        </w:tabs>
        <w:spacing w:before="1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pacing w:val="-16"/>
          <w:sz w:val="24"/>
          <w:szCs w:val="24"/>
          <w:shd w:fill="auto" w:val="clear"/>
        </w:rPr>
        <w:t xml:space="preserve">FATEC – FACULDADE DE TECNOLOGIA DE SÃO CAETANO DO SUL  </w:t>
      </w:r>
    </w:p>
    <w:p>
      <w:pPr>
        <w:pStyle w:val="Normal"/>
        <w:tabs>
          <w:tab w:val="clear" w:pos="708"/>
          <w:tab w:val="left" w:pos="8647" w:leader="none"/>
        </w:tabs>
        <w:spacing w:before="1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pacing w:val="-16"/>
          <w:sz w:val="24"/>
          <w:szCs w:val="24"/>
          <w:shd w:fill="auto" w:val="clear"/>
        </w:rPr>
        <w:t xml:space="preserve">ANTÔNIO RUSSO </w:t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spacing w:before="7" w:after="0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Normal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6"/>
          <w:szCs w:val="24"/>
          <w:shd w:fill="auto" w:val="clear"/>
        </w:rPr>
        <w:t xml:space="preserve">Proposta de Arquitetura de Cibersegurança em Camadas Baseada no Framework NIST   </w:t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Heading2"/>
        <w:spacing w:before="51" w:after="0"/>
        <w:ind w:left="0" w:right="3"/>
        <w:rPr>
          <w:rFonts w:ascii="Arial" w:hAnsi="Arial" w:cs="Times New Roman"/>
          <w:color w:val="auto"/>
          <w:highlight w:val="none"/>
          <w:shd w:fill="auto" w:val="clear"/>
        </w:rPr>
      </w:pPr>
      <w:r>
        <w:rPr>
          <w:rFonts w:cs="Times New Roman" w:ascii="Arial" w:hAnsi="Arial"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spacing w:before="9" w:after="0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Normal"/>
        <w:spacing w:before="52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6"/>
          <w:szCs w:val="24"/>
          <w:shd w:fill="auto" w:val="clear"/>
        </w:rPr>
        <w:t>Efraim de Almeida Lima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 xml:space="preserve">  </w:t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Abril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 xml:space="preserve"> – 202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6</w:t>
      </w:r>
    </w:p>
    <w:p>
      <w:pPr>
        <w:pStyle w:val="Normal"/>
        <w:spacing w:before="34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SÃO CAETANO - SP</w:t>
      </w:r>
      <w:r>
        <w:br w:type="page"/>
      </w:r>
    </w:p>
    <w:p>
      <w:pPr>
        <w:pStyle w:val="Normal"/>
        <w:spacing w:before="0" w:after="0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2"/>
          <w:szCs w:val="24"/>
          <w:shd w:fill="auto" w:val="clear"/>
        </w:rPr>
        <w:t>ÍNDICE</w:t>
      </w:r>
    </w:p>
    <w:p>
      <w:pPr>
        <w:pStyle w:val="Normal"/>
        <w:jc w:val="center"/>
        <w:rPr>
          <w:rFonts w:ascii="Arial" w:hAnsi="Arial" w:cs="Times New Roman"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color w:val="000000"/>
          <w:sz w:val="24"/>
          <w:szCs w:val="24"/>
          <w:shd w:fill="auto" w:val="clear"/>
        </w:rPr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1. </w:t>
      </w:r>
      <w:r>
        <w:rPr>
          <w:rFonts w:ascii="Arial" w:hAnsi="Arial"/>
          <w:color w:val="000000"/>
          <w:sz w:val="24"/>
          <w:szCs w:val="24"/>
          <w:shd w:fill="auto" w:val="clear"/>
        </w:rPr>
        <w:t>Introdução</w:t>
      </w:r>
      <w:r>
        <w:rPr>
          <w:rFonts w:ascii="Arial" w:hAnsi="Arial"/>
          <w:color w:val="000000"/>
          <w:sz w:val="24"/>
          <w:szCs w:val="24"/>
          <w:shd w:fill="auto" w:val="clear"/>
        </w:rPr>
        <w:br/>
      </w:r>
      <w:r>
        <w:rPr>
          <w:rFonts w:ascii="Arial" w:hAnsi="Arial"/>
          <w:color w:val="000000"/>
          <w:sz w:val="24"/>
          <w:szCs w:val="24"/>
          <w:shd w:fill="auto" w:val="clear"/>
        </w:rPr>
        <w:t xml:space="preserve">2.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﻿Camada de Borda e Mitigação Externa (Edge Security)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3.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﻿Controle de Fronteira e Filtragem de Rede (Block List &amp; Network Protection)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4.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﻿Domínio de Dados e Virtualização (Data Domain)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5.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﻿Monitoramento de Servidores e Estações (Data Domain)</w:t>
      </w:r>
      <w:r>
        <w:rPr>
          <w:rFonts w:ascii="Arial" w:hAnsi="Arial"/>
          <w:color w:val="000000"/>
          <w:sz w:val="24"/>
          <w:szCs w:val="24"/>
          <w:shd w:fill="auto" w:val="clear"/>
        </w:rPr>
        <w:br/>
      </w:r>
      <w:r>
        <w:rPr>
          <w:rFonts w:ascii="Arial" w:hAnsi="Arial"/>
          <w:color w:val="000000"/>
          <w:sz w:val="24"/>
          <w:szCs w:val="24"/>
          <w:shd w:fill="auto" w:val="clear"/>
        </w:rPr>
        <w:t>6</w:t>
      </w:r>
      <w:r>
        <w:rPr>
          <w:rFonts w:ascii="Arial" w:hAnsi="Arial"/>
          <w:color w:val="000000"/>
          <w:sz w:val="24"/>
          <w:szCs w:val="24"/>
          <w:shd w:fill="auto" w:val="clear"/>
        </w:rPr>
        <w:t xml:space="preserve">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﻿Monitorização, Deteção e Resposta (SIEM, EDR &amp; XDR)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>7</w:t>
      </w:r>
      <w:r>
        <w:rPr>
          <w:rFonts w:ascii="Arial" w:hAnsi="Arial"/>
          <w:color w:val="000000"/>
          <w:sz w:val="24"/>
          <w:szCs w:val="24"/>
          <w:shd w:fill="auto" w:val="clear"/>
        </w:rPr>
        <w:t>. Conclusão</w:t>
      </w:r>
      <w:r>
        <w:br w:type="page"/>
      </w:r>
    </w:p>
    <w:p>
      <w:pPr>
        <w:pStyle w:val="Heading2"/>
        <w:spacing w:before="0" w:after="0"/>
        <w:ind w:hanging="0" w:left="0"/>
        <w:contextualSpacing/>
        <w:jc w:val="both"/>
        <w:rPr>
          <w:sz w:val="20"/>
          <w:szCs w:val="20"/>
          <w:highlight w:val="none"/>
          <w:shd w:fill="auto" w:val="clear"/>
        </w:rPr>
      </w:pPr>
      <w:r>
        <w:rPr>
          <w:rFonts w:cs="Times New Roman" w:ascii="Arial" w:hAnsi="Arial"/>
          <w:b/>
          <w:bCs/>
          <w:color w:val="000000"/>
          <w:sz w:val="20"/>
          <w:szCs w:val="20"/>
          <w:shd w:fill="auto" w:val="clear"/>
        </w:rPr>
        <w:t>1. Introdução</w:t>
      </w:r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evolução das ameaças cibernéticas exige que as organizações abandonem modelos de segurança baseados apenas no perímetro físico. Esta arquitetura adota o conceito de </w:t>
      </w:r>
      <w:r>
        <w:rPr>
          <w:b/>
          <w:sz w:val="20"/>
          <w:szCs w:val="20"/>
        </w:rPr>
        <w:t>Defesa em Profundidade</w:t>
      </w:r>
      <w:r>
        <w:rPr>
          <w:sz w:val="20"/>
          <w:szCs w:val="20"/>
        </w:rPr>
        <w:t>, segmentando a infraestrutura em camadas lógicas que garantem redundância e granularidade no controlo de acessos.</w:t>
      </w:r>
    </w:p>
    <w:p>
      <w:pPr>
        <w:pStyle w:val="BodyText"/>
        <w:spacing w:before="0" w:after="283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 </w:t>
      </w:r>
      <w:bookmarkStart w:id="0" w:name="__DdeLink__2423_1253544994"/>
      <w:r>
        <w:rPr>
          <w:b/>
          <w:bCs/>
          <w:sz w:val="20"/>
          <w:szCs w:val="20"/>
        </w:rPr>
        <w:t>Camada de Borda e Mitigação Externa (Edge Security)</w:t>
      </w:r>
      <w:bookmarkEnd w:id="0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primeira barreira de defesa atua antes que o tráfego atinja a infraestrutura local, focando na disponibilidade e integridade do tráfego de entrada.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CDN &amp; Edge Protection:</w:t>
      </w:r>
      <w:r>
        <w:rPr>
          <w:sz w:val="20"/>
          <w:szCs w:val="20"/>
        </w:rPr>
        <w:t xml:space="preserve"> Implementação de Redes de Entrega de Conteúdo para distribuição de carga e ocultação do endereço IP real da origem.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Ocultação de Origem: Impedir que o IP do roteador de borda seja exposto publicamente;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Caching Estratégico: Reduzir a carga nos servidores internos servindo conteúdo estático na borda;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Anycast Network: Distribuir o tráfego globalmente para mitigar latência e ataques volumétricos.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Mitigação de DDoS:</w:t>
      </w:r>
      <w:r>
        <w:rPr>
          <w:sz w:val="20"/>
          <w:szCs w:val="20"/>
        </w:rPr>
        <w:t xml:space="preserve"> Filtragem de tráfego em larga escala para garantir a disponibilidade, Este aqui estaria atrelado ao Firewall.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Mitigação de Camada 3, 4 e 7: Bloqueio de ataques de inundação (SYN, UDP flood) e ataques de exaustão de recursos HTTP;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- Reputação de IP Global: Bloqueio automático de IPs conhecidos por botnets antes de atingirem a rede local.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NG Firewall:</w:t>
      </w:r>
      <w:r>
        <w:rPr>
          <w:sz w:val="20"/>
          <w:szCs w:val="20"/>
        </w:rPr>
        <w:t xml:space="preserve"> Implementar um NG Firewall para bloquear acessos dos usuários indevidos no ambiente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Para proteção de acesso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Listas de ACL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LDAP/RADIUS (Jogar pra autenticação local - Data Domain) -&gt; consome recursos do roteador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802.1X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IPS/IDS: Detecção e prevenção de intrusão baseada em assinaturas e anomalias;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Control application</w:t>
      </w:r>
    </w:p>
    <w:p>
      <w:pPr>
        <w:pStyle w:val="Heading2"/>
        <w:widowControl w:val="false"/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bookmarkStart w:id="1" w:name="__DdeLink__2425_1253544994"/>
      <w:r>
        <w:rPr>
          <w:sz w:val="20"/>
          <w:szCs w:val="20"/>
        </w:rPr>
        <w:t>Control</w:t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 de Fronteira e Filtragem de Rede (Block List &amp; Network Protection)</w:t>
      </w:r>
      <w:bookmarkEnd w:id="1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Esta camada é responsável pela inspeção técnica e lógica dos pacotes que atravessam o perímetro da organização.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Roteador de Borda: </w:t>
      </w:r>
      <w:r>
        <w:rPr>
          <w:b w:val="false"/>
          <w:bCs w:val="false"/>
          <w:sz w:val="20"/>
          <w:szCs w:val="20"/>
        </w:rPr>
        <w:t>Implementar um roteador de borda para filtrar pacotes maliciosos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Inspeção de pacotes (SPI)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criptografia de comunicação (VPN + MFA) para autenticação na caixa apenas,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controle de acesso (WPA3)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mensurar tempo de reboot, de patches update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NG Firewall:</w:t>
      </w:r>
      <w:r>
        <w:rPr>
          <w:b w:val="false"/>
          <w:bCs w:val="false"/>
          <w:sz w:val="20"/>
          <w:szCs w:val="20"/>
        </w:rPr>
        <w:t xml:space="preserve"> Implementar um NG Firewall para bloquear acesso de sites específicos, protocolos e portas também. Sendo esta uma primeira barreira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Proxy </w:t>
      </w:r>
      <w:r>
        <w:rPr>
          <w:b w:val="false"/>
          <w:bCs w:val="false"/>
          <w:sz w:val="20"/>
          <w:szCs w:val="20"/>
        </w:rPr>
        <w:t>para</w:t>
      </w:r>
      <w:r>
        <w:rPr>
          <w:b w:val="false"/>
          <w:bCs w:val="false"/>
          <w:sz w:val="20"/>
          <w:szCs w:val="20"/>
        </w:rPr>
        <w:t xml:space="preserve"> Acesso ao sistema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D</w:t>
      </w:r>
      <w:r>
        <w:rPr>
          <w:b w:val="false"/>
          <w:bCs w:val="false"/>
          <w:sz w:val="20"/>
          <w:szCs w:val="20"/>
        </w:rPr>
        <w:t>PI (inspeção de pacotes) -&gt; dinamica a partir do CTI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PN + MFA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SPI (Stateful Packet Inspection): Monitoramento do estado das conexões ativas;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Hardening de Gerenciamento: Acesso à interface de configuração apenas via VPN + MFA;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Segurança de Camada 2: Implementação de WPA3 para conexões wireless administrativas.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WAF:</w:t>
      </w:r>
      <w:r>
        <w:rPr>
          <w:b w:val="false"/>
          <w:bCs w:val="false"/>
          <w:sz w:val="20"/>
          <w:szCs w:val="20"/>
        </w:rPr>
        <w:t xml:space="preserve"> Garantir a segurança dos serviços presentes  no ambiente, garantindo resistencia a ataques sofisticados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filtragem de trafego HTTP;HTTPS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bloqueio de ameças OWASP TOP 10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gerenciamento de presença de BOTs;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mitigação de DDoS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segurança de APIs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Analise COmportamental com IA;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Serviços de Identidade: Integração com LDAP/RADIUS para aplicar políticas baseadas no usuário (Identity-Aware).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bookmarkStart w:id="2" w:name="__DdeLink__2429_1253544994"/>
      <w:r>
        <w:rPr>
          <w:sz w:val="20"/>
          <w:szCs w:val="20"/>
        </w:rPr>
        <w:t>Domínio de Dados e Virtualização (Data Domain)</w:t>
      </w:r>
      <w:bookmarkEnd w:id="2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Estando dentro de Data Domain, n</w:t>
      </w:r>
      <w:r>
        <w:rPr>
          <w:sz w:val="20"/>
          <w:szCs w:val="20"/>
        </w:rPr>
        <w:t>esta camada, o foco reside na proteção dos ativos onde a informação é processada e armazenada.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Virtualização e Contentores (Kubernetes/Docker):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</w:rPr>
        <w:t>mplementar virtualização para serviços específicos, aplicações de uso interno/externo, organização dos ambientes de desenvolvimento e de produção.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>
        <w:rPr>
          <w:sz w:val="20"/>
          <w:szCs w:val="20"/>
        </w:rPr>
        <w:t xml:space="preserve">ervidores guest devidamente hardenizados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sz w:val="20"/>
          <w:szCs w:val="20"/>
        </w:rPr>
        <w:t>ortas abertas estritamente necessárias,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serviços rodando apenas sendo os necessários,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não permitir root over ssh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acesso remoto apenas criptografado e com par de chaves,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containers em redes apartadas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configuração de redundância nos Pods para balanceamento de carga;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VMs e Containers </w:t>
      </w:r>
      <w:r>
        <w:rPr>
          <w:b/>
          <w:sz w:val="20"/>
          <w:szCs w:val="20"/>
        </w:rPr>
        <w:t>(exclusivamente)</w:t>
      </w:r>
      <w:r>
        <w:rPr>
          <w:b/>
          <w:sz w:val="20"/>
          <w:szCs w:val="2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Hardening de Host/Guest: Configuração de SO enxuto (minimal) e desativação de serviços desnecessários;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Segurança de Acesso: Proibição de login de root via SSH e autenticação exclusiva por par de chaves;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Isolamento de Rede: Containers operando em redes virtuais apartadas (Micro-segmentação);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Alta Disponibilidade: Configuração de redundância em Pods e balanceamento de carga nativo;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Sensores de SIEMs/XDRs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Segurança de Endpoints (Clients):</w:t>
      </w:r>
      <w:r>
        <w:rPr>
          <w:sz w:val="20"/>
          <w:szCs w:val="20"/>
        </w:rPr>
        <w:t xml:space="preserve"> Implementação de modelos </w:t>
      </w:r>
      <w:r>
        <w:rPr>
          <w:i/>
          <w:sz w:val="20"/>
          <w:szCs w:val="20"/>
        </w:rPr>
        <w:t>Zero Trust</w:t>
      </w:r>
      <w:r>
        <w:rPr>
          <w:sz w:val="20"/>
          <w:szCs w:val="20"/>
        </w:rPr>
        <w:t xml:space="preserve"> com MFA obrigatório, criptografia de disco e controlo de acesso à rede (NAC 802.1X) para garantir a conformidade dos dispositivos.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Gestão de Identidade e Acesso (IAM - Zero Trust):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MFA Obrigatório;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Criptografia de Disco;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NAC (Network Access Control - 802.1X) para garantir que apenas </w:t>
      </w:r>
      <w:r>
        <w:rPr>
          <w:sz w:val="20"/>
          <w:szCs w:val="20"/>
        </w:rPr>
        <w:t>d</w:t>
      </w:r>
      <w:r>
        <w:rPr>
          <w:sz w:val="20"/>
          <w:szCs w:val="20"/>
        </w:rPr>
        <w:t>ispositivos com certificados digitais válidos e conformidade de segurança (patching em dia, EDR ativo) possam se conectar à rede;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MDM / UEM (Unified Endpoint Management): Garantir que o sistema operacional esteja atualizado e com as configurações de segurança (GPOs) aplicadas antes de permitir o acesso ao Data Domain;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Proteção de Dados </w:t>
      </w:r>
      <w:r>
        <w:rPr>
          <w:b/>
          <w:sz w:val="20"/>
          <w:szCs w:val="20"/>
        </w:rPr>
        <w:t>em Databases e Estações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Aplicação de RBAC (Control</w:t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 de Acesso Baseado em Funções), criptografia em repouso e auditoria detalhada de consultas às bases de dados.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RBAC (Role-Based Access Control): Acesso estritamente limitado por função de usuário/aplicação;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Criptografia em Repouso (At-Rest): Garantir que os dados no disco estejam cifrados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Auditoria de Consultas (AAA): Logs detalhados de quem acessou qual dado e quando (Audit Trail);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DLP (Data Loss Prevention) para evitar perda de dados, com bloqueio na transferencia de dados e monitoramento de trafego de dados;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XDRs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bookmarkStart w:id="3" w:name="__DdeLink__2469_1253544994"/>
      <w:bookmarkStart w:id="4" w:name="__DdeLink__2431_1253544994_Copy_1"/>
      <w:r>
        <w:rPr>
          <w:sz w:val="20"/>
          <w:szCs w:val="20"/>
        </w:rPr>
        <w:t>M</w:t>
      </w:r>
      <w:bookmarkEnd w:id="4"/>
      <w:r>
        <w:rPr>
          <w:sz w:val="20"/>
          <w:szCs w:val="20"/>
        </w:rPr>
        <w:t>onitoramento de Servidores e Estações (Data Domain)</w:t>
      </w:r>
      <w:bookmarkEnd w:id="3"/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Sendo uma continuação de data domain, neste trecho o objetivo é tratar exclusivamente de hosts na rede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Servidores: </w:t>
      </w:r>
      <w:r>
        <w:rPr>
          <w:sz w:val="20"/>
          <w:szCs w:val="20"/>
        </w:rPr>
        <w:t>SServidores on premise conectados à rede, servindo de redundância e também para disponibilizar serviços específicos.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LDAP e RBAC -&gt; com foco em permitir autenticação dos usuários ao sistema,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VPN -&gt; para tunelar o tráfego externo;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Modelo AAA  -&gt; para garantir a integridade do ambiente, assim como disponibilizar recursos de auditoria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para SIEMs e 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Estações: </w:t>
      </w:r>
      <w:r>
        <w:rPr>
          <w:b w:val="false"/>
          <w:bCs w:val="false"/>
          <w:sz w:val="20"/>
          <w:szCs w:val="20"/>
        </w:rPr>
        <w:t>Inserção de agentes/sensores que permitam monitorar dados, processos e demais elementos do ambiente.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Gestão de Identidade e Acesso (IAM - Zero Trust):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MFA Obrigatório;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Criptografia de Disco;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NAC (Network Access Control - 802.1X) para garantir que apenas dispositivos com certificados digitais válidos e conformidade de segurança (patching em dia, EDR ativo) possam se conectar à rede;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MDM / UEM (Unified Endpoint Management): Garantir que o sistema operacional esteja atualizado e com as configurações de segurança (GPOs) aplicadas antes de permitir o acesso ao Data Domain;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Sensores de SIEM e XDR;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. </w:t>
      </w:r>
      <w:bookmarkStart w:id="5" w:name="__DdeLink__2431_1253544994"/>
      <w:r>
        <w:rPr>
          <w:sz w:val="20"/>
          <w:szCs w:val="20"/>
        </w:rPr>
        <w:t>Monitorização, Deteção e Resposta (SIEM, EDR &amp; XDR)</w:t>
      </w:r>
      <w:bookmarkEnd w:id="5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última camada garante a visibilidade transversal e a capacidade de reação a incidentes.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EDR/XDR:</w:t>
      </w:r>
      <w:r>
        <w:rPr>
          <w:sz w:val="20"/>
          <w:szCs w:val="20"/>
        </w:rPr>
        <w:t xml:space="preserve"> Monitorização de processos em tempo real em servidores e estações de trabalho, permitindo o isolamento de hosts infetados e a remediação automática de ameaças como </w:t>
      </w:r>
      <w:r>
        <w:rPr>
          <w:i/>
          <w:sz w:val="20"/>
          <w:szCs w:val="20"/>
        </w:rPr>
        <w:t>ransomware</w:t>
      </w:r>
      <w:r>
        <w:rPr>
          <w:sz w:val="20"/>
          <w:szCs w:val="20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Monitoramento de Processos: Registro de cada execução de binários, scripts e comandos (Powershell, Bash) para detectar anomalias;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Análise de Árvore de Processos: Identificar se um processo legítimo (como o Word ou um Navegador) gerou um processo suspeito (como um terminal);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Isolamento de Host: Capacidade de "cortar" a rede do dispositivo infectado remotamente para conter um surto de malware;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Remediação: Rollback de alterações feitas por ransomware ou remoção automática de persistências no registro/arquivos;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Visibilidade Transversal: Unificar a visão do que acontece no "Client" com o que o "WAF" e o "CDN" estão vendo;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Resposta Orquestrada: Se o XDR detecta um ataque no servidor Python (Uvicorn), ele pode automaticamente instruir o Firewall de Borda a bloquear o IP do atacante;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Threat Hunting: Ferramentas de busca proativa por ameaças baseadas em IOCs (Indicadores de Comprometimento) globais.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SIEM:</w:t>
      </w:r>
      <w:r>
        <w:rPr>
          <w:sz w:val="20"/>
          <w:szCs w:val="20"/>
        </w:rPr>
        <w:t xml:space="preserve"> Centralização e correlação de logs de todas as camadas anteriores (WAF, Firewall, Bases de Dados), facilitando a conformidade normativa e a perícia digital pós-incidente.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Centralização de Logs (Log Management): Coletar eventos do Roteador, NGFW, WAF, Bancos de Dados e Cloudflare em um único local;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Correlação de Eventos: Identificar que um erro de login no Banco de Dados (Data Domain) está relacionado a um tráfego suspeito detectado pelo WAF minutos antes;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Dashboard de Conformidade: Gerar relatórios automáticos para auditorias de conformidade (NIST, ISO 27001);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Retenção de Dados: Armazenamento histórico de logs para perícia digital (Forensics) após um incidente.</w:t>
      </w:r>
    </w:p>
    <w:p>
      <w:pPr>
        <w:pStyle w:val="Heading2"/>
        <w:widowControl w:val="false"/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>7</w:t>
      </w:r>
      <w:r>
        <w:rPr>
          <w:sz w:val="20"/>
          <w:szCs w:val="20"/>
        </w:rPr>
        <w:t>. Conclusão</w:t>
      </w:r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arquitetura proposta oferece uma visão holística da segurança da informação, alinhando controles técnicos rigorosos com as melhores práticas internacionais. A integração entre as barreiras de proteção e os sensores de monitorização permite uma resposta coordenada, reduzindo significativamente a superfície de ataque da organização.</w:t>
      </w:r>
    </w:p>
    <w:p>
      <w:pPr>
        <w:pStyle w:val="ListParagraph"/>
        <w:spacing w:before="0" w:after="0"/>
        <w:ind w:hanging="0" w:left="0"/>
        <w:contextualSpacing/>
        <w:jc w:val="both"/>
        <w:rPr>
          <w:rFonts w:ascii="Arial" w:hAnsi="Arial" w:cs="Times New Roman"/>
          <w:b/>
          <w:bCs/>
          <w:color w:val="auto"/>
        </w:rPr>
      </w:pPr>
      <w:r>
        <w:rPr>
          <w:sz w:val="20"/>
          <w:szCs w:val="20"/>
          <w:shd w:fill="auto" w:val="clear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701" w:gutter="0" w:header="0" w:top="1418" w:footer="1581" w:bottom="1638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/>
    <w:lsdException w:name="Strong" w:uiPriority="0" w:semiHidden="0" w:unhideWhenUsed="0" w:qFormat="1"/>
    <w:lsdException w:name="Emphasis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559"/>
      <w:outlineLvl w:val="1"/>
    </w:pPr>
    <w:rPr>
      <w:b/>
      <w:bCs/>
      <w:sz w:val="24"/>
      <w:szCs w:val="24"/>
    </w:rPr>
  </w:style>
  <w:style w:type="paragraph" w:styleId="Heading4">
    <w:name w:val="Heading 4"/>
    <w:basedOn w:val="Ttulo"/>
    <w:next w:val="BodyText"/>
    <w:uiPriority w:val="0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uiPriority w:val="0"/>
    <w:qFormat/>
    <w:rPr>
      <w:i/>
      <w:iCs/>
    </w:rPr>
  </w:style>
  <w:style w:type="character" w:styleId="Hyperlink">
    <w:name w:val="Hyperlink"/>
    <w:uiPriority w:val="0"/>
    <w:qFormat/>
    <w:rPr>
      <w:color w:val="000080"/>
      <w:u w:val="single"/>
    </w:rPr>
  </w:style>
  <w:style w:type="character" w:styleId="Strong">
    <w:name w:val="Strong"/>
    <w:uiPriority w:val="0"/>
    <w:qFormat/>
    <w:rPr>
      <w:b/>
      <w:bCs/>
    </w:rPr>
  </w:style>
  <w:style w:type="character" w:styleId="Ttulo2Char" w:customStyle="1">
    <w:name w:val="Título 2 Char"/>
    <w:basedOn w:val="DefaultParagraphFont"/>
    <w:uiPriority w:val="9"/>
    <w:qFormat/>
    <w:rPr>
      <w:rFonts w:ascii="Calibri" w:hAnsi="Calibri" w:eastAsia="Calibri" w:cs="Calibri"/>
      <w:b/>
      <w:bCs/>
      <w:sz w:val="24"/>
      <w:szCs w:val="24"/>
      <w:lang w:val="pt-PT"/>
    </w:rPr>
  </w:style>
  <w:style w:type="character" w:styleId="CorpodetextoChar" w:customStyle="1">
    <w:name w:val="Corpo de texto Char"/>
    <w:basedOn w:val="DefaultParagraphFont"/>
    <w:uiPriority w:val="1"/>
    <w:qFormat/>
    <w:rPr>
      <w:rFonts w:ascii="Calibri" w:hAnsi="Calibri" w:eastAsia="Calibri" w:cs="Calibri"/>
      <w:sz w:val="24"/>
      <w:szCs w:val="24"/>
      <w:lang w:val="pt-PT"/>
    </w:rPr>
  </w:style>
  <w:style w:type="character" w:styleId="CabealhoChar" w:customStyle="1">
    <w:name w:val="Cabeçalho Char"/>
    <w:basedOn w:val="DefaultParagraphFont"/>
    <w:link w:val="Header"/>
    <w:uiPriority w:val="99"/>
    <w:qFormat/>
    <w:rPr>
      <w:rFonts w:ascii="Calibri" w:hAnsi="Calibri" w:eastAsia="Calibri" w:cs="Calibri"/>
      <w:lang w:val="pt-PT"/>
    </w:rPr>
  </w:style>
  <w:style w:type="character" w:styleId="RodapChar" w:customStyle="1">
    <w:name w:val="Rodapé Char"/>
    <w:basedOn w:val="DefaultParagraphFont"/>
    <w:link w:val="Footer"/>
    <w:uiPriority w:val="99"/>
    <w:qFormat/>
    <w:rPr>
      <w:rFonts w:ascii="Calibri" w:hAnsi="Calibri" w:eastAsia="Calibri" w:cs="Calibri"/>
      <w:lang w:val="pt-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  <w:lang w:val="pt-PT"/>
    </w:rPr>
  </w:style>
  <w:style w:type="character" w:styleId="Marcadores" w:customStyle="1">
    <w:name w:val="Marcadores"/>
    <w:uiPriority w:val="0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uiPriority w:val="0"/>
    <w:qFormat/>
    <w:rPr/>
  </w:style>
  <w:style w:type="character" w:styleId="Cdigo-fonte" w:customStyle="1">
    <w:name w:val="Código-fonte"/>
    <w:uiPriority w:val="0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sz w:val="24"/>
      <w:szCs w:val="24"/>
    </w:rPr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IndexHeading">
    <w:name w:val="Index Heading"/>
    <w:basedOn w:val="Ttulo"/>
    <w:uiPriority w:val="0"/>
    <w:pPr>
      <w:suppressLineNumbers/>
      <w:ind w:hanging="0" w:left="0"/>
    </w:pPr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TOCHeading" w:customStyle="1">
    <w:name w:val="TOC Heading"/>
    <w:basedOn w:val="IndexHeading"/>
    <w:uiPriority w:val="0"/>
    <w:qFormat/>
    <w:pPr>
      <w:suppressLineNumbers/>
      <w:ind w:hanging="0" w:left="0"/>
    </w:pPr>
    <w:rPr>
      <w:sz w:val="32"/>
      <w:szCs w:val="32"/>
    </w:rPr>
  </w:style>
  <w:style w:type="paragraph" w:styleId="Contedodatabela" w:customStyle="1">
    <w:name w:val="Conteúdo da tabela"/>
    <w:basedOn w:val="Normal"/>
    <w:uiPriority w:val="0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uiPriority w:val="0"/>
    <w:qFormat/>
    <w:pPr>
      <w:suppressLineNumbers/>
      <w:jc w:val="center"/>
    </w:pPr>
    <w:rPr>
      <w:b/>
      <w:bCs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8</Pages>
  <Words>1466</Words>
  <Characters>8046</Characters>
  <CharactersWithSpaces>9322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2020-04-15T11:48:00Z</dcterms:created>
  <dc:creator>Beatriz Dantas Oliveira</dc:creator>
  <dc:description/>
  <dc:language>en-US</dc:language>
  <cp:lastModifiedBy/>
  <cp:lastPrinted>2025-09-21T16:07:00Z</cp:lastPrinted>
  <dcterms:modified xsi:type="dcterms:W3CDTF">2026-04-08T18:51:11Z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A129290E89A942D0BB7F3F04356B40EB_13</vt:lpwstr>
  </property>
  <property fmtid="{D5CDD505-2E9C-101B-9397-08002B2CF9AE}" pid="3" name="KSOProductBuildVer">
    <vt:lpwstr>1033-12.2.0.23155</vt:lpwstr>
  </property>
</Properties>
</file>