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/>
          <w:sz w:val="24"/>
        </w:rPr>
        <w:t>FATEC – FACULDADE DE TECNOLOGIA DE SÃO CAETANO DO SUL</w:t>
      </w:r>
    </w:p>
    <w:p>
      <w:pPr>
        <w:pStyle w:val="Normal"/>
        <w:jc w:val="center"/>
        <w:rPr/>
      </w:pPr>
      <w:r>
        <w:rPr>
          <w:rFonts w:ascii="Arial" w:hAnsi="Arial"/>
          <w:b/>
          <w:sz w:val="24"/>
        </w:rPr>
        <w:t>ANTÔNIO RUSSO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/>
          <w:sz w:val="36"/>
        </w:rPr>
        <w:t>ISG012 — Atividades 01 e 02: Arquitetura de Redes Seguras e Roteamento Seguro com ACLs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/>
          <w:sz w:val="36"/>
        </w:rPr>
        <w:t>Efraim de Almeida Lima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/>
          <w:sz w:val="24"/>
        </w:rPr>
        <w:t>Junho – 2026</w:t>
      </w:r>
    </w:p>
    <w:p>
      <w:pPr>
        <w:pStyle w:val="Normal"/>
        <w:jc w:val="center"/>
        <w:rPr/>
      </w:pPr>
      <w:r>
        <w:rPr>
          <w:rFonts w:ascii="Arial" w:hAnsi="Arial"/>
          <w:b/>
          <w:sz w:val="24"/>
        </w:rPr>
        <w:t>SÃO CAETANO - SP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ascii="Arial" w:hAnsi="Arial"/>
          <w:b/>
          <w:sz w:val="32"/>
        </w:rPr>
        <w:t>ÍNDICE</w:t>
      </w:r>
    </w:p>
    <w:p>
      <w:pPr>
        <w:pStyle w:val="BodyText"/>
        <w:rPr/>
      </w:pPr>
      <w:r>
        <w:rPr/>
      </w:r>
    </w:p>
    <w:p>
      <w:pPr>
        <w:pStyle w:val="ListParagraph"/>
        <w:rPr/>
      </w:pPr>
      <w:r>
        <w:rPr>
          <w:sz w:val="22"/>
        </w:rPr>
        <w:t>1. Objetivo</w:t>
      </w:r>
    </w:p>
    <w:p>
      <w:pPr>
        <w:pStyle w:val="ListParagraph"/>
        <w:rPr/>
      </w:pPr>
      <w:r>
        <w:rPr>
          <w:sz w:val="22"/>
        </w:rPr>
        <w:t>2. Atividade ISG012-01 – Teoria: Arquitetura de Redes Seguras</w:t>
      </w:r>
    </w:p>
    <w:p>
      <w:pPr>
        <w:pStyle w:val="ListParagraph"/>
        <w:rPr/>
      </w:pPr>
      <w:r>
        <w:rPr>
          <w:sz w:val="22"/>
        </w:rPr>
        <w:t>3. Atividade ISG012-01 – Prática: Laboratório de Arquitetura Segmentada</w:t>
      </w:r>
    </w:p>
    <w:p>
      <w:pPr>
        <w:pStyle w:val="ListParagraph"/>
        <w:rPr/>
      </w:pPr>
      <w:r>
        <w:rPr>
          <w:sz w:val="22"/>
        </w:rPr>
        <w:t>4. Atividade ISG012-02 – Teoria: Roteamento Seguro e ACLs</w:t>
      </w:r>
    </w:p>
    <w:p>
      <w:pPr>
        <w:pStyle w:val="ListParagraph"/>
        <w:rPr/>
      </w:pPr>
      <w:r>
        <w:rPr>
          <w:sz w:val="22"/>
        </w:rPr>
        <w:t>5. Atividade ISG012-02 – Prática: Configuração de Roteador Linux com nftables</w:t>
      </w:r>
    </w:p>
    <w:p>
      <w:pPr>
        <w:pStyle w:val="ListParagraph"/>
        <w:rPr/>
      </w:pPr>
      <w:r>
        <w:rPr>
          <w:sz w:val="22"/>
        </w:rPr>
        <w:t>6. Conclusão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/>
        <w:t>Objetivo</w:t>
      </w:r>
    </w:p>
    <w:p>
      <w:pPr>
        <w:pStyle w:val="BodyText"/>
        <w:rPr/>
      </w:pPr>
      <w:r>
        <w:rPr/>
      </w:r>
    </w:p>
    <w:p>
      <w:pPr>
        <w:pStyle w:val="BodyText"/>
        <w:jc w:val="both"/>
        <w:rPr/>
      </w:pPr>
      <w:r>
        <w:rPr/>
        <w:t>Este trabalho tem por objetivo consolidar os fundamentos de arquitetura de redes seguras, compreendendo a transição do modelo de perímetro para abordagens modernas como Zero Trust e Defense in Depth (ISG012-01), bem como a aplicação de roteamento seguro com ACLs no Linux utilizando nftables para controle de tráfego inter-VLAN (ISG012-02). A atividade integra teoria e prática laboratorial para desenvolver competência na implementação de infraestruturas de rede segmentadas e resilientes.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r>
        <w:rPr/>
        <w:t>Atividade ISG012-01 – Teoria: Arquitetura de Redes Seguras</w:t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Questão 1</w:t>
      </w:r>
    </w:p>
    <w:p>
      <w:pPr>
        <w:pStyle w:val="BodyText"/>
        <w:jc w:val="both"/>
        <w:rPr/>
      </w:pPr>
      <w:r>
        <w:rPr>
          <w:b/>
        </w:rPr>
        <w:t>Explique a diferença fundamental entre o modelo de segurança baseado em perímetro e a arquitetura Zero Trust, destacando como cada abordagem trata o tráfego interno à rede corporativa.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O modelo de perímetro, predominante nas décadas de 1990 e 2000, opera sob a premissa "hard outside, soft inside": a segurança é concentrada na borda da rede (firewalls de borda), e todo tráfego que já se encontra dentro da rede goza de confiança implícita. Esse modelo pressupõe que ameaças são apenas externas — uma vez autenticado na borda, o usuário ou dispositivo pode se movimentar livremente pelo interior da rede sem reautenticação contínua. A limitação crítica é que um único comprometimento na borda (ou a partir de um dispositivo BYOD ou ameaça interna) expõe toda a rede, permitindo movimentação lateral irrestrita.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O modelo Zero Trust ("Nunca Confie, Sempre Verifique"), desenvolvido inicialmente pelo Forrester Research e formalizado pelo NIST na publicação SP 800-207, representa uma ruptura epistemológica: elimina o conceito de "rede confiável" independentemente da localização de origem do acesso. Cada solicitação de acesso — mesmo originada dentro da rede corporativa — exige verificação explícita contínua de identidade, dispositivo e contexto. Internamente, o Zero Trust impõe microssegmentação granular entre workloads e usuários, aplica o princípio de privilégio mínimo e opera sob a assunção de brecha (assume breach), projetando controles como se o perímetro já tivesse sido violado. O tráfego interno é tratado com o mesmo nível de desconfiança que o tráfego externo.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Questão 2</w:t>
      </w:r>
    </w:p>
    <w:p>
      <w:pPr>
        <w:pStyle w:val="BodyText"/>
        <w:jc w:val="both"/>
        <w:rPr/>
      </w:pPr>
      <w:r>
        <w:rPr>
          <w:b/>
        </w:rPr>
        <w:t>Descreva o conceito de Defense in Depth e explique como a segmentação de rede contribui especificamente para este framework estratégico.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Defense in Depth (Defesa em Profundidade) é uma estratégia de segurança inspirada em táticas militares que emprega múltiplas camadas de controles defensivos ao longo do caminho de dados. O princípio central é que nenhum controle é infalível; portanto, a redundância estratégica e a diversidade defensiva garantem que a falha de um único mecanismo não resulte em comprometimento total do ambiente. As camadas típicas são: Políticas → Perímetro → Rede → Endpoint → Aplicação → Dados. Cada camada integra controles de prevenção (firewalls), detecção (IDS/IPS) e resposta (contenção), retardando a progressão do atacante e reduzindo o impacto de brechas isoladas.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A segmentação de rede contribui diretamente para o Defense in Depth ao atuar como camada de isolamento lógico dentro da infraestrutura. Ao dividir a rede em zonas com políticas de tráfego específicas (ex.: Management, Internal, DMZ, External), a segmentação contém o raio de explosão (blast radius) de incidentes: mesmo que um segmento seja comprometido, o atacante enfrenta barreiras adicionais (firewalls inter-VLAN, ACLs) para alcançar segmentos críticos. Isso retarda a movimentação lateral, facilita a detecção de anomalias inter-segmentos e limita a superfície de ataque disponível ao adversário em cada estágio do Kill Chain.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Questão 3</w:t>
      </w:r>
    </w:p>
    <w:p>
      <w:pPr>
        <w:pStyle w:val="BodyText"/>
        <w:jc w:val="both"/>
        <w:rPr/>
      </w:pPr>
      <w:r>
        <w:rPr>
          <w:b/>
        </w:rPr>
        <w:t>Analise a função estratégica da DMZ (Demilitarized Zone) em uma arquitetura de rede segura, explicando por que serviços expostos à Internet não devem residir diretamente na rede interna corporativa.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A DMZ é uma sub-rede intermediária posicionada entre a Internet (zona não confiável) e a rede interna corporativa (zona confiável). Sua função estratégica é hospedar serviços que precisam ser acessíveis externamente — servidores web, DNS, e-mail, FTP — em um ambiente isolado, de forma que o comprometimento de um servidor na DMZ não implique acesso direto aos ativos internos sensíveis.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A razão pela qual serviços públicos não devem residir na rede interna é que qualquer vulnerabilidade explorada nesses serviços forneceria ao atacante um foothold imediato dentro da rede corporativa, com acesso direto a sistemas de ERP, bancos de dados, servidores de arquivos e outros ativos críticos. Com a DMZ, aplica-se o princípio "comprometimento da DMZ ≠ acesso à rede interna": entre a DMZ e a rede interna existe um segundo firewall (firewall interno), mais restritivo, que bloqueia conexões iniciadas a partir da DMZ. A arquitetura típica utiliza duplo firewall (ou tri-homed firewall): o firewall externo filtra tráfego entre Internet e DMZ, permitindo apenas portas específicas (80, 443, 25, 53); o firewall interno protege a rede interna da DMZ, aceitando apenas respostas a conexões iniciadas internamente. Dessa forma, a DMZ atua como zona de contenção que aumenta significativamente o custo e a complexidade de um ataque completo.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Questão 4</w:t>
      </w:r>
    </w:p>
    <w:p>
      <w:pPr>
        <w:pStyle w:val="BodyText"/>
        <w:jc w:val="both"/>
        <w:rPr/>
      </w:pPr>
      <w:r>
        <w:rPr>
          <w:b/>
        </w:rPr>
        <w:t>Discorra sobre como o subnetting pode ser utilizado como ferramenta de segurança, indo além de sua função tradicional de otimização de endereçamento IP.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Tradicionalmente, o subnetting serve para otimizar o uso do espaço de endereçamento IP e reduzir domínios de broadcast. Porém, do ponto de vista da segurança, o subnetting constitui uma ferramenta de microssegmentação que isola grupos de dispositivos em domínios lógicos distintos, controlados por políticas de tráfego específicas.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Ao criar sub-redes separadas por função (ex.: 192.168.1.0/24 para usuários internos, 192.168.2.0/24 para a DMZ, 192.168.3.0/24 para gerenciamento), o administrador cria fronteiras naturais onde roteadores ou firewalls podem aplicar ACLs granulares para controlar quais segmentos se comunicam e em quais condições. Isso elimina a comunicação lateral irrestrita entre dispositivos — um host comprometido em uma sub-rede não pode alcançar diretamente hosts em outra sub-rede sem passar pelo ponto de controle (firewall/roteador). Adicionalmente, o subnetting facilita a aplicação de políticas de QoS por segmento, a implementação de honeypots em sub-redes dedicadas para detecção de movimentação lateral, e a auditoria de tráfego inter-sub-rede por meio de logs no gateway. Em síntese, o subnetting transforma a topologia de rede em um instrumento ativo de contenção de incidentes.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Questão 5</w:t>
      </w:r>
    </w:p>
    <w:p>
      <w:pPr>
        <w:pStyle w:val="BodyText"/>
        <w:jc w:val="both"/>
        <w:rPr/>
      </w:pPr>
      <w:r>
        <w:rPr>
          <w:b/>
        </w:rPr>
        <w:t>Explique a importância da zona de Management separada fisicamente ou logicamente da rede de produção, citando controles específicos recomendados para este segmento crítico.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A zona de Management (gerenciamento) é um segmento dedicado exclusivamente ao acesso administrativo à infraestrutura (roteadores, switches, firewalls, servidores). Sua separação da rede de produção é estrategicamente crítica porque, se comprometida, a rede de gerenciamento concederia ao atacante controle total sobre todos os dispositivos gerenciados — um cenário catastrófico que tornaria ineficazes todos os demais controles de segurança.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Controles específicos recomendados para este segmento incluem: (1) </w:t>
      </w:r>
      <w:r>
        <w:rPr>
          <w:b/>
        </w:rPr>
        <w:t>Acesso via Jump Host / Bastion Host</w:t>
      </w:r>
      <w:r>
        <w:rPr/>
        <w:t xml:space="preserve">: todo acesso administrativo deve ser roteado obrigatoriamente por um servidor intermediário com autenticação multifator (MFA), que registra todas as sessões; (2) </w:t>
      </w:r>
      <w:r>
        <w:rPr>
          <w:b/>
        </w:rPr>
        <w:t>ACLs restritivas</w:t>
      </w:r>
      <w:r>
        <w:rPr/>
        <w:t xml:space="preserve">: apenas endereços IP explicitamente autorizados podem iniciar conexões à zona de Management; nenhuma conexão originada da Management deve ser permitida ao tráfego de produção sem justificativa; (3) </w:t>
      </w:r>
      <w:r>
        <w:rPr>
          <w:b/>
        </w:rPr>
        <w:t>Protocolos seguros exclusivos</w:t>
      </w:r>
      <w:r>
        <w:rPr/>
        <w:t xml:space="preserve">: SSH (porta 22) e HTTPS (443) para gerenciamento, banindo Telnet e HTTP; (4) </w:t>
      </w:r>
      <w:r>
        <w:rPr>
          <w:b/>
        </w:rPr>
        <w:t>VLAN dedicada com trunk criptografado</w:t>
      </w:r>
      <w:r>
        <w:rPr/>
        <w:t xml:space="preserve">: isolamento lógico via VLAN com 802.1Q, garantindo que tráfego de gerenciamento não vaze para outras VLANs; (5) </w:t>
      </w:r>
      <w:r>
        <w:rPr>
          <w:b/>
        </w:rPr>
        <w:t>Logging e alertas em tempo real</w:t>
      </w:r>
      <w:r>
        <w:rPr/>
        <w:t>: todo acesso à zona deve gerar logs auditáveis, integrados a um SIEM para detecção de acessos não autorizados.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Questão 6</w:t>
      </w:r>
    </w:p>
    <w:p>
      <w:pPr>
        <w:pStyle w:val="BodyText"/>
        <w:jc w:val="both"/>
        <w:rPr/>
      </w:pPr>
      <w:r>
        <w:rPr>
          <w:b/>
        </w:rPr>
        <w:t>Compare as abordagens de segmentação VLAN (camada 2) e microssegmentação baseada em identidade (camada 7), discutindo cenários onde cada uma é mais apropriada.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A segmentação por VLAN opera na camada 2 do modelo OSI (enlace de dados), dividindo domínios de broadcast logicamente em um mesmo switch físico sem necessidade de roteadores separados. A separação é baseada em critérios como porta do switch, endereço MAC ou tag 802.1Q. É uma solução madura, de baixo custo e amplamente suportada. É mais apropriada em ambientes on-premise tradicionais com infraestrutura física definida, onde grupos de usuários ou dispositivos têm fronteiras claras e estáveis (ex.: VLAN de VoIP, VLAN de usuários corporativos, VLAN de servidores). A limitação principal é que a segmentação VLAN não é granular o suficiente para controlar comunicação entre workloads dentro do mesmo segmento, e a identidade do usuário não é considerada — apenas a localização de rede.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A microssegmentação baseada em identidade opera na camada 7 (aplicação), associando políticas de acesso à identidade do usuário, do dispositivo ou da carga de trabalho (workload), independentemente da localização de rede. É a abordagem característica do Zero Trust: um usuário autenticado recebe acesso apenas às aplicações e dados para os quais tem autorização explícita, mesmo que esteja na mesma sub-rede que outros usuários. É mais apropriada em ambientes de nuvem híbrida, data centers com alta densidade de workloads virtualizados/containerizados, e cenários de trabalho remoto onde a localização física é irrelevante. A desvantagem é a maior complexidade de implementação e a necessidade de soluções específicas (ex.: SDN, plataformas de identidade como Okta, Zscaler, AWS IAM).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r>
        <w:rPr/>
        <w:t>Atividade ISG012-01 – Prática: Laboratório de Arquitetura Segmentada</w:t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Questão Prática 1</w:t>
      </w:r>
    </w:p>
    <w:p>
      <w:pPr>
        <w:pStyle w:val="BodyText"/>
        <w:jc w:val="both"/>
        <w:rPr/>
      </w:pPr>
      <w:r>
        <w:rPr>
          <w:b/>
        </w:rPr>
        <w:t>Qual comando Linux você utilizaria para verificar se a interface de rede da VM Linux Mint (gateway) está corretamente configurada em modo promíscuo para escutar tráfego entre segmentos, e como você validaria que o roteamento estático entre VLANs está funcional?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Para verificar o modo promíscuo de uma interface de rede no Linux, utiliza-se o comando:</w:t>
      </w:r>
    </w:p>
    <w:p>
      <w:pPr>
        <w:pStyle w:val="BodyText"/>
        <w:jc w:val="both"/>
        <w:rPr/>
      </w:pPr>
      <w:r>
        <w:rPr/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link show eth0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Na saída, a flag </w:t>
      </w:r>
      <w:r>
        <w:rPr>
          <w:rFonts w:ascii="Courier New" w:hAnsi="Courier New"/>
          <w:sz w:val="18"/>
        </w:rPr>
        <w:t>PROMISC</w:t>
      </w:r>
      <w:r>
        <w:rPr/>
        <w:t xml:space="preserve"> indica que a interface está em modo promíscuo. Alternativamente:</w:t>
      </w:r>
    </w:p>
    <w:p>
      <w:pPr>
        <w:pStyle w:val="BodyText"/>
        <w:jc w:val="both"/>
        <w:rPr/>
      </w:pPr>
      <w:r>
        <w:rPr/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cat /sys/class/net/eth0/flags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O valor </w:t>
      </w:r>
      <w:r>
        <w:rPr>
          <w:rFonts w:ascii="Courier New" w:hAnsi="Courier New"/>
          <w:sz w:val="18"/>
        </w:rPr>
        <w:t>0x103</w:t>
      </w:r>
      <w:r>
        <w:rPr/>
        <w:t xml:space="preserve"> (em vez de </w:t>
      </w:r>
      <w:r>
        <w:rPr>
          <w:rFonts w:ascii="Courier New" w:hAnsi="Courier New"/>
          <w:sz w:val="18"/>
        </w:rPr>
        <w:t>0x1003</w:t>
      </w:r>
      <w:r>
        <w:rPr/>
        <w:t>) indica modo promíscuo ativo. Para ativar o modo promíscuo manualmente:</w:t>
      </w:r>
    </w:p>
    <w:p>
      <w:pPr>
        <w:pStyle w:val="BodyText"/>
        <w:jc w:val="both"/>
        <w:rPr/>
      </w:pPr>
      <w:r>
        <w:rPr/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link set eth0 promisc on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Para validar que o roteamento estático entre VLANs está funcional, os passos são:</w:t>
      </w:r>
    </w:p>
    <w:p>
      <w:pPr>
        <w:pStyle w:val="BodyText"/>
        <w:jc w:val="both"/>
        <w:rPr/>
      </w:pPr>
      <w:r>
        <w:rPr/>
      </w:r>
    </w:p>
    <w:p>
      <w:pPr>
        <w:pStyle w:val="ListParagraph"/>
        <w:jc w:val="both"/>
        <w:rPr/>
      </w:pPr>
      <w:r>
        <w:rPr>
          <w:b/>
        </w:rPr>
        <w:t>Verificar IP forwarding está ativo: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sysctl net.ipv4.ip_forward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Deve retornar: net.ipv4.ip_forward = 1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ListParagraph"/>
        <w:jc w:val="both"/>
        <w:rPr/>
      </w:pPr>
      <w:r>
        <w:rPr>
          <w:b/>
        </w:rPr>
        <w:t>Verificar a tabela de roteamento: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show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ListParagraph"/>
        <w:jc w:val="both"/>
        <w:rPr/>
      </w:pPr>
      <w:r>
        <w:rPr>
          <w:b/>
        </w:rPr>
        <w:t>Testar conectividade entre segmentos com ping: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A partir da rede Internal (192.168.1.x), pingar host na DMZ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ping -c 4 192.168.2.1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ListParagraph"/>
        <w:jc w:val="both"/>
        <w:rPr/>
      </w:pPr>
      <w:r>
        <w:rPr>
          <w:b/>
        </w:rPr>
        <w:t>Rastrear o caminho dos pacotes: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traceroute 192.168.2.1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Questão Prática 2</w:t>
      </w:r>
    </w:p>
    <w:p>
      <w:pPr>
        <w:pStyle w:val="BodyText"/>
        <w:jc w:val="both"/>
        <w:rPr/>
      </w:pPr>
      <w:r>
        <w:rPr>
          <w:b/>
        </w:rPr>
        <w:t>Durante a configuração do Linux Mint como gateway entre zonas, implemente uma regra nftables que bloqueie todo tráfego originado na DMZ (192.168.2.0/24) com destino à rede Management (192.168.3.0/24), mantendo o acesso permitido da Internal para DMZ.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Criar a tabela e chains necessárias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table inet firewall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chain inet firewall forward { type filter hook forward priority 0 \; policy drop \; }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Permitir tráfego estabelecido/relacionado (stateful)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rule inet firewall forward ct state established,related accept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Permitir tráfego da rede Internal (192.168.1.0/24) para a DMZ (192.168.2.0/24)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rule inet firewall forward ip saddr 192.168.1.0/24 ip daddr 192.168.2.0/24 accept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BLOQUEAR tráfego da DMZ (192.168.2.0/24) para Management (192.168.3.0/24)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rule inet firewall forward ip saddr 192.168.2.0/24 ip daddr 192.168.3.0/24 drop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Verificar as regras aplicadas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list ruleset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A política padrão </w:t>
      </w:r>
      <w:r>
        <w:rPr>
          <w:rFonts w:ascii="Courier New" w:hAnsi="Courier New"/>
          <w:sz w:val="18"/>
        </w:rPr>
        <w:t>drop</w:t>
      </w:r>
      <w:r>
        <w:rPr/>
        <w:t xml:space="preserve"> na chain forward garante que somente tráfego explicitamente permitido atravesse o gateway. A regra de </w:t>
      </w:r>
      <w:r>
        <w:rPr>
          <w:rFonts w:ascii="Courier New" w:hAnsi="Courier New"/>
          <w:sz w:val="18"/>
        </w:rPr>
        <w:t>established,related</w:t>
      </w:r>
      <w:r>
        <w:rPr/>
        <w:t xml:space="preserve"> permite que respostas a conexões iniciadas internamente retornem normalmente sem criar regras individuais de retorno.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Questão Prática 3</w:t>
      </w:r>
    </w:p>
    <w:p>
      <w:pPr>
        <w:pStyle w:val="BodyText"/>
        <w:jc w:val="both"/>
        <w:rPr/>
      </w:pPr>
      <w:r>
        <w:rPr>
          <w:b/>
        </w:rPr>
        <w:t>Após configurar os endereços IP em cada interface (eth0-External, eth1-Internal, eth2-DMZ, eth3-Management), qual comando você utilizaria para habilitar o IP forwarding no kernel Linux e como você configuraria uma rota estática específica para que a rede Internal (192.168.1.0/24) alcance a rede External (10.0.0.0/24) através do gateway 192.168.1.1?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Habilitar IP Forwarding (temporário):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sysctl -w net.ipv4.ip_forward=1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Habilitar IP Forwarding (persistente entre reinicializações):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echo "net.ipv4.ip_forward=1" &gt;&gt; /etc/sysctl.conf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sysctl -p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Configurar rota estática (temporária):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add 10.0.0.0/24 via 192.168.1.1 dev eth1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Configurar rota estática (persistente via netplan no Linux Mint/Ubuntu):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/etc/netplan/01-network.yaml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network: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version: 2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ethernets: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eth1: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addresses: [192.168.1.1/24]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routes: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- to: 10.0.0.0/24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 xml:space="preserve">          </w:t>
            </w:r>
            <w:r>
              <w:rPr>
                <w:rFonts w:ascii="Courier New" w:hAnsi="Courier New"/>
                <w:sz w:val="18"/>
              </w:rPr>
              <w:t>via: 192.168.1.1</w:t>
            </w:r>
          </w:p>
        </w:tc>
      </w:tr>
    </w:tbl>
    <w:p>
      <w:pPr>
        <w:pStyle w:val="BodyText"/>
        <w:jc w:val="both"/>
        <w:rPr/>
      </w:pPr>
      <w:r>
        <w:rPr/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netplan apply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Verificar a rota inserida: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show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ou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get 10.0.0.1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r>
        <w:rPr/>
        <w:t>Atividade ISG012-02 – Teoria: Roteamento Seguro e ACLs</w:t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Pergunta 1</w:t>
      </w:r>
    </w:p>
    <w:p>
      <w:pPr>
        <w:pStyle w:val="BodyText"/>
        <w:jc w:val="both"/>
        <w:rPr/>
      </w:pPr>
      <w:r>
        <w:rPr>
          <w:b/>
        </w:rPr>
        <w:t>Explique a diferença fundamental entre roteamento estático e roteamento dinâmico sob a ótica da segurança de redes.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O roteamento estático consiste na inserção manual de rotas na tabela de roteamento pelo administrador, sem troca automática de informações entre roteadores. Do ponto de vista da segurança, oferece previsibilidade total: o administrador sabe exatamente por onde o tráfego flui em todo momento, eliminando surpresas causadas por alterações automáticas de topologia. Não há superfície de ataque relacionada à injeção de rotas falsas por dispositivos maliciosos, e a ausência de protocolos de roteamento rodando reduz o número de serviços expostos. A desvantagem é a necessidade de manutenção manual em caso de falhas de links, tornando-o inadequado para redes grandes ou dinâmicas.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O roteamento dinâmico utiliza protocolos (RIP, OSPF, BGP) para que roteadores troquem informações de topologia automaticamente, adaptando-se a mudanças. O risco principal de segurança reside na possibilidade de um roteador malicioso ou comprometido injetar rotas falsas na rede (route injection / route poisoning), desviando o tráfego para interceptação — um ataque Man-in-the-Middle em nível de rede. Por isso, em ambientes seguros, o roteamento dinâmico deve ser combinado com autenticação de vizinhos (MD5/SHA para OSPF, MD5 para RIPv2), filtragem de prefixos e isolamento em áreas. A escolha entre estático e dinâmico deve considerar o trade-off entre previsibilidade/segurança e escalabilidade/resiliência.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Pergunta 2</w:t>
      </w:r>
    </w:p>
    <w:p>
      <w:pPr>
        <w:pStyle w:val="BodyText"/>
        <w:jc w:val="both"/>
        <w:rPr/>
      </w:pPr>
      <w:r>
        <w:rPr>
          <w:b/>
        </w:rPr>
        <w:t>Descreva o funcionamento do RIP como protocolo distance-vector e explique por que a versão 1 é considerada insegura em comparação com a versão 2.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O RIP (Routing Information Protocol) é um protocolo de roteamento distance-vector onde cada roteador mantém apenas o conhecimento da distância (contagem de saltos/hops) e da direção (next-hop) para cada destino. A cada 30 segundos, cada roteador compartilha sua tabela de roteamento completa com seus vizinhos diretos. A métrica é a contagem de saltos, com limite máximo de 15 (redes com 16 hops são consideradas inalcançáveis), tornando-o inadequado para redes grandes. Mecanismos como split horizon e poison reverse previnem loops de roteamento.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O RIPv1 é considerado inseguro por três razões principais: (1) </w:t>
      </w:r>
      <w:r>
        <w:rPr>
          <w:b/>
        </w:rPr>
        <w:t>Ausência total de autenticação</w:t>
      </w:r>
      <w:r>
        <w:rPr/>
        <w:t xml:space="preserve"> — qualquer dispositivo na rede pode enviar atualizações de roteamento falsas e ter suas rotas aceitas, possibilitando ataques de injeção de rotas para desvio de tráfego; (2) </w:t>
      </w:r>
      <w:r>
        <w:rPr>
          <w:b/>
        </w:rPr>
        <w:t>Uso de broadcast</w:t>
      </w:r>
      <w:r>
        <w:rPr/>
        <w:t xml:space="preserve"> (255.255.255.255) — as atualizações são enviadas para toda a rede, expondo informações de topologia para qualquer host no segmento; (3) </w:t>
      </w:r>
      <w:r>
        <w:rPr>
          <w:b/>
        </w:rPr>
        <w:t>Classful routing</w:t>
      </w:r>
      <w:r>
        <w:rPr/>
        <w:t xml:space="preserve"> — não suporta VLSM (Variable Length Subnet Masking), limitando a flexibilidade de endereçamento.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O RIPv2 resolveu estas vulnerabilidades introduzindo: suporte a autenticação (senha em texto simples ou hash MD5), uso de multicast direcionado (224.0.0.9) reduzindo a exposição, e suporte a VLSM/CIDR. Apesar das melhorias, a autenticação MD5 do RIPv2 ainda não garante confidencialidade das atualizações — apenas autenticidade — e o protocolo permanece inadequado para ambientes corporativos de grande escala.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Pergunta 3</w:t>
      </w:r>
    </w:p>
    <w:p>
      <w:pPr>
        <w:pStyle w:val="BodyText"/>
        <w:jc w:val="both"/>
        <w:rPr/>
      </w:pPr>
      <w:r>
        <w:rPr>
          <w:b/>
        </w:rPr>
        <w:t>Explique o conceito de áreas no OSPF e como essa hierarquia contribui para a segurança da rede.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O OSPF (Open Shortest Path First) é um protocolo link-state que divide a rede em áreas hierárquicas para melhorar escalabilidade e controle. A estrutura central é a Área 0 (backbone), à qual todas as demais áreas devem se conectar diretamente ou via virtual-links. Roteadores que conectam áreas não-backbone à Área 0 são denominados ABR (Area Border Router).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Cada área mantém seu próprio banco de dados de estado de links (LSDB — Link State Database), e o cálculo de rotas pelo algoritmo SPF de Dijkstra é feito independentemente dentro de cada área. Isso significa que um roteador numa área específica não possui visibilidade completa da topologia de outra área — conhece apenas os prefixos resumidos (summary LSAs) divulgados pelos ABRs.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Do ponto de vista da segurança, essa hierarquia contribui de três formas: (1) </w:t>
      </w:r>
      <w:r>
        <w:rPr>
          <w:b/>
        </w:rPr>
        <w:t>Contenção de falhas e ataques</w:t>
      </w:r>
      <w:r>
        <w:rPr/>
        <w:t xml:space="preserve">: uma injeção de LSA falso em uma área fica contida naquela área, não se propagando para toda a rede; (2) </w:t>
      </w:r>
      <w:r>
        <w:rPr>
          <w:b/>
        </w:rPr>
        <w:t>Redução de exposição de topologia</w:t>
      </w:r>
      <w:r>
        <w:rPr/>
        <w:t xml:space="preserve">: hosts e dispositivos em uma área não têm visibilidade da topologia interna de outras áreas, dificultando o mapeamento da rede por um atacante; (3) </w:t>
      </w:r>
      <w:r>
        <w:rPr>
          <w:b/>
        </w:rPr>
        <w:t>Áreas stub e totally stubby</w:t>
      </w:r>
      <w:r>
        <w:rPr/>
        <w:t>: configurando áreas como stub, o ABR impede a propagação de LSAs tipo 5 (rotas externas), reduzindo o tamanho da LSDB e a superfície de ataque a injeções de rotas externas. Complementarmente, a autenticação OSPF por área (simples, MD5 ou HMAC-SHA) garante que apenas roteadores autorizados participem das trocas de topologia.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Pergunta 4</w:t>
      </w:r>
    </w:p>
    <w:p>
      <w:pPr>
        <w:pStyle w:val="BodyText"/>
        <w:jc w:val="both"/>
        <w:rPr/>
      </w:pPr>
      <w:r>
        <w:rPr>
          <w:b/>
        </w:rPr>
        <w:t>O que é Policy-Based Routing (PBR) e como ele pode ser utilizado para implementar path isolation em um roteador Linux multi-homed?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Policy-Based Routing (PBR) é uma técnica de roteamento que permite tomar decisões de encaminhamento de pacotes baseadas em critérios além do destino IP — como endereço de origem, protocolo, porta, interface de entrada ou marca de pacote (packet mark). No Linux, o PBR é implementado através de múltiplas tabelas de roteamento e regras de política gerenciadas pelos comandos </w:t>
      </w:r>
      <w:r>
        <w:rPr>
          <w:rFonts w:ascii="Courier New" w:hAnsi="Courier New"/>
          <w:sz w:val="18"/>
        </w:rPr>
        <w:t>ip rule</w:t>
      </w:r>
      <w:r>
        <w:rPr/>
        <w:t xml:space="preserve"> e </w:t>
      </w:r>
      <w:r>
        <w:rPr>
          <w:rFonts w:ascii="Courier New" w:hAnsi="Courier New"/>
          <w:sz w:val="18"/>
        </w:rPr>
        <w:t>ip route</w:t>
      </w:r>
      <w:r>
        <w:rPr/>
        <w:t>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Para implementar path isolation em um roteador Linux multi-homed (com múltiplas interfaces), o administrador cria tabelas de roteamento separadas para cada segmento:</w:t>
      </w:r>
    </w:p>
    <w:p>
      <w:pPr>
        <w:pStyle w:val="BodyText"/>
        <w:jc w:val="both"/>
        <w:rPr/>
      </w:pPr>
      <w:r>
        <w:rPr/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Criar tabelas de roteamento nomeadas em /etc/iproute2/rt_tables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echo "100 management" &gt;&gt; /etc/iproute2/rt_tables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echo "200 internal" &gt;&gt; /etc/iproute2/rt_tables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Adicionar regras: tráfego oriundo do segmento Management usa tabela dedicada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rule add from 192.168.3.0/24 table management priority 100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add default via 192.168.3.254 table management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Tráfego oriundo do Internal usa outra tabela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rule add from 192.168.1.0/24 table internal priority 200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add default via 192.168.1.254 table internal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O path isolation garante que tráfego de um segmento nunca seja inadvertidamente roteado por um caminho destinado a outro segmento, prevenindo vazamentos de tráfego entre zonas de diferentes níveis de confiança. É especialmente útil em cenários onde diferentes segmentos devem usar links de ISP distintos ou onde o tráfego de gerenciamento não deve jamais utilizar o mesmo caminho que o tráfego de produção.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Pergunta 5</w:t>
      </w:r>
    </w:p>
    <w:p>
      <w:pPr>
        <w:pStyle w:val="BodyText"/>
        <w:jc w:val="both"/>
        <w:rPr/>
      </w:pPr>
      <w:r>
        <w:rPr>
          <w:b/>
        </w:rPr>
        <w:t>Explique a importância do hook forward no nftables para a segurança de um roteador Linux e diferencie-o dos hooks input e output.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No framework Netfilter/nftables, os hooks são pontos de interceptação no stack de rede do kernel Linux onde as regras de firewall são avaliadas. Os três hooks principais para filtragem são:</w:t>
      </w:r>
    </w:p>
    <w:p>
      <w:pPr>
        <w:pStyle w:val="BodyText"/>
        <w:jc w:val="both"/>
        <w:rPr/>
      </w:pPr>
      <w:r>
        <w:rPr/>
      </w:r>
    </w:p>
    <w:p>
      <w:pPr>
        <w:pStyle w:val="ListParagraph"/>
        <w:jc w:val="both"/>
        <w:rPr/>
      </w:pPr>
      <w:r>
        <w:rPr>
          <w:b/>
        </w:rPr>
        <w:t>Input</w:t>
      </w:r>
      <w:r>
        <w:rPr/>
        <w:t>: Processa pacotes destinados ao próprio roteador Linux (endereço IP de uma de suas interfaces). Usado para proteger o próprio sistema, por exemplo, controlar acesso SSH à máquina.</w:t>
      </w:r>
    </w:p>
    <w:p>
      <w:pPr>
        <w:pStyle w:val="ListParagraph"/>
        <w:jc w:val="both"/>
        <w:rPr/>
      </w:pPr>
      <w:r>
        <w:rPr>
          <w:b/>
        </w:rPr>
        <w:t>Output</w:t>
      </w:r>
      <w:r>
        <w:rPr/>
        <w:t>: Processa pacotes gerados pelo próprio roteador Linux e destinados a outros hosts. Controla o tráfego originado na máquina roteadora.</w:t>
      </w:r>
    </w:p>
    <w:p>
      <w:pPr>
        <w:pStyle w:val="ListParagraph"/>
        <w:jc w:val="both"/>
        <w:rPr/>
      </w:pPr>
      <w:r>
        <w:rPr>
          <w:b/>
        </w:rPr>
        <w:t>Forward</w:t>
      </w:r>
      <w:r>
        <w:rPr/>
        <w:t xml:space="preserve">: Processa pacotes que </w:t>
      </w:r>
      <w:r>
        <w:rPr>
          <w:b/>
        </w:rPr>
        <w:t>transitam</w:t>
      </w:r>
      <w:r>
        <w:rPr/>
        <w:t xml:space="preserve"> pelo roteador — originados em um host de uma sub-rede e destinados a um host em outra sub-rede. O roteador não é origem nem destino final, apenas intermediário.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Para um roteador Linux multi-homed, o hook </w:t>
      </w:r>
      <w:r>
        <w:rPr>
          <w:b/>
        </w:rPr>
        <w:t>forward</w:t>
      </w:r>
      <w:r>
        <w:rPr/>
        <w:t xml:space="preserve"> é o mais crítico para a segurança da rede, pois todo o tráfego inter-segmentos passa por ele. As ACLs implementadas no forward determinam quais redes podem se comunicar entre si, bloqueando movimentação lateral indesejada. Por exemplo:</w:t>
      </w:r>
    </w:p>
    <w:p>
      <w:pPr>
        <w:pStyle w:val="BodyText"/>
        <w:jc w:val="both"/>
        <w:rPr/>
      </w:pPr>
      <w:r>
        <w:rPr/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Chain forward com política padrão drop — nada passa sem permissão explícita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chain inet firewall forward { type filter hook forward priority 0 \; policy drop \; }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Permitir apenas Internal → DMZ; bloquear DMZ → Internal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rule inet firewall forward iifname "eth1" oifname "eth2" ip saddr 192.168.1.0/24 accept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Sem regras no hook forward, mesmo com </w:t>
      </w:r>
      <w:r>
        <w:rPr>
          <w:rFonts w:ascii="Courier New" w:hAnsi="Courier New"/>
          <w:sz w:val="18"/>
        </w:rPr>
        <w:t>ip_forward=1</w:t>
      </w:r>
      <w:r>
        <w:rPr/>
        <w:t xml:space="preserve"> ativo, o roteador encaminharia todo tráfego sem restrições — um risco crítico de segurança.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Pergunta 6</w:t>
      </w:r>
    </w:p>
    <w:p>
      <w:pPr>
        <w:pStyle w:val="BodyText"/>
        <w:jc w:val="both"/>
        <w:rPr/>
      </w:pPr>
      <w:r>
        <w:rPr>
          <w:b/>
        </w:rPr>
        <w:t>Descreva o princípio do "menor privilégio" aplicado à configuração de ACLs em roteadores e explique por que a política padrão drop é considerada uma boa prática de segurança.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O princípio do menor privilégio (Principle of Least Privilege — PoLP) determina que cada entidade — usuário, processo, dispositivo ou segmento de rede — deve ter acesso apenas ao mínimo necessário para exercer sua função legítima, e nada além disso. Aplicado à configuração de ACLs em roteadores, significa que ao invés de definir regras que bloqueiem tráfego indesejado (modelo blacklist/deny-specific), o correto é definir explicitamente apenas o tráfego que deve ser permitido e descartar todo o restante (modelo whitelist/allow-specific).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A política padrão </w:t>
      </w:r>
      <w:r>
        <w:rPr>
          <w:rFonts w:ascii="Courier New" w:hAnsi="Courier New"/>
          <w:sz w:val="18"/>
        </w:rPr>
        <w:t>drop</w:t>
      </w:r>
      <w:r>
        <w:rPr/>
        <w:t xml:space="preserve"> (default deny) implementa exatamente esse princípio: a chain de firewall é configurada para descartar silenciosamente qualquer pacote que não corresponda a uma regra de permissão explícita. As razões pelas quais essa é uma boa prática de segurança são:</w:t>
      </w:r>
    </w:p>
    <w:p>
      <w:pPr>
        <w:pStyle w:val="BodyText"/>
        <w:jc w:val="both"/>
        <w:rPr/>
      </w:pPr>
      <w:r>
        <w:rPr/>
      </w:r>
    </w:p>
    <w:p>
      <w:pPr>
        <w:pStyle w:val="ListParagraph"/>
        <w:jc w:val="both"/>
        <w:rPr/>
      </w:pPr>
      <w:r>
        <w:rPr>
          <w:b/>
        </w:rPr>
        <w:t>Proteção contra tráfego desconhecido</w:t>
      </w:r>
      <w:r>
        <w:rPr/>
        <w:t>: Novos protocolos, portas ou vetores de ataque não contemplados nas regras são automaticamente bloqueados sem necessidade de atualização da política;</w:t>
      </w:r>
    </w:p>
    <w:p>
      <w:pPr>
        <w:pStyle w:val="ListParagraph"/>
        <w:jc w:val="both"/>
        <w:rPr/>
      </w:pPr>
      <w:r>
        <w:rPr>
          <w:b/>
        </w:rPr>
        <w:t>Fail-safe</w:t>
      </w:r>
      <w:r>
        <w:rPr/>
        <w:t>: Em caso de falha ou exclusão acidental de uma regra permissiva, o sistema falha de forma segura (tráfego bloqueado) em vez de insegura (tráfego liberado);</w:t>
      </w:r>
    </w:p>
    <w:p>
      <w:pPr>
        <w:pStyle w:val="ListParagraph"/>
        <w:jc w:val="both"/>
        <w:rPr/>
      </w:pPr>
      <w:r>
        <w:rPr>
          <w:b/>
        </w:rPr>
        <w:t>Auditabilidade</w:t>
      </w:r>
      <w:r>
        <w:rPr/>
        <w:t xml:space="preserve">: Com </w:t>
      </w:r>
      <w:r>
        <w:rPr>
          <w:rFonts w:ascii="Courier New" w:hAnsi="Courier New"/>
          <w:sz w:val="18"/>
        </w:rPr>
        <w:t>policy drop</w:t>
      </w:r>
      <w:r>
        <w:rPr/>
        <w:t>, qualquer tráfego que está fluindo corresponde necessariamente a uma regra explícita documentada, facilitando auditorias de conformidade;</w:t>
      </w:r>
    </w:p>
    <w:p>
      <w:pPr>
        <w:pStyle w:val="ListParagraph"/>
        <w:jc w:val="both"/>
        <w:rPr/>
      </w:pPr>
      <w:r>
        <w:rPr>
          <w:b/>
        </w:rPr>
        <w:t>Redução de superfície de ataque</w:t>
      </w:r>
      <w:r>
        <w:rPr/>
        <w:t>: Apenas os caminhos de comunicação estritamente necessários existem, minimizando as oportunidades de exploração.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A alternativa — política padrão </w:t>
      </w:r>
      <w:r>
        <w:rPr>
          <w:rFonts w:ascii="Courier New" w:hAnsi="Courier New"/>
          <w:sz w:val="18"/>
        </w:rPr>
        <w:t>accept</w:t>
      </w:r>
      <w:r>
        <w:rPr/>
        <w:t xml:space="preserve"> com regras de bloqueio específicas — é inerentemente insegura porque qualquer tráfego não contemplado nas regras de bloqueio passa livremente.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r>
        <w:rPr/>
        <w:t>Atividade ISG012-02 – Prática: Configuração de Roteador Linux com nftables</w:t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Pergunta Prática 1</w:t>
      </w:r>
    </w:p>
    <w:p>
      <w:pPr>
        <w:pStyle w:val="BodyText"/>
        <w:jc w:val="both"/>
        <w:rPr/>
      </w:pPr>
      <w:r>
        <w:rPr>
          <w:b/>
        </w:rPr>
        <w:t>Qual comando habilita o encaminhamento de pacotes (IP forwarding) no kernel Linux e como tornar essa configuração persistente entre reinicializações?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Ativação temporária (vigente até próximo reboot):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sysctl -w net.ipv4.ip_forward=1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ou equivalente: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echo 1 &gt; /proc/sys/net/ipv4/ip_forward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Ativação persistente (sobrevive a reinicializações):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Editar o arquivo de configuração do sysctl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echo "net.ipv4.ip_forward=1" &gt;&gt; /etc/sysctl.conf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Aplicar imediatamente sem reiniciar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sysctl -p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Para IPv6 também (se necessário)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echo "net.ipv6.conf.all.forwarding=1" &gt;&gt; /etc/sysctl.conf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Verificação: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sysctl net.ipv4.ip_forward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Saída esperada: net.ipv4.ip_forward = 1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Sem o IP forwarding ativo, o kernel Linux descarta silenciosamente pacotes que chegam em uma interface e são destinados a outra rede (comportamento padrão de host, não de roteador). Com o forwarding ativo, o kernel encaminha esses pacotes para a interface de saída correta conforme a tabela de roteamento, e as chains </w:t>
      </w:r>
      <w:r>
        <w:rPr>
          <w:rFonts w:ascii="Courier New" w:hAnsi="Courier New"/>
          <w:sz w:val="18"/>
        </w:rPr>
        <w:t>forward</w:t>
      </w:r>
      <w:r>
        <w:rPr/>
        <w:t xml:space="preserve"> do nftables são invocadas para aplicar as políticas de segurança.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Pergunta Prática 2</w:t>
      </w:r>
    </w:p>
    <w:p>
      <w:pPr>
        <w:pStyle w:val="BodyText"/>
        <w:jc w:val="both"/>
        <w:rPr/>
      </w:pPr>
      <w:r>
        <w:rPr>
          <w:b/>
        </w:rPr>
        <w:t>Qual regra do nftables implementa o bloqueio completo de tráfego entre o segmento de visitantes (eth3) e o segmento de servidores (eth2), incluindo logging para auditoria?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Criar tabela e chain forward com política padrão drop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table inet acl_router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chain inet acl_router forward { type filter hook forward priority 0 \; policy drop \; }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Permitir tráfego estabelecido/relacionado (respostas a conexões existentes)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rule inet acl_router forward ct state established,related accept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Log de tentativas de acesso de visitantes (eth3) para servidores (eth2)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rule inet acl_router forward iifname "eth3" oifname "eth2" log prefix "BLOCK-VISITORS-TO-SERVERS: " drop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Log de tentativas inversas (servidores tentando alcançar visitantes)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add rule inet acl_router forward iifname "eth2" oifname "eth3" log prefix "BLOCK-SERVERS-TO-VISITORS: " drop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Verificar regras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list table inet acl_router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Os logs serão registrados no syslog do sistema (tipicamente </w:t>
      </w:r>
      <w:r>
        <w:rPr>
          <w:rFonts w:ascii="Courier New" w:hAnsi="Courier New"/>
          <w:sz w:val="18"/>
        </w:rPr>
        <w:t>/var/log/syslog</w:t>
      </w:r>
      <w:r>
        <w:rPr/>
        <w:t xml:space="preserve"> ou via </w:t>
      </w:r>
      <w:r>
        <w:rPr>
          <w:rFonts w:ascii="Courier New" w:hAnsi="Courier New"/>
          <w:sz w:val="18"/>
        </w:rPr>
        <w:t>journalctl -k</w:t>
      </w:r>
      <w:r>
        <w:rPr/>
        <w:t>). O prefixo facilita a filtragem em ferramentas de análise de logs:</w:t>
      </w:r>
    </w:p>
    <w:p>
      <w:pPr>
        <w:pStyle w:val="BodyText"/>
        <w:jc w:val="both"/>
        <w:rPr/>
      </w:pPr>
      <w:r>
        <w:rPr/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Monitorar tentativas em tempo real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journalctl -k -f | grep "BLOCK-VISITORS"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4"/>
        <w:jc w:val="both"/>
        <w:rPr/>
      </w:pPr>
      <w:r>
        <w:rPr/>
        <w:t>Pergunta Prática 3</w:t>
      </w:r>
    </w:p>
    <w:p>
      <w:pPr>
        <w:pStyle w:val="BodyText"/>
        <w:jc w:val="both"/>
        <w:rPr/>
      </w:pPr>
      <w:r>
        <w:rPr>
          <w:b/>
        </w:rPr>
        <w:t>Como verificar se as regras do nftables foram carregadas corretamente e qual comando lista a tabela de roteamento principal no Linux?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Resposta: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Verificação das regras nftables: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Listar todas as tabelas, chains e regras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list ruleset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Listar apenas uma tabela específica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list table inet acl_router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Listar apenas uma chain específica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list chain inet acl_router forward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Verificar contadores de pacotes/bytes por regra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list ruleset -a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Monitorar eventos nftables em tempo real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monitor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Listagem da tabela de roteamento principal: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Método moderno (iproute2)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show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ou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list table main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Ver tabela completa incluindo rotas de cache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show cache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Verificar rota específica para um destino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get 192.168.2.1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Método legado (ainda disponível)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route -n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netstat -rn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Verificação combinada para diagnóstico completo:</w:t>
      </w:r>
    </w:p>
    <w:tbl>
      <w:tblPr>
        <w:tblW w:w="85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5"/>
      </w:tblGrid>
      <w:tr>
        <w:trPr/>
        <w:tc>
          <w:tcPr>
            <w:tcW w:w="8505" w:type="dxa"/>
            <w:tcBorders/>
            <w:shd w:color="auto" w:fill="F2F2F2" w:val="clear"/>
          </w:tcPr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Interface e endereços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addr show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Rotas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route show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Regras de PBR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ip rule show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Regras de firewall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nft list ruleset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# IP forwarding</w:t>
            </w:r>
          </w:p>
          <w:p>
            <w:pPr>
              <w:pStyle w:val="Normal"/>
              <w:jc w:val="both"/>
              <w:rPr/>
            </w:pPr>
            <w:r>
              <w:rPr>
                <w:rFonts w:ascii="Courier New" w:hAnsi="Courier New"/>
                <w:sz w:val="18"/>
              </w:rPr>
              <w:t>sysctl net.ipv4.ip_forward</w:t>
            </w:r>
          </w:p>
        </w:tc>
      </w:tr>
    </w:tbl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Heading2"/>
        <w:jc w:val="both"/>
        <w:rPr/>
      </w:pPr>
      <w:r>
        <w:rPr/>
        <w:t>Conclusão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Esta atividade consolidou dois pilares fundamentais da segurança em redes: a arquitetura de segmentação lógica (ISG012-01) e o controle de tráfego via roteamento seguro com ACLs (ISG012-02).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A análise comparativa entre o modelo de perímetro e o Zero Trust evidencia a necessidade de evolução das estratégias de defesa, migrando de uma confiança baseada em localização para uma verificação contínua e explícita de identidade e contexto. A DMZ, o subnetting e a zona de Management separada são ferramentas concretas de Defense in Depth que limitam o raio de explosão de incidentes.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>
          <w:i/>
          <w:i/>
        </w:rPr>
      </w:pPr>
      <w:r>
        <w:rPr/>
        <w:t xml:space="preserve">Na dimensão prática, a configuração do Linux como roteador multi-homed com nftables demonstra que ferramentas open-source são plenamente capazes de implementar ACLs de nível empresarial. A política padrão </w:t>
      </w:r>
      <w:r>
        <w:rPr>
          <w:rFonts w:ascii="Courier New" w:hAnsi="Courier New"/>
          <w:sz w:val="18"/>
        </w:rPr>
        <w:t>drop</w:t>
      </w:r>
      <w:r>
        <w:rPr/>
        <w:t xml:space="preserve"> com permissões explícitas, o IP forwarding controlado e o logging de tentativas bloqueadas formam a base de uma infraestrutura de roteamento seguro, auditável e alinhada ao princípio do menor privilégio.</w:t>
      </w:r>
    </w:p>
    <w:p>
      <w:pPr>
        <w:pStyle w:val="BodyText"/>
        <w:jc w:val="both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1701" w:gutter="0" w:header="0" w:top="1418" w:footer="1581" w:bottom="1638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</w:p>
</w:ftr>
</file>

<file path=word/settings.xml><?xml version="1.0" encoding="utf-8"?>
<w:settings xmlns:w="http://schemas.openxmlformats.org/wordprocessingml/2006/main">
  <w:zoom w:percent="148"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0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0" w:semiHidden="0" w:unhideWhenUsed="0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1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/>
    <w:lsdException w:name="Strong" w:uiPriority="0" w:semiHidden="0" w:unhideWhenUsed="0" w:qFormat="1"/>
    <w:lsdException w:name="Emphasis" w:uiPriority="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559"/>
      <w:outlineLvl w:val="1"/>
    </w:pPr>
    <w:rPr>
      <w:b/>
      <w:bCs/>
      <w:sz w:val="24"/>
      <w:szCs w:val="24"/>
    </w:rPr>
  </w:style>
  <w:style w:type="paragraph" w:styleId="Heading4">
    <w:name w:val="Heading 4"/>
    <w:basedOn w:val="Ttulo"/>
    <w:next w:val="BodyText"/>
    <w:uiPriority w:val="0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uiPriority w:val="0"/>
    <w:qFormat/>
    <w:rPr>
      <w:i/>
      <w:iCs/>
    </w:rPr>
  </w:style>
  <w:style w:type="character" w:styleId="Hyperlink">
    <w:name w:val="Hyperlink"/>
    <w:uiPriority w:val="0"/>
    <w:qFormat/>
    <w:rPr>
      <w:color w:val="000080"/>
      <w:u w:val="single"/>
    </w:rPr>
  </w:style>
  <w:style w:type="character" w:styleId="Strong">
    <w:name w:val="Strong"/>
    <w:uiPriority w:val="0"/>
    <w:qFormat/>
    <w:rPr>
      <w:b/>
      <w:bCs/>
    </w:rPr>
  </w:style>
  <w:style w:type="character" w:styleId="Ttulo2Char" w:customStyle="1">
    <w:name w:val="Título 2 Char"/>
    <w:basedOn w:val="DefaultParagraphFont"/>
    <w:uiPriority w:val="9"/>
    <w:qFormat/>
    <w:rPr>
      <w:rFonts w:ascii="Calibri" w:hAnsi="Calibri" w:eastAsia="Calibri" w:cs="Calibri"/>
      <w:b/>
      <w:bCs/>
      <w:sz w:val="24"/>
      <w:szCs w:val="24"/>
      <w:lang w:val="pt-PT"/>
    </w:rPr>
  </w:style>
  <w:style w:type="character" w:styleId="CorpodetextoChar" w:customStyle="1">
    <w:name w:val="Corpo de texto Char"/>
    <w:basedOn w:val="DefaultParagraphFont"/>
    <w:uiPriority w:val="1"/>
    <w:qFormat/>
    <w:rPr>
      <w:rFonts w:ascii="Calibri" w:hAnsi="Calibri" w:eastAsia="Calibri" w:cs="Calibri"/>
      <w:sz w:val="24"/>
      <w:szCs w:val="24"/>
      <w:lang w:val="pt-PT"/>
    </w:rPr>
  </w:style>
  <w:style w:type="character" w:styleId="CabealhoChar" w:customStyle="1">
    <w:name w:val="Cabeçalho Char"/>
    <w:basedOn w:val="DefaultParagraphFont"/>
    <w:link w:val="Header"/>
    <w:uiPriority w:val="99"/>
    <w:qFormat/>
    <w:rPr>
      <w:rFonts w:ascii="Calibri" w:hAnsi="Calibri" w:eastAsia="Calibri" w:cs="Calibri"/>
      <w:lang w:val="pt-PT"/>
    </w:rPr>
  </w:style>
  <w:style w:type="character" w:styleId="RodapChar" w:customStyle="1">
    <w:name w:val="Rodapé Char"/>
    <w:basedOn w:val="DefaultParagraphFont"/>
    <w:link w:val="Footer"/>
    <w:uiPriority w:val="99"/>
    <w:qFormat/>
    <w:rPr>
      <w:rFonts w:ascii="Calibri" w:hAnsi="Calibri" w:eastAsia="Calibri" w:cs="Calibri"/>
      <w:lang w:val="pt-PT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Pr>
      <w:rFonts w:ascii="Tahoma" w:hAnsi="Tahoma" w:eastAsia="Calibri" w:cs="Tahoma"/>
      <w:sz w:val="16"/>
      <w:szCs w:val="16"/>
      <w:lang w:val="pt-PT"/>
    </w:rPr>
  </w:style>
  <w:style w:type="character" w:styleId="Marcadores" w:customStyle="1">
    <w:name w:val="Marcadores"/>
    <w:uiPriority w:val="0"/>
    <w:qFormat/>
    <w:rPr>
      <w:rFonts w:ascii="OpenSymbol" w:hAnsi="OpenSymbol" w:eastAsia="OpenSymbol" w:cs="OpenSymbol"/>
    </w:rPr>
  </w:style>
  <w:style w:type="character" w:styleId="Smbolosdenumerao" w:customStyle="1">
    <w:name w:val="Símbolos de numeração"/>
    <w:uiPriority w:val="0"/>
    <w:qFormat/>
    <w:rPr/>
  </w:style>
  <w:style w:type="character" w:styleId="Cdigo-fonte" w:customStyle="1">
    <w:name w:val="Código-fonte"/>
    <w:uiPriority w:val="0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pPr/>
    <w:rPr>
      <w:sz w:val="24"/>
      <w:szCs w:val="24"/>
    </w:rPr>
  </w:style>
  <w:style w:type="paragraph" w:styleId="List">
    <w:name w:val="List"/>
    <w:basedOn w:val="BodyText"/>
    <w:uiPriority w:val="0"/>
    <w:qFormat/>
    <w:pPr/>
    <w:rPr>
      <w:rFonts w:cs="Arial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 w:customStyle="1">
    <w:name w:val="Título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RodapChar"/>
    <w:uiPriority w:val="99"/>
    <w:unhideWhenUsed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Header">
    <w:name w:val="Header"/>
    <w:basedOn w:val="Normal"/>
    <w:link w:val="CabealhoCh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IndexHeading">
    <w:name w:val="Index Heading"/>
    <w:basedOn w:val="Ttulo"/>
    <w:uiPriority w:val="0"/>
    <w:pPr>
      <w:suppressLineNumbers/>
      <w:ind w:hanging="0" w:left="0"/>
    </w:pPr>
    <w:rPr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qFormat/>
    <w:pPr/>
    <w:rPr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Arial"/>
    </w:rPr>
  </w:style>
  <w:style w:type="paragraph" w:styleId="Cabealhoerodap" w:customStyle="1">
    <w:name w:val="Cabeçalho e rodapé"/>
    <w:basedOn w:val="Normal"/>
    <w:uiPriority w:val="0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TOCHeading" w:customStyle="1">
    <w:name w:val="TOC Heading"/>
    <w:basedOn w:val="IndexHeading"/>
    <w:uiPriority w:val="0"/>
    <w:qFormat/>
    <w:pPr>
      <w:suppressLineNumbers/>
      <w:ind w:hanging="0" w:left="0"/>
    </w:pPr>
    <w:rPr>
      <w:sz w:val="32"/>
      <w:szCs w:val="32"/>
    </w:rPr>
  </w:style>
  <w:style w:type="paragraph" w:styleId="Contedodatabela" w:customStyle="1">
    <w:name w:val="Conteúdo da tabela"/>
    <w:basedOn w:val="Normal"/>
    <w:uiPriority w:val="0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uiPriority w:val="0"/>
    <w:qFormat/>
    <w:pPr>
      <w:suppressLineNumbers/>
      <w:jc w:val="center"/>
    </w:pPr>
    <w:rPr>
      <w:b/>
      <w:bCs/>
    </w:rPr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19</Pages>
  <Words>4106</Words>
  <Characters>23872</Characters>
  <CharactersWithSpaces>27812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2020-04-15T11:48:00Z</dcterms:created>
  <dc:creator>Beatriz Dantas Oliveira</dc:creator>
  <dc:description/>
  <dc:language>en-US</dc:language>
  <cp:lastModifiedBy/>
  <cp:lastPrinted>2025-09-21T16:07:00Z</cp:lastPrinted>
  <dcterms:modified xsi:type="dcterms:W3CDTF">2026-06-09T17:55:37Z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A129290E89A942D0BB7F3F04356B40EB_13</vt:lpwstr>
  </property>
  <property fmtid="{D5CDD505-2E9C-101B-9397-08002B2CF9AE}" pid="3" name="KSOProductBuildVer">
    <vt:lpwstr>1033-12.2.0.23155</vt:lpwstr>
  </property>
</Properties>
</file>