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e implementación de Aula Abierta Web</w:t>
      </w:r>
    </w:p>
    <w:p>
      <w:r>
        <w:t>Freddy Potes  |  Universidad Politécnica Salesiana</w:t>
        <w:br/>
        <w:t>Aplicaciones Web · Tarea 1 · Unidad 1 · 15 de octubre de 2026</w:t>
      </w:r>
    </w:p>
    <w:p>
      <w:pPr>
        <w:pStyle w:val="Heading1"/>
      </w:pPr>
      <w:r>
        <w:t>1 Propósito y alcance</w:t>
      </w:r>
    </w:p>
    <w:p>
      <w:r>
        <w:t>Aula Abierta Web promociona una iniciativa académica de talleres introductorios de HTML, CSS y accesibilidad. El sitio permite explorar la propuesta, filtrar talleres y probar un formulario de participación. Incluye seis secciones: inicio, talleres, método, recursos, registro y preguntas frecuentes. La inscripción es una simulación explícita: no envía ni almacena datos personales.</w:t>
      </w:r>
    </w:p>
    <w:p>
      <w:pPr>
        <w:pStyle w:val="Heading1"/>
      </w:pPr>
      <w:r>
        <w:t>2 Estructura y decisiones de diseño</w:t>
      </w:r>
    </w:p>
    <w:p>
      <w:r>
        <w:t>HTML5 organiza el contenido con header, nav, main, section, article, figure y footer. Se utiliza un único h1, títulos h2 para las secciones y h3 para sus contenidos. Los enlaces internos apuntan a identificadores únicos. La ilustración SVG original tiene una alternativa textual que explica la adaptación entre escritorio y móvil; los elementos decorativos se ocultan a tecnologías de asistencia.</w:t>
      </w:r>
    </w:p>
    <w:p>
      <w:r>
        <w:t>El CSS parte de una columna para móvil y utiliza variables de color, radio y anchura, Flexbox en la navegación y Grid en las tarjetas. Las imágenes son fluidas y mantienen su proporción. El contenido limita su ancho a 72rem para evitar líneas excesivamente largas, siguiendo el enfoque de diseño responsivo descrito por MDN (s. f.).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704"/>
      </w:tblGrid>
      <w:tr>
        <w:trPr>
          <w:cantSplit/>
        </w:trPr>
        <w:tc>
          <w:tcPr>
            <w:tcW w:type="dxa" w:w="2376"/>
            <w:vAlign w:val="center"/>
            <w:shd w:fill="172B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20"/>
              </w:rPr>
              <w:t>Adaptación</w:t>
            </w:r>
          </w:p>
        </w:tc>
        <w:tc>
          <w:tcPr>
            <w:tcW w:type="dxa" w:w="7704"/>
            <w:vAlign w:val="center"/>
            <w:shd w:fill="172B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20"/>
              </w:rPr>
              <w:t>Decisión y justificación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Desde 48rem</w:t>
              <w:br/>
              <w:t>768px con base de 16px</w:t>
            </w:r>
          </w:p>
        </w:tc>
        <w:tc>
          <w:tcPr>
            <w:tcW w:type="dxa" w:w="770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Dos columnas de talleres y bloques dobles de método y formulario. El ancho disponible permite separar contenido sin comprimir la lectura.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Desde 64rem</w:t>
              <w:br/>
              <w:t>1024px con base de 16px</w:t>
            </w:r>
          </w:p>
        </w:tc>
        <w:tc>
          <w:tcPr>
            <w:tcW w:type="dxa" w:w="77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Tres columnas de talleres y navegación horizontal completa. Los enlaces dejan de competir por el espacio de una pantalla pequeña.</w:t>
            </w:r>
          </w:p>
        </w:tc>
      </w:tr>
    </w:tbl>
    <w:p>
      <w:pPr>
        <w:pStyle w:val="Heading1"/>
      </w:pPr>
      <w:r>
        <w:t>3 Interacciones y accesibilidad</w:t>
      </w:r>
    </w:p>
    <w:p>
      <w:r>
        <w:t>JavaScript se divide en initMenu, initFilters e initForm, sin dependencias externas. El menú informa su estado con aria-expanded; Escape lo cierra y devuelve el foco. El filtro marca la opción activa con aria-pressed y anuncia la cantidad de resultados. Elegir una tarjeta selecciona su taller en el formulario.</w:t>
      </w:r>
    </w:p>
    <w:p>
      <w:r>
        <w:t>Cada campo tiene label asociado y errores descriptivos vinculados con aria-describedby. La validación marca aria-invalid, enfoca el primer campo incorrecto y anuncia el resultado mediante una región viva, conforme a las orientaciones de W3C WAI (2019). El enlace de salto, el foco de 3px y los controles nativos facilitan el uso con teclado. Se respeta la preferencia de movimiento reducido.</w:t>
      </w:r>
    </w:p>
    <w:p>
      <w:pPr>
        <w:pStyle w:val="Heading1"/>
      </w:pPr>
      <w:r>
        <w:t>4 Acceso al proyecto</w:t>
      </w:r>
    </w:p>
    <w:p>
      <w:r>
        <w:t xml:space="preserve">Repositorio: </w:t>
      </w:r>
      <w:hyperlink r:id="rId9">
        <w:r>
          <w:rPr>
            <w:color w:val="174FBE"/>
            <w:u w:val="single"/>
          </w:rPr>
          <w:t>github.com/efrain-svg/Potes_Freddy_AplWeb_U1</w:t>
        </w:r>
      </w:hyperlink>
    </w:p>
    <w:p>
      <w:r>
        <w:t xml:space="preserve">Demostración privada del propietario: </w:t>
      </w:r>
      <w:hyperlink r:id="rId10">
        <w:r>
          <w:rPr>
            <w:color w:val="174FBE"/>
            <w:u w:val="single"/>
          </w:rPr>
          <w:t>aula-abierta-web-u1-fp.fre2424.chatgpt.site</w:t>
        </w:r>
      </w:hyperlink>
    </w:p>
    <w:p>
      <w:pPr>
        <w:pStyle w:val="Caption"/>
      </w:pPr>
      <w:r>
        <w:t>Evaluación local: abrir repositorio/index.html del paquete entregado o index.html del repositorio descargado. No necesita instalación ni conexión, salvo para consultar enlaces externos.</w:t>
      </w:r>
    </w:p>
    <w:p>
      <w:r>
        <w:br w:type="page"/>
      </w:r>
    </w:p>
    <w:p>
      <w:pPr>
        <w:pStyle w:val="Heading1"/>
      </w:pPr>
      <w:r>
        <w:t>5 Pruebas y resultados</w:t>
      </w:r>
    </w:p>
    <w:p>
      <w:r>
        <w:t>Pruebas realizadas el 15 de octubre de 2026 en el navegador Chromium integrado de Codex. Las evidencias completas y los resultados JSON acompañan al código. Las capturas de los anexos corresponden a ventanas de 390 × 844, 768 × 1024 y 1440 × 900 píxeles.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type="dxa" w:w="1944"/>
            <w:vAlign w:val="center"/>
            <w:shd w:fill="172B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  <w:tc>
          <w:tcPr>
            <w:tcW w:type="dxa" w:w="8136"/>
            <w:vAlign w:val="center"/>
            <w:shd w:fill="172B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20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Diseño responsivo</w:t>
            </w:r>
          </w:p>
        </w:tc>
        <w:tc>
          <w:tcPr>
            <w:tcW w:type="dxa" w:w="81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Una, dos y tres columnas de talleres a 390, 768 y 1440px. Imagen proporcional y navegación plegable en móvil y tableta.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Desbordamiento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Sin desplazamiento horizontal a 320, 390, 767, 768, 1023, 1024 y 1440px. Se contrastó scrollWidth con clientWidth.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Teclado y foco</w:t>
            </w:r>
          </w:p>
        </w:tc>
        <w:tc>
          <w:tcPr>
            <w:tcW w:type="dxa" w:w="81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Tab muestra el salto al contenido; Enter llega a main. Enter abre el menú; Escape lo cierra y devuelve el foco. Filtro activado con Espacio. Contorno visible de 3px.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Filtro y formulario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Diseño muestra un taller y Todos restituye tres. Envío vacío: tres errores y foco en Nombre. Correo inválido: mensaje específico. Datos válidos: confirmación de simulación.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Ampliación</w:t>
            </w:r>
          </w:p>
        </w:tc>
        <w:tc>
          <w:tcPr>
            <w:tcW w:type="dxa" w:w="81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Texto base duplicado de 16 a 32px en la prueba al 200%, sin desbordamiento a 1440px. La hoja de estilo original se restauró después.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Contraste</w:t>
            </w:r>
          </w:p>
        </w:tc>
        <w:tc>
          <w:tcPr>
            <w:tcW w:type="dxa" w:w="81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Texto principal 14,00:1; secundario 6,77:1; botón azul 7,25:1; errores 6,31:1. Superan 4,5:1 para texto normal (W3C WAI, s. f.).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Validez básica</w:t>
            </w:r>
          </w:p>
        </w:tc>
        <w:tc>
          <w:tcPr>
            <w:tcW w:type="dxa" w:w="8136"/>
            <w:vAlign w:val="center"/>
            <w:shd w:fill="F1F5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20" w:line="240" w:lineRule="auto"/>
            </w:pPr>
            <w:r>
              <w:rPr>
                <w:b w:val="0"/>
                <w:color w:val="172B36"/>
                <w:sz w:val="20"/>
              </w:rPr>
              <w:t>Revisión local sin cierres incorrectos, IDs duplicados, saltos de encabezados ni referencias internas rotas. Etiquetas y alt presentes. JavaScript supera node --check y no registra errores de consola.</w:t>
            </w:r>
          </w:p>
        </w:tc>
      </w:tr>
    </w:tbl>
    <w:p>
      <w:pPr>
        <w:pStyle w:val="Heading1"/>
      </w:pPr>
      <w:r>
        <w:t>6 Mejoras pendientes</w:t>
      </w:r>
    </w:p>
    <w:p>
      <w:r>
        <w:t>Ampliar las pruebas a Firefox y Safari, lectores de pantalla y usuarios reales. Ejecutar una validación normativa completa de HTML y CSS. Para una convocatoria real, incorporar un servidor con validación propia, protección de datos y gestión de inscripciones. Las comprobaciones realizadas no equivalen a una certificación integral de conformidad WCAG.</w:t>
      </w:r>
    </w:p>
    <w:p>
      <w:pPr>
        <w:pStyle w:val="Heading1"/>
      </w:pPr>
      <w:r>
        <w:t>Referencias consultadas</w:t>
      </w:r>
    </w:p>
    <w:p>
      <w:pPr>
        <w:spacing w:after="80"/>
      </w:pPr>
      <w:r>
        <w:rPr>
          <w:sz w:val="19"/>
          <w:sz w:val="18"/>
        </w:rPr>
        <w:t xml:space="preserve">MDN Web Docs. (s. f.). </w:t>
      </w:r>
      <w:r>
        <w:rPr>
          <w:i/>
          <w:sz w:val="19"/>
          <w:sz w:val="18"/>
        </w:rPr>
        <w:t xml:space="preserve">Responsive web design. </w:t>
      </w:r>
      <w:hyperlink r:id="rId11">
        <w:r>
          <w:rPr>
            <w:color w:val="174FBE"/>
            <w:u w:val="single"/>
            <w:sz w:val="18"/>
          </w:rPr>
          <w:t>https://developer.mozilla.org/en-US/docs/Learn_web_development/Core/CSS_layout/Responsive_Design</w:t>
        </w:r>
      </w:hyperlink>
    </w:p>
    <w:p>
      <w:pPr>
        <w:spacing w:after="80"/>
      </w:pPr>
      <w:r>
        <w:rPr>
          <w:sz w:val="19"/>
          <w:sz w:val="18"/>
        </w:rPr>
        <w:t xml:space="preserve">World Wide Web Consortium. (2019). </w:t>
      </w:r>
      <w:r>
        <w:rPr>
          <w:i/>
          <w:sz w:val="19"/>
          <w:sz w:val="18"/>
        </w:rPr>
        <w:t xml:space="preserve">Validating input. </w:t>
      </w:r>
      <w:hyperlink r:id="rId12">
        <w:r>
          <w:rPr>
            <w:color w:val="174FBE"/>
            <w:u w:val="single"/>
            <w:sz w:val="18"/>
          </w:rPr>
          <w:t>https://www.w3.org/WAI/tutorials/forms/validation/</w:t>
        </w:r>
      </w:hyperlink>
    </w:p>
    <w:p>
      <w:pPr>
        <w:spacing w:after="80"/>
      </w:pPr>
      <w:r>
        <w:rPr>
          <w:sz w:val="19"/>
          <w:sz w:val="18"/>
        </w:rPr>
        <w:t xml:space="preserve">World Wide Web Consortium. (s. f.). </w:t>
      </w:r>
      <w:r>
        <w:rPr>
          <w:i/>
          <w:sz w:val="19"/>
          <w:sz w:val="18"/>
        </w:rPr>
        <w:t xml:space="preserve">Understanding SC 1.4.3 Contrast Minimum. </w:t>
      </w:r>
      <w:hyperlink r:id="rId13">
        <w:r>
          <w:rPr>
            <w:color w:val="174FBE"/>
            <w:u w:val="single"/>
            <w:sz w:val="18"/>
          </w:rPr>
          <w:t>https://www.w3.org/WAI/WCAG22/Understanding/contrast-minimum.html</w:t>
        </w:r>
      </w:hyperlink>
    </w:p>
    <w:p>
      <w:pPr>
        <w:pStyle w:val="Heading1"/>
      </w:pPr>
      <w:r>
        <w:t>Bibliografía indicada en la consigna</w:t>
      </w:r>
    </w:p>
    <w:p>
      <w:pPr>
        <w:spacing w:after="60"/>
      </w:pPr>
      <w:r>
        <w:rPr>
          <w:sz w:val="19"/>
        </w:rPr>
        <w:t xml:space="preserve">DuRocher, D. (2021). </w:t>
      </w:r>
      <w:r>
        <w:rPr>
          <w:i/>
          <w:sz w:val="19"/>
        </w:rPr>
        <w:t>HTML and CSS quickstart guide</w:t>
      </w:r>
      <w:r>
        <w:rPr>
          <w:sz w:val="19"/>
        </w:rPr>
        <w:t>. ClydeBank Media.</w:t>
      </w:r>
    </w:p>
    <w:p>
      <w:pPr>
        <w:spacing w:after="60"/>
      </w:pPr>
      <w:r>
        <w:rPr>
          <w:sz w:val="19"/>
        </w:rPr>
        <w:t xml:space="preserve">Frain, B. (2022). </w:t>
      </w:r>
      <w:r>
        <w:rPr>
          <w:i/>
          <w:sz w:val="19"/>
        </w:rPr>
        <w:t>Responsive web design with HTML5 and CSS</w:t>
      </w:r>
      <w:r>
        <w:rPr>
          <w:sz w:val="19"/>
        </w:rPr>
        <w:t xml:space="preserve"> (4.ª ed.). Packt.</w:t>
      </w:r>
    </w:p>
    <w:p>
      <w:pPr>
        <w:spacing w:after="60"/>
      </w:pPr>
      <w:r>
        <w:rPr>
          <w:sz w:val="19"/>
        </w:rPr>
        <w:t xml:space="preserve">Robbins, J. N. (2018). </w:t>
      </w:r>
      <w:r>
        <w:rPr>
          <w:i/>
          <w:sz w:val="19"/>
        </w:rPr>
        <w:t>Learning web design</w:t>
      </w:r>
      <w:r>
        <w:rPr>
          <w:sz w:val="19"/>
        </w:rPr>
        <w:t xml:space="preserve"> (5.ª ed.). O’Reilly Media.</w:t>
      </w:r>
    </w:p>
    <w:p>
      <w:r>
        <w:br w:type="page"/>
      </w:r>
    </w:p>
    <w:p>
      <w:pPr>
        <w:pStyle w:val="Heading1"/>
      </w:pPr>
      <w:r>
        <w:t>Anexo A Evidencia en móvil</w:t>
      </w:r>
    </w:p>
    <w:p>
      <w:r>
        <w:t>Ventana de 390 × 844px. La navegación se agrupa en Menú; el contenido y los talleres siguen una columna. Los dos recortes corresponden al inicio y a la sección de talleres de la misma captura completa.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52928" cy="6420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39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642099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852928" cy="64209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il-talle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6420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A1. Inicio y taller en móvil. El área de contenido excluye la barra de desplazamiento de 15px. Fuente: captura de la ejecución local.</w:t>
      </w:r>
    </w:p>
    <w:p>
      <w:r>
        <w:br w:type="page"/>
      </w:r>
    </w:p>
    <w:p>
      <w:pPr>
        <w:pStyle w:val="Heading1"/>
      </w:pPr>
      <w:r>
        <w:t>Anexo B Evidencia en tableta</w:t>
      </w:r>
    </w:p>
    <w:p>
      <w:r>
        <w:t>Ventana de 768 × 1024px. Desde 48rem se activan dos columnas para los talleres, mientras el menú continúa plegable. Se muestran el inicio y un recorte ampliado de los talleres.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3979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76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97915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926080" cy="4779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t-taller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77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B1. Adaptación intermedia y tarjetas en dos columnas. Los archivos completos permiten revisar el resto del formulario y las secciones. Fuente: captura de la ejecución local.</w:t>
      </w:r>
    </w:p>
    <w:p>
      <w:r>
        <w:br w:type="page"/>
      </w:r>
    </w:p>
    <w:p>
      <w:pPr>
        <w:pStyle w:val="Heading1"/>
      </w:pPr>
      <w:r>
        <w:t>Anexo C Evidencia en escritorio</w:t>
      </w:r>
    </w:p>
    <w:p>
      <w:r>
        <w:t>Ventana de 1440 × 900px. Desde 64rem, la navegación es horizontal y los tres talleres comparten una fila. El recorte de la captura completa incluye contenido visible al desplazarse.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708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ritorio-detal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7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C1. Inicio, navegación y talleres en escritorio. Fuente: captura de la ejecución local. Los anexos no forman parte de las dos páginas del informe técnico.</w:t>
      </w:r>
    </w:p>
    <w:sectPr w:rsidR="00FC693F" w:rsidRPr="0006063C" w:rsidSect="00034616">
      <w:footerReference w:type="default" r:id="rId19"/>
      <w:pgSz w:w="12240" w:h="15840"/>
      <w:pgMar w:top="936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Freddy Potes · Aplicaciones Web U1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/>
    </w:pPr>
    <w:rPr>
      <w:rFonts w:ascii="Calibri" w:hAnsi="Calibri"/>
      <w:b w:val="0"/>
      <w:bCs/>
      <w:color w:val="455C6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frain-svg/Potes_Freddy_AplWeb_U1" TargetMode="External"/><Relationship Id="rId10" Type="http://schemas.openxmlformats.org/officeDocument/2006/relationships/hyperlink" Target="https://aula-abierta-web-u1-fp.fre2424.chatgpt.site" TargetMode="External"/><Relationship Id="rId11" Type="http://schemas.openxmlformats.org/officeDocument/2006/relationships/hyperlink" Target="https://developer.mozilla.org/en-US/docs/Learn_web_development/Core/CSS_layout/Responsive_Design" TargetMode="External"/><Relationship Id="rId12" Type="http://schemas.openxmlformats.org/officeDocument/2006/relationships/hyperlink" Target="https://www.w3.org/WAI/tutorials/forms/validation/" TargetMode="External"/><Relationship Id="rId13" Type="http://schemas.openxmlformats.org/officeDocument/2006/relationships/hyperlink" Target="https://www.w3.org/WAI/WCAG22/Understanding/contrast-minimum.html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e implementación de Aula Abierta Web</dc:title>
  <dc:subject>Aplicaciones Web Unidad 1</dc:subject>
  <dc:creator>Freddy Potes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