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78e41822584e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jc w:val="center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dc57740893384f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71c500ada32b4cdd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3808-B-TD-001530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Jose Alvo .(SHAYA)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Jonathan Nayir .(CPP)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3808-B-SP-000860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sdsds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Anexo Oferta #860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2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34c5c6d3-ff0e-4c9f-866d-90dc17ffd734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3d6dd43-e9cb-4aac-93f1-f5f03b75899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9a93e89d-ae7e-4fa9-8ca1-3583f7506c44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75efaa4-8a67-4c17-913e-a687d61101f7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60139a92-a771-4f06-80f1-e7bb6f3bc687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8ce91e8-8d05-42fe-9e00-24c2fb0009bd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6688dd41-e1d3-428d-83da-3accc577b7e1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ced624fb-6fea-46fc-96b2-eea903aca16d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d2dc43b5-9453-415f-bb99-a5f4aee80bcb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9140f2ab-1703-4601-a65f-1d373332a9b8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5bb7cfc9f947ee" /><Relationship Type="http://schemas.openxmlformats.org/officeDocument/2006/relationships/numbering" Target="/word/numbering.xml" Id="Rc05843d10c494e98" /><Relationship Type="http://schemas.openxmlformats.org/officeDocument/2006/relationships/settings" Target="/word/settings.xml" Id="R4ba3754b825f414a" /><Relationship Type="http://schemas.openxmlformats.org/officeDocument/2006/relationships/endnotes" Target="endnotes.xml" Id="Rba30bcba91f04e3f" /><Relationship Type="http://schemas.openxmlformats.org/officeDocument/2006/relationships/fontTable" Target="fontTable.xml" Id="Rb56f5cf2816f4dd1" /><Relationship Type="http://schemas.openxmlformats.org/officeDocument/2006/relationships/footnotes" Target="footnotes.xml" Id="R31c3a6ffa58e474b" /><Relationship Type="http://schemas.openxmlformats.org/officeDocument/2006/relationships/theme" Target="theme/theme1.xml" Id="R49e2923b3b3c4047" /><Relationship Type="http://schemas.openxmlformats.org/officeDocument/2006/relationships/webSettings" Target="webSettings.xml" Id="R88ad50f9055d46e1" /><Relationship Type="http://schemas.openxmlformats.org/officeDocument/2006/relationships/image" Target="/word/media/2a06435a-88a6-4b8f-b5c2-9f73d2c9d11e.png" Id="Rdc57740893384f94" /><Relationship Type="http://schemas.openxmlformats.org/officeDocument/2006/relationships/image" Target="/word/media/99b13def-acb4-47c0-b764-2d7c9359eab6.jpeg" Id="R71c500ada32b4c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