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19a81237cf46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jc w:val="center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f1b3250bfd054ba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500d5cdf03740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3808-B-TD-001530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Jose Alvo .(SHAYA)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Jonathan Nayir .(CPP)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3808-B-SP-000860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sdsds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Anexo Oferta #860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2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335aa2c-9bb7-4df8-b81f-bdb9b3d2a487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b5c13354-f8c5-47dd-b090-6167cc17e80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1bd7ce04-948d-4c70-bbe0-bee63b862b20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cf8bed5-1aa5-4ff3-993f-ac7b6429ed82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672eb200-f609-4fcd-b93f-c93549b9c7e4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96c9e228-3b9c-43b9-b581-af304833a0c5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5ed61505-f85f-4561-97e1-3f2abaf29ae0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ea3bb311-8d56-47ce-b5f1-cc288db99afc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e34a54aa-4c6b-450c-9199-a28416da88fa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90762dbf-89bf-4601-99ab-e3554d244c8e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5e2ddf743c4d8f" /><Relationship Type="http://schemas.openxmlformats.org/officeDocument/2006/relationships/numbering" Target="/word/numbering.xml" Id="R81d326df9e7f48b3" /><Relationship Type="http://schemas.openxmlformats.org/officeDocument/2006/relationships/settings" Target="/word/settings.xml" Id="Rc899ea73f6314352" /><Relationship Type="http://schemas.openxmlformats.org/officeDocument/2006/relationships/endnotes" Target="endnotes.xml" Id="R51b06a3ded254046" /><Relationship Type="http://schemas.openxmlformats.org/officeDocument/2006/relationships/fontTable" Target="fontTable.xml" Id="R00722d739ee14a69" /><Relationship Type="http://schemas.openxmlformats.org/officeDocument/2006/relationships/footnotes" Target="footnotes.xml" Id="R15a80f49a3ee446a" /><Relationship Type="http://schemas.openxmlformats.org/officeDocument/2006/relationships/theme" Target="theme/theme1.xml" Id="Ra4f925ebe3ae45d5" /><Relationship Type="http://schemas.openxmlformats.org/officeDocument/2006/relationships/webSettings" Target="webSettings.xml" Id="R51bed3a8b12440ad" /><Relationship Type="http://schemas.openxmlformats.org/officeDocument/2006/relationships/image" Target="/word/media/ee957a69-5238-46a4-aff0-58e61820c9b3.png" Id="Rf1b3250bfd054ba9" /><Relationship Type="http://schemas.openxmlformats.org/officeDocument/2006/relationships/image" Target="/word/media/5ea69bc0-6733-46bf-9296-7dfff8032147.jpeg" Id="R0500d5cdf037404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