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Calibri" w:hAnsi="Calibri"/>
          <w:b/>
          <w:color w:val="2F4858"/>
          <w:sz w:val="48"/>
        </w:rPr>
        <w:t>Avaliação de Arquitetura e Segurança da Informação</w:t>
      </w:r>
    </w:p>
    <w:p>
      <w:pPr>
        <w:spacing w:before="0" w:after="360"/>
      </w:pPr>
      <w:r>
        <w:rPr>
          <w:rFonts w:ascii="Calibri" w:hAnsi="Calibri"/>
          <w:i/>
          <w:color w:val="7F7F7F"/>
          <w:sz w:val="24"/>
        </w:rPr>
        <w:t>Solução Evertec Dupie: Análise de Riscos, Governança e Modelos Alternativos de Implantação</w:t>
      </w:r>
    </w:p>
    <w:p>
      <w:pPr>
        <w:pBdr>
          <w:bottom w:val="single" w:sz="12" w:space="1" w:color="2F485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1F1F1F"/>
                <w:sz w:val="20"/>
              </w:rPr>
              <w:t>Status: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rPr>
                <w:rFonts w:ascii="Calibri" w:hAnsi="Calibri"/>
                <w:color w:val="1F1F1F"/>
                <w:sz w:val="20"/>
              </w:rPr>
              <w:t>Em Avaliação Técnica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1F1F1F"/>
                <w:sz w:val="20"/>
              </w:rPr>
              <w:t>Autor: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rPr>
                <w:rFonts w:ascii="Calibri" w:hAnsi="Calibri"/>
                <w:color w:val="1F1F1F"/>
                <w:sz w:val="20"/>
              </w:rPr>
              <w:t>Emerson França | Engenharia &amp; Arquitetura – Banco BS2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1F1F1F"/>
                <w:sz w:val="20"/>
              </w:rPr>
              <w:t>Destinatário: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rPr>
                <w:rFonts w:ascii="Calibri" w:hAnsi="Calibri"/>
                <w:color w:val="1F1F1F"/>
                <w:sz w:val="20"/>
              </w:rPr>
              <w:t>Equipe Técnica e Comercial – Evertec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1F1F1F"/>
                <w:sz w:val="20"/>
              </w:rPr>
              <w:t>Data: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rPr>
                <w:rFonts w:ascii="Calibri" w:hAnsi="Calibri"/>
                <w:color w:val="1F1F1F"/>
                <w:sz w:val="20"/>
              </w:rPr>
              <w:t>Maio, 2026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1F1F1F"/>
                <w:sz w:val="20"/>
              </w:rPr>
              <w:t>Versão: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rPr>
                <w:rFonts w:ascii="Calibri" w:hAnsi="Calibri"/>
                <w:color w:val="1F1F1F"/>
                <w:sz w:val="20"/>
              </w:rPr>
              <w:t>1.0</w:t>
            </w:r>
          </w:p>
        </w:tc>
      </w:tr>
    </w:tbl>
    <w:p>
      <w:pPr>
        <w:spacing w:before="360" w:after="120"/>
      </w:pPr>
    </w:p>
    <w:p>
      <w:pPr>
        <w:pStyle w:val="Heading2"/>
        <w:spacing w:before="240" w:after="120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r>
          <w:t>Clique com o botão direito e selecione 'Atualizar Campo' para gerar o sumário.</w:t>
        </w:r>
        <w:fldChar w:fldCharType="end"/>
      </w:r>
    </w:p>
    <w:p>
      <w:r>
        <w:br w:type="page"/>
      </w:r>
    </w:p>
    <w:p>
      <w:pPr>
        <w:pStyle w:val="Heading1"/>
        <w:keepNext/>
      </w:pPr>
      <w:r>
        <w:t>1. Objetivos da Reunião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5"/>
            <w:tcBorders>
              <w:left w:val="single" w:sz="24" w:space="0" w:color="2F4858"/>
              <w:top w:val="none"/>
              <w:bottom w:val="none"/>
              <w:right w:val="none"/>
            </w:tcBorders>
          </w:tcPr>
          <w:p>
            <w:pPr>
              <w:spacing w:before="120" w:after="40"/>
              <w:ind w:left="216" w:right="216"/>
            </w:pPr>
            <w:r>
              <w:rPr>
                <w:rFonts w:ascii="Calibri" w:hAnsi="Calibri"/>
                <w:b/>
                <w:color w:val="2F4858"/>
                <w:sz w:val="20"/>
              </w:rPr>
              <w:t>DIRETRIZ ESTRATÉGICA BS2</w:t>
              <w:br/>
            </w:r>
            <w:r>
              <w:rPr>
                <w:rFonts w:ascii="Calibri" w:hAnsi="Calibri"/>
                <w:i/>
                <w:color w:val="1F1F1F"/>
                <w:sz w:val="21"/>
              </w:rPr>
              <w:t>Redução de riscos operacionais e de segurança em ambientes compartilhados através do fortalecimento do isolamento arquitetural.</w:t>
            </w:r>
          </w:p>
        </w:tc>
      </w:tr>
    </w:tbl>
    <w:p>
      <w:pPr>
        <w:spacing w:before="0" w:after="240"/>
      </w:pPr>
    </w:p>
    <w:p>
      <w:pPr>
        <w:pStyle w:val="ListBullet"/>
        <w:spacing w:after="80" w:before="0"/>
      </w:pPr>
      <w:r>
        <w:rPr>
          <w:rFonts w:ascii="Calibri" w:hAnsi="Calibri"/>
          <w:color w:val="1F1F1F"/>
          <w:sz w:val="22"/>
        </w:rPr>
        <w:t>Esclarecer as dúvidas técnicas e as vulnerabilidades percebidas no modelo SaaS multi-tenant atual.</w:t>
      </w:r>
    </w:p>
    <w:p>
      <w:pPr>
        <w:pStyle w:val="ListBullet"/>
        <w:spacing w:after="80" w:before="0"/>
      </w:pPr>
      <w:r>
        <w:rPr>
          <w:rFonts w:ascii="Calibri" w:hAnsi="Calibri"/>
          <w:color w:val="1F1F1F"/>
          <w:sz w:val="22"/>
        </w:rPr>
        <w:t>Garantir a robustez dos mecanismos de segregação de dados para evitar qualquer exposição cruzada.</w:t>
      </w:r>
    </w:p>
    <w:p>
      <w:pPr>
        <w:pStyle w:val="ListBullet"/>
        <w:spacing w:after="80" w:before="0"/>
      </w:pPr>
      <w:r>
        <w:rPr>
          <w:rFonts w:ascii="Calibri" w:hAnsi="Calibri"/>
          <w:color w:val="1F1F1F"/>
          <w:sz w:val="22"/>
        </w:rPr>
        <w:t>Avaliar formalmente a viabilidade de modelos arquiteturais alternativos (Single-tenant / On-premises).</w:t>
      </w:r>
    </w:p>
    <w:p>
      <w:pPr>
        <w:pStyle w:val="ListBullet"/>
        <w:spacing w:after="80" w:before="0"/>
      </w:pPr>
      <w:r>
        <w:rPr>
          <w:rFonts w:ascii="Calibri" w:hAnsi="Calibri"/>
          <w:color w:val="1F1F1F"/>
          <w:sz w:val="22"/>
        </w:rPr>
        <w:t>Definir responsabilidades operacionais (Matriz RACI), níveis de suporte (SLA) e próximos passos.</w:t>
      </w:r>
    </w:p>
    <w:p>
      <w:pPr>
        <w:spacing w:before="0" w:after="240"/>
      </w:pPr>
    </w:p>
    <w:p>
      <w:pPr>
        <w:pStyle w:val="Heading1"/>
        <w:keepNext/>
      </w:pPr>
      <w:r>
        <w:t>2. Segurança, Isolamento e Governança (Pontos Críticos)</w:t>
      </w:r>
    </w:p>
    <w:p>
      <w:pPr>
        <w:spacing w:after="240"/>
      </w:pPr>
      <w:r>
        <w:rPr>
          <w:rFonts w:ascii="Calibri" w:hAnsi="Calibri"/>
          <w:color w:val="1F1F1F"/>
          <w:sz w:val="22"/>
        </w:rPr>
        <w:t>Análise detalhada sobre os requisitos mínimos de Segurança da Informação exigidos pelo Banco BS2.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shd w:val="clear" w:color="auto" w:fill="2F4858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b/>
                <w:color w:val="FFFFFF"/>
                <w:sz w:val="20"/>
              </w:rPr>
              <w:t>Tópico</w:t>
            </w:r>
          </w:p>
        </w:tc>
        <w:tc>
          <w:tcPr>
            <w:tcW w:type="dxa" w:w="3600"/>
            <w:shd w:val="clear" w:color="auto" w:fill="2F4858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b/>
                <w:color w:val="FFFFFF"/>
                <w:sz w:val="20"/>
              </w:rPr>
              <w:t>Desafio / Requisito BS2</w:t>
            </w:r>
          </w:p>
        </w:tc>
        <w:tc>
          <w:tcPr>
            <w:tcW w:type="dxa" w:w="3600"/>
            <w:shd w:val="clear" w:color="auto" w:fill="2F4858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b/>
                <w:color w:val="FFFFFF"/>
                <w:sz w:val="20"/>
              </w:rPr>
              <w:t>Pergunta à Evertec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Segregação de Dados</w:t>
              <w:br/>
              <w:t>(Multi-tenancy)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</w:r>
            <w:r>
              <w:rPr>
                <w:rFonts w:ascii="Calibri" w:hAnsi="Calibri"/>
                <w:b/>
                <w:color w:val="1F1F1F"/>
                <w:sz w:val="20"/>
              </w:rPr>
              <w:t>Desafio:</w:t>
            </w:r>
            <w:r>
              <w:rPr>
                <w:rFonts w:ascii="Calibri" w:hAnsi="Calibri"/>
                <w:color w:val="1F1F1F"/>
                <w:sz w:val="20"/>
              </w:rPr>
              <w:t xml:space="preserve"> Risco de exposição cruzada de dados confidenciais do banco.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Como o isolamento entre tenants é garantido logicamente e fisicamente na infraestrutura e aplicação?</w:t>
            </w:r>
          </w:p>
        </w:tc>
      </w:tr>
      <w:tr>
        <w:tc>
          <w:tcPr>
            <w:tcW w:type="dxa" w:w="2160"/>
            <w:shd w:val="clear" w:color="auto" w:fill="F9FAFA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Gestão de Acessos</w:t>
              <w:br/>
              <w:t>Privilegiados</w:t>
            </w:r>
          </w:p>
        </w:tc>
        <w:tc>
          <w:tcPr>
            <w:tcW w:type="dxa" w:w="3600"/>
            <w:shd w:val="clear" w:color="auto" w:fill="F9FAFA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</w:r>
            <w:r>
              <w:rPr>
                <w:rFonts w:ascii="Calibri" w:hAnsi="Calibri"/>
                <w:b/>
                <w:color w:val="1F1F1F"/>
                <w:sz w:val="20"/>
              </w:rPr>
              <w:t>Desafio:</w:t>
            </w:r>
            <w:r>
              <w:rPr>
                <w:rFonts w:ascii="Calibri" w:hAnsi="Calibri"/>
                <w:color w:val="1F1F1F"/>
                <w:sz w:val="20"/>
              </w:rPr>
              <w:t xml:space="preserve"> Controle, auditoria e rastreabilidade sobre credenciais administrativas.</w:t>
            </w:r>
          </w:p>
        </w:tc>
        <w:tc>
          <w:tcPr>
            <w:tcW w:type="dxa" w:w="3600"/>
            <w:shd w:val="clear" w:color="auto" w:fill="F9FAFA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Quais são as ferramentas de PAM (Privileged Access Management) e trilhas de auditoria utilizadas?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Monitoramento e Logs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</w:r>
            <w:r>
              <w:rPr>
                <w:rFonts w:ascii="Calibri" w:hAnsi="Calibri"/>
                <w:b/>
                <w:color w:val="1F1F1F"/>
                <w:sz w:val="20"/>
              </w:rPr>
              <w:t>Desafio:</w:t>
            </w:r>
            <w:r>
              <w:rPr>
                <w:rFonts w:ascii="Calibri" w:hAnsi="Calibri"/>
                <w:color w:val="1F1F1F"/>
                <w:sz w:val="20"/>
              </w:rPr>
              <w:t xml:space="preserve"> Integração nativa com a infraestrutura de monitoramento do banco.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Como viabilizar o envio de logs operacionais e de segurança para o SIEM corporativo do BS2?</w:t>
            </w:r>
          </w:p>
        </w:tc>
      </w:tr>
      <w:tr>
        <w:tc>
          <w:tcPr>
            <w:tcW w:type="dxa" w:w="2160"/>
            <w:shd w:val="clear" w:color="auto" w:fill="F9FAFA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Maturidade e Compliance</w:t>
            </w:r>
          </w:p>
        </w:tc>
        <w:tc>
          <w:tcPr>
            <w:tcW w:type="dxa" w:w="3600"/>
            <w:shd w:val="clear" w:color="auto" w:fill="F9FAFA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</w:r>
            <w:r>
              <w:rPr>
                <w:rFonts w:ascii="Calibri" w:hAnsi="Calibri"/>
                <w:b/>
                <w:color w:val="1F1F1F"/>
                <w:sz w:val="20"/>
              </w:rPr>
              <w:t>Desafio:</w:t>
            </w:r>
            <w:r>
              <w:rPr>
                <w:rFonts w:ascii="Calibri" w:hAnsi="Calibri"/>
                <w:color w:val="1F1F1F"/>
                <w:sz w:val="20"/>
              </w:rPr>
              <w:t xml:space="preserve"> Evidenciar conformidade regulatória.</w:t>
            </w:r>
          </w:p>
        </w:tc>
        <w:tc>
          <w:tcPr>
            <w:tcW w:type="dxa" w:w="3600"/>
            <w:shd w:val="clear" w:color="auto" w:fill="F9FAFA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Quais certificações de segurança (SOC 2 Type II, ISO 27001, PCI-DSS) a plataforma possui?</w:t>
            </w:r>
          </w:p>
        </w:tc>
      </w:tr>
    </w:tbl>
    <w:p>
      <w:pPr>
        <w:spacing w:before="0" w:after="240"/>
      </w:pPr>
    </w:p>
    <w:p>
      <w:pPr>
        <w:pStyle w:val="Heading1"/>
        <w:keepNext/>
      </w:pPr>
      <w:r>
        <w:t>3. Alternativas Arquiteturais (Redução de Risco)</w:t>
      </w:r>
    </w:p>
    <w:p>
      <w:pPr>
        <w:spacing w:after="240"/>
      </w:pPr>
      <w:r>
        <w:rPr>
          <w:rFonts w:ascii="Calibri" w:hAnsi="Calibri"/>
          <w:color w:val="1F1F1F"/>
          <w:sz w:val="22"/>
        </w:rPr>
        <w:t>Estudo de viabilidade técnica para migração do modelo SaaS compartilhado para estruturas exclusivas.</w:t>
      </w:r>
    </w:p>
    <w:p>
      <w:pPr>
        <w:pStyle w:val="Heading2"/>
        <w:keepNext/>
      </w:pPr>
      <w:r>
        <w:t>3.1 Cenário A: Ambiente Dedicado (Single-Tenant na Nuvem)</w:t>
      </w:r>
    </w:p>
    <w:p>
      <w:pPr>
        <w:spacing w:after="80"/>
      </w:pPr>
      <w:r>
        <w:rPr>
          <w:rFonts w:ascii="Calibri" w:hAnsi="Calibri"/>
          <w:sz w:val="22"/>
        </w:rPr>
        <w:t>Implantação da solução em uma nuvem isolada, dedicada exclusivamente às operações do Banco BS2.</w:t>
      </w:r>
    </w:p>
    <w:p>
      <w:pPr>
        <w:spacing w:before="80" w:after="160"/>
        <w:ind w:left="360"/>
      </w:pPr>
      <w:r>
        <w:rPr>
          <w:rFonts w:ascii="Calibri" w:hAnsi="Calibri"/>
          <w:b/>
          <w:color w:val="2F4858"/>
          <w:sz w:val="21"/>
        </w:rPr>
        <w:t xml:space="preserve">Questão: </w:t>
      </w:r>
      <w:r>
        <w:rPr>
          <w:rFonts w:ascii="Calibri" w:hAnsi="Calibri"/>
          <w:i/>
          <w:color w:val="1F1F1F"/>
          <w:sz w:val="21"/>
        </w:rPr>
        <w:t>Qual o impacto de custos, complexidade e cronograma (setup) para esta transição?</w:t>
      </w:r>
    </w:p>
    <w:p>
      <w:pPr>
        <w:pStyle w:val="Heading2"/>
        <w:keepNext/>
      </w:pPr>
      <w:r>
        <w:t>3.2 Cenário B: Modelo On-Premises</w:t>
      </w:r>
    </w:p>
    <w:p>
      <w:pPr>
        <w:spacing w:after="80"/>
      </w:pPr>
      <w:r>
        <w:rPr>
          <w:rFonts w:ascii="Calibri" w:hAnsi="Calibri"/>
          <w:sz w:val="22"/>
        </w:rPr>
        <w:t>Instalação direta do software dentro da infraestrutura controlada pelo Banco BS2.</w:t>
      </w:r>
    </w:p>
    <w:p>
      <w:pPr>
        <w:spacing w:before="80" w:after="160"/>
        <w:ind w:left="360"/>
      </w:pPr>
      <w:r>
        <w:rPr>
          <w:rFonts w:ascii="Calibri" w:hAnsi="Calibri"/>
          <w:b/>
          <w:color w:val="2F4858"/>
          <w:sz w:val="21"/>
        </w:rPr>
        <w:t xml:space="preserve">Questão: </w:t>
      </w:r>
      <w:r>
        <w:rPr>
          <w:rFonts w:ascii="Calibri" w:hAnsi="Calibri"/>
          <w:i/>
          <w:color w:val="1F1F1F"/>
          <w:sz w:val="21"/>
        </w:rPr>
        <w:t>Existe a viabilidade técnica por parte do produto da Evertec para esse tipo de deploy?</w:t>
      </w:r>
    </w:p>
    <w:p>
      <w:pPr>
        <w:pStyle w:val="Heading2"/>
        <w:keepNext/>
      </w:pPr>
      <w:r>
        <w:t>3.3 Requisitos de Habilitação</w:t>
      </w:r>
    </w:p>
    <w:p>
      <w:pPr>
        <w:spacing w:before="80" w:after="160"/>
        <w:ind w:left="360"/>
      </w:pPr>
      <w:r>
        <w:rPr>
          <w:rFonts w:ascii="Calibri" w:hAnsi="Calibri"/>
          <w:b/>
          <w:color w:val="2F4858"/>
          <w:sz w:val="21"/>
        </w:rPr>
        <w:t xml:space="preserve">Questão: </w:t>
      </w:r>
      <w:r>
        <w:rPr>
          <w:rFonts w:ascii="Calibri" w:hAnsi="Calibri"/>
          <w:i/>
          <w:color w:val="1F1F1F"/>
          <w:sz w:val="21"/>
        </w:rPr>
        <w:t>Quais são os pré-requisitos exatos em termos de infraestrutura (servidores, redes), integrações e dependências de terceiros que o BS2 precisará prover?</w:t>
      </w:r>
    </w:p>
    <w:p>
      <w:pPr>
        <w:spacing w:before="0" w:after="240"/>
      </w:pPr>
    </w:p>
    <w:p>
      <w:pPr>
        <w:pStyle w:val="Heading1"/>
        <w:keepNext/>
      </w:pPr>
      <w:r>
        <w:t>4. Operação, Suporte e Matriz RACI</w:t>
      </w:r>
    </w:p>
    <w:p>
      <w:pPr>
        <w:spacing w:after="240"/>
      </w:pPr>
      <w:r>
        <w:rPr>
          <w:rFonts w:ascii="Calibri" w:hAnsi="Calibri"/>
          <w:sz w:val="22"/>
        </w:rPr>
        <w:t>Alinhamento sobre a sustentação do ambiente caso haja migração de modelo arquitetural.</w:t>
      </w:r>
    </w:p>
    <w:p>
      <w:pPr>
        <w:pStyle w:val="Heading2"/>
        <w:keepNext/>
      </w:pPr>
      <w:r>
        <w:t>4.1 Sustentação e Atualizações (Deploys &amp; Patches)</w:t>
      </w:r>
    </w:p>
    <w:p>
      <w:pPr>
        <w:spacing w:after="240"/>
      </w:pPr>
      <w:r>
        <w:rPr>
          <w:rFonts w:ascii="Calibri" w:hAnsi="Calibri"/>
          <w:sz w:val="22"/>
        </w:rPr>
        <w:t>No cenário de ambiente dedicado ou on-premises, de quem é a responsabilidade técnica pela aplicação de atualizações corretivas e patches de segurança?</w:t>
      </w:r>
    </w:p>
    <w:p>
      <w:pPr>
        <w:pStyle w:val="Heading2"/>
        <w:keepNext/>
      </w:pPr>
      <w:r>
        <w:t>4.2 Gestão de Incidentes e SLAs</w:t>
      </w:r>
    </w:p>
    <w:p>
      <w:pPr>
        <w:spacing w:after="240"/>
      </w:pPr>
      <w:r>
        <w:rPr>
          <w:rFonts w:ascii="Calibri" w:hAnsi="Calibri"/>
          <w:sz w:val="22"/>
        </w:rPr>
        <w:t>Quais são os canais de suporte crítico e quais os SLAs formais (Tempo de Resposta e Tempo de Solução) para incidentes de severidade alta/crítica?</w:t>
      </w:r>
    </w:p>
    <w:p>
      <w:pPr>
        <w:pStyle w:val="Heading2"/>
        <w:keepNext/>
      </w:pPr>
      <w:r>
        <w:t>4.3 Divisão de Responsabilidades (Matriz RACI)</w:t>
      </w:r>
    </w:p>
    <w:p>
      <w:pPr>
        <w:spacing w:after="120"/>
      </w:pPr>
      <w:r>
        <w:rPr>
          <w:rFonts w:ascii="Calibri" w:hAnsi="Calibri"/>
          <w:sz w:val="22"/>
        </w:rPr>
        <w:t>Necessidade de estabelecer uma matriz RACI clara definindo as fronteiras de atuação entre os seguintes times:</w:t>
      </w:r>
    </w:p>
    <w:p>
      <w:pPr>
        <w:pStyle w:val="ListBullet"/>
        <w:spacing w:after="80" w:before="0"/>
      </w:pPr>
      <w:r>
        <w:rPr>
          <w:rFonts w:ascii="Calibri" w:hAnsi="Calibri"/>
          <w:sz w:val="22"/>
        </w:rPr>
        <w:t>Times de Engenharia/Suporte da Evertec</w:t>
      </w:r>
    </w:p>
    <w:p>
      <w:pPr>
        <w:pStyle w:val="ListBullet"/>
        <w:spacing w:after="80" w:before="0"/>
      </w:pPr>
      <w:r>
        <w:rPr>
          <w:rFonts w:ascii="Calibri" w:hAnsi="Calibri"/>
          <w:sz w:val="22"/>
        </w:rPr>
        <w:t>Times de Tecnologia/Segurança do Banco BS2</w:t>
      </w:r>
    </w:p>
    <w:p>
      <w:pPr>
        <w:pStyle w:val="ListBullet"/>
        <w:spacing w:after="80" w:before="0"/>
      </w:pPr>
      <w:r>
        <w:rPr>
          <w:rFonts w:ascii="Calibri" w:hAnsi="Calibri"/>
          <w:sz w:val="22"/>
        </w:rPr>
        <w:t>Eventuais prestadores de serviço e terceiros envolvidos</w:t>
      </w:r>
    </w:p>
    <w:p>
      <w:pPr>
        <w:spacing w:before="0" w:after="240"/>
      </w:pPr>
    </w:p>
    <w:p>
      <w:pPr>
        <w:pStyle w:val="Heading1"/>
        <w:keepNext/>
      </w:pPr>
      <w:r>
        <w:t>5. Próximos Passos e Entregáveis Requeridos</w:t>
      </w:r>
    </w:p>
    <w:p>
      <w:pPr>
        <w:spacing w:after="240"/>
      </w:pPr>
      <w:r>
        <w:rPr>
          <w:rFonts w:ascii="Calibri" w:hAnsi="Calibri"/>
          <w:sz w:val="22"/>
        </w:rPr>
        <w:t>Cronograma de ações e documentos necessários para avanço do processo de homologação.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val="clear" w:color="auto" w:fill="2F4858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val="clear" w:color="auto" w:fill="2F4858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b/>
                <w:color w:val="FFFFFF"/>
                <w:sz w:val="20"/>
              </w:rPr>
              <w:t>Entregável</w:t>
            </w:r>
          </w:p>
        </w:tc>
        <w:tc>
          <w:tcPr>
            <w:tcW w:type="dxa" w:w="5040"/>
            <w:shd w:val="clear" w:color="auto" w:fill="2F4858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b/>
                <w:color w:val="FFFFFF"/>
                <w:sz w:val="20"/>
              </w:rPr>
              <w:t>Descrição / Detalhes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b/>
                <w:color w:val="B46400"/>
                <w:sz w:val="20"/>
              </w:rPr>
              <w:t>Pendente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Evidências Técnicas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Envio de documentação de arquitetura que comprove a segurança no isolamento de dados atuais.</w:t>
            </w:r>
          </w:p>
        </w:tc>
      </w:tr>
      <w:tr>
        <w:tc>
          <w:tcPr>
            <w:tcW w:type="dxa" w:w="1440"/>
            <w:shd w:val="clear" w:color="auto" w:fill="F9FAFA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b/>
                <w:color w:val="B46400"/>
                <w:sz w:val="20"/>
              </w:rPr>
              <w:t>Pendente</w:t>
            </w:r>
          </w:p>
        </w:tc>
        <w:tc>
          <w:tcPr>
            <w:tcW w:type="dxa" w:w="2880"/>
            <w:shd w:val="clear" w:color="auto" w:fill="F9FAFA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Políticas de Acesso</w:t>
            </w:r>
          </w:p>
        </w:tc>
        <w:tc>
          <w:tcPr>
            <w:tcW w:type="dxa" w:w="5040"/>
            <w:shd w:val="clear" w:color="auto" w:fill="F9FAFA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Detalhamento técnico dos mecanismos de governança e auditoria de usuários.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b/>
                <w:color w:val="B46400"/>
                <w:sz w:val="20"/>
              </w:rPr>
              <w:t>Pendente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Certificações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Compartilhamento dos relatórios de auditoria externa e certificados de segurança ativos.</w:t>
            </w:r>
          </w:p>
        </w:tc>
      </w:tr>
      <w:tr>
        <w:tc>
          <w:tcPr>
            <w:tcW w:type="dxa" w:w="1440"/>
            <w:shd w:val="clear" w:color="auto" w:fill="F9FAFA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b/>
                <w:color w:val="B46400"/>
                <w:sz w:val="20"/>
              </w:rPr>
              <w:t>Pendente</w:t>
            </w:r>
          </w:p>
        </w:tc>
        <w:tc>
          <w:tcPr>
            <w:tcW w:type="dxa" w:w="2880"/>
            <w:shd w:val="clear" w:color="auto" w:fill="F9FAFA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Proposta de Modelos Alternativos</w:t>
            </w:r>
          </w:p>
        </w:tc>
        <w:tc>
          <w:tcPr>
            <w:tcW w:type="dxa" w:w="5040"/>
            <w:shd w:val="clear" w:color="auto" w:fill="F9FAFA"/>
          </w:tcPr>
          <w:p>
            <w:pPr>
              <w:spacing w:before="120" w:after="120"/>
              <w:ind w:left="72" w:right="72"/>
            </w:pPr>
            <w:r>
              <w:rPr>
                <w:rFonts w:ascii="Calibri" w:hAnsi="Calibri"/>
                <w:color w:val="1F1F1F"/>
                <w:sz w:val="20"/>
              </w:rPr>
              <w:t>Apresentação de estudo de viabilidade comercial e técnica para os cenários Single-Tenant ou On-Premises, incluindo a minuta de suporte (SLA) e a proposta de Matriz RACI.</w:t>
            </w:r>
          </w:p>
        </w:tc>
      </w:tr>
    </w:tbl>
    <w:p>
      <w:pPr>
        <w:spacing w:before="0" w:after="2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7F7F"/>
        <w:sz w:val="18"/>
      </w:rPr>
      <w:t xml:space="preserve">Página </w:t>
      <w:fldChar w:fldCharType="begin"/>
      <w:instrText xml:space="preserve">PAGE</w:instrText>
      <w:fldChar w:fldCharType="end"/>
    </w:r>
    <w:r>
      <w:t xml:space="preserve"> de </w:t>
    </w:r>
    <w:r>
      <w:rPr>
        <w:rFonts w:ascii="Calibri" w:hAnsi="Calibri"/>
        <w:color w:val="7F7F7F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7F7F"/>
        <w:sz w:val="18"/>
      </w:rPr>
      <w:t>Avaliação de Arquitetura – Evertec Dupie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48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485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F485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