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Técnico de Infraestrutura — Ambiente 1 (QA/Teste)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Classificação:</w:t>
      </w:r>
      <w:r>
        <w:t xml:space="preserve"> Confidencial (Uso Interno)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Executiva</w:t>
      </w:r>
    </w:p>
    <w:p>
      <w:pPr>
        <w:pStyle w:val="MdParagraph"/>
      </w:pPr>
      <w:r>
        <w:t xml:space="preserve">Este documento fornece as diretrizes técnicas para a implantação da infraestrutura L2/L3 do </w:t>
      </w:r>
      <w:r>
        <w:rPr>
          <w:rStyle w:val="MdStrong"/>
          <w:b/>
          <w:bCs/>
        </w:rPr>
        <w:t xml:space="preserve">Ambiente 1 (QA/Teste)</w:t>
      </w:r>
      <w:r>
        <w:t xml:space="preserve"> do Banco BS2, localizado no Datacenter Equinix. O objetivo é orientar as equipes de Redes, Infraestrutura e SRE na configuração física e lógica dos clusters VXRail, topologia de rede, Kubernetes e integrações externas (GCP, GitHub).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Topologia de Rede e VLANs (Dell VXRail)</w:t>
      </w:r>
    </w:p>
    <w:p>
      <w:pPr>
        <w:pStyle w:val="MdParagraph"/>
      </w:pPr>
      <w:r>
        <w:t xml:space="preserve">O cluster VXRail que suporta o Ambiente 1 será segmentado em 4 VLANs distintas gerenciadas pelo vSphere Distributed Switch (vDS), garantindo isolamento de tráfego e segurança [1].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Rede / Finalidade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VLAN 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Bloco CIDR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Máscara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Gateway Padrão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Protocolo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10.100.1.0/24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10.100.1.1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TCP/IP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K8S Cluster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10.101.0.0/24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10.101.0.1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TCP/IP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Storage /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10.102.0.0/24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10.102.0.1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TCP/IP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External / DMZ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10.103.0.0/24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255.255.255.0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10.103.0.1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TCP/IP</w:t>
            </w:r>
          </w:p>
        </w:tc>
      </w:tr>
    </w:tbl>
    <w:p>
      <w:pPr>
        <w:pStyle w:val="MdBlockquote"/>
      </w:pPr>
      <w:r>
        <w:t xml:space="preserve">"A segregação em VLANs dedicadas para Storage e K8S Cluster é crítica para evitar contenção de banda durante operações de clonagem do Delphix ou rebalanceamento do Couchbase." — </w:t>
      </w:r>
      <w:r>
        <w:rPr>
          <w:rStyle w:val="MdEm"/>
          <w:i/>
          <w:iCs/>
        </w:rPr>
        <w:t xml:space="preserve">Diretriz de Arquitetura BS2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Arquitetura Kubernetes (K8S)</w:t>
      </w:r>
    </w:p>
    <w:p>
      <w:pPr>
        <w:pStyle w:val="MdParagraph"/>
      </w:pPr>
      <w:r>
        <w:t xml:space="preserve">O cluster K8S será implantado sobre a VLAN 101, seguindo as melhores práticas de alta disponibilidade.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Nodes e Dimensionamento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 Plane (Masters):</w:t>
      </w:r>
      <w:r>
        <w:t xml:space="preserve"> 3 nós virtuais (VMs) rodando etcd, API Server e Scheduler.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Worker Nodes:</w:t>
      </w:r>
      <w:r>
        <w:t xml:space="preserve"> 6 nós virtuais (VMs) dedicados à execução de workloads e pods.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Isolamento Lógico (Namespaces)</w:t>
      </w:r>
    </w:p>
    <w:p>
      <w:pPr>
        <w:pStyle w:val="MdParagraph"/>
      </w:pPr>
      <w:r>
        <w:t xml:space="preserve">O cluster será dividido logicamente para organizar os recursos: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ns-apps</w:t>
      </w:r>
      <w:r>
        <w:t xml:space="preserve">: Dedicado aos pods das aplicações .NET (mínimo de 3 réplicas por serviço).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ns-test</w:t>
      </w:r>
      <w:r>
        <w:t xml:space="preserve">: Dedicado à stack de Qualidade e Teste (Playwright, JMeter, RestSharp, UIAutomator, SonarQube).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ns-infra</w:t>
      </w:r>
      <w:r>
        <w:t xml:space="preserve">: Serviços de infraestrutura como RabbitMQ Operator, Ingress NGINX e ArgoCD.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Integrações Externas e Fluxos de Firewall</w:t>
      </w:r>
    </w:p>
    <w:p>
      <w:pPr>
        <w:pStyle w:val="MdParagraph"/>
      </w:pPr>
      <w:r>
        <w:t xml:space="preserve">O Ambiente 1 possui integrações restritas e controladas por firewall, operando em um modelo </w:t>
      </w:r>
      <w:r>
        <w:rPr>
          <w:rStyle w:val="MdEm"/>
          <w:i/>
          <w:iCs/>
        </w:rPr>
        <w:t xml:space="preserve">Zero Trust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Integração Google Cloud Platform (GCP)</w:t>
      </w:r>
    </w:p>
    <w:p>
      <w:pPr>
        <w:pStyle w:val="MdParagraph"/>
      </w:pPr>
      <w:r>
        <w:t xml:space="preserve">A conexão com a GCP é realizada via </w:t>
      </w:r>
      <w:r>
        <w:rPr>
          <w:rStyle w:val="MdStrong"/>
          <w:b/>
          <w:bCs/>
        </w:rPr>
        <w:t xml:space="preserve">Cloud Interconnect (10Gbps Dedicados)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PostgreSQL Managed (Cloud SQL):</w:t>
      </w:r>
      <w:r>
        <w:t xml:space="preserve"> </w:t>
      </w:r>
      <w:r>
        <w:rPr>
          <w:rStyle w:val="MdCode"/>
          <w:u w:val="single"/>
        </w:rPr>
        <w:t xml:space="preserve">10.200.1.0/24</w:t>
      </w:r>
      <w:r>
        <w:t xml:space="preserve"> (Porta TCP 5432)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Redis Managed (Memorystore):</w:t>
      </w:r>
      <w:r>
        <w:t xml:space="preserve"> </w:t>
      </w:r>
      <w:r>
        <w:rPr>
          <w:rStyle w:val="MdCode"/>
          <w:u w:val="single"/>
        </w:rPr>
        <w:t xml:space="preserve">10.200.2.0/24</w:t>
      </w:r>
      <w:r>
        <w:t xml:space="preserve"> (Porta TCP 6379)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DeviceFarm e XCTest:</w:t>
      </w:r>
      <w:r>
        <w:t xml:space="preserve"> Serviços SaaS acessados via APIs seguras sobre a Interconnect.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Integração GitHub (CI/CD)</w:t>
      </w:r>
    </w:p>
    <w:p>
      <w:pPr>
        <w:pStyle w:val="MdParagraph"/>
      </w:pPr>
      <w:r>
        <w:t xml:space="preserve">O tráfego de saída para o GitHub é estritamente via HTTPS.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Fluxo:</w:t>
      </w:r>
      <w:r>
        <w:t xml:space="preserve"> Saída permitida para </w:t>
      </w:r>
      <w:r>
        <w:rPr>
          <w:rStyle w:val="MdCode"/>
          <w:u w:val="single"/>
        </w:rPr>
        <w:t xml:space="preserve">api.github.com</w:t>
      </w:r>
      <w:r>
        <w:t xml:space="preserve"> e endpoints de Container Registry.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Protocolo/Porta:</w:t>
      </w:r>
      <w:r>
        <w:t xml:space="preserve"> HTTPS (TCP 443).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Webhooks:</w:t>
      </w:r>
      <w:r>
        <w:t xml:space="preserve"> O ArgoCD (no </w:t>
      </w:r>
      <w:r>
        <w:rPr>
          <w:rStyle w:val="MdCode"/>
          <w:u w:val="single"/>
        </w:rPr>
        <w:t xml:space="preserve">ns-infra</w:t>
      </w:r>
      <w:r>
        <w:t xml:space="preserve">) deve ter permissão para receber webhooks do GitHub.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Regras de Firewall (Inbound / Outbound)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Origem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Destino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Porta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Protocolo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Justificativa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VLAN 101 (K8S)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GCP (</w:t>
            </w:r>
            <w:r>
              <w:rPr>
                <w:rStyle w:val="MdCode"/>
                <w:u w:val="single"/>
              </w:rPr>
              <w:t xml:space="preserve">10.200.1.0/24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5432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Acesso das apps ao PostgreSQL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VLAN 101 (K8S)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GCP (</w:t>
            </w:r>
            <w:r>
              <w:rPr>
                <w:rStyle w:val="MdCode"/>
                <w:u w:val="single"/>
              </w:rPr>
              <w:t xml:space="preserve">10.200.2.0/24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6379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Acesso das apps ao Redis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VLAN 101 (K8S)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Internet (GitHub)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Pull de imagens e sincronização GitOps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Ambiente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VLAN 103 (Ingress)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Acesso de APIs do Ambiente de Homologação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VLAN 101 (K8S)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Serviços Compart.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9090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Coleta de métricas pelo Prometheus</w:t>
            </w:r>
          </w:p>
        </w:tc>
      </w:tr>
    </w:tbl>
    <w:p>
      <w:pPr>
        <w:pStyle w:val="Heading2"/>
        <w:pStyle w:val="MdHeading2"/>
      </w:pPr>
      <w:r>
        <w:t xml:space="preserve">5. Ferramentas de Qualidade e Teste</w:t>
      </w:r>
    </w:p>
    <w:p>
      <w:pPr>
        <w:pStyle w:val="MdParagraph"/>
      </w:pPr>
      <w:r>
        <w:t xml:space="preserve">A stack de QA rodará majoritariamente dentro do Kubernetes (VLAN 101), com exceção dos serviços gerenciados na nuvem [2].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Playwright, JMeter, RestSharp, UIAutomator:</w:t>
      </w:r>
      <w:r>
        <w:t xml:space="preserve"> Executados como Pods efêmeros disparados pelos runners do GitHub Actions durante a esteira de CI.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SonarQube:</w:t>
      </w:r>
      <w:r>
        <w:t xml:space="preserve"> Executado como StatefulSet com persistência de dados no Storage (VLAN 102).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DeviceFarm e XCTest:</w:t>
      </w:r>
      <w:r>
        <w:t xml:space="preserve"> Consumidos como serviço (SaaS) diretamente da GCP para testes em dispositivos móveis reais.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Diagrama de Referência</w:t>
      </w:r>
    </w:p>
    <w:p>
      <w:pPr>
        <w:pStyle w:val="MdParagraph"/>
      </w:pPr>
      <w:r>
        <w:t xml:space="preserve">A imagem técnica da topologia está anexada a este pacote de entrega e deve ser utilizada como referência primária para a configuração do vSphere Distributed Switch e regras de Firewall.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Referências</w:t>
      </w:r>
    </w:p>
    <w:p>
      <w:pPr>
        <w:pStyle w:val="MdParagraph"/>
      </w:pPr>
      <w:r>
        <w:t xml:space="preserve">[1] VMware Docs. "vSphere Distributed Switch Architecture".</w:t>
      </w:r>
      <w:r>
        <w:br/>
        <w:t xml:space="preserve">[2] CNCF. "Kubernetes Network Policies and Namespace Isolation".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2026-06-18T14:23:58.876Z</dcterms:created>
  <dcterms:modified xsi:type="dcterms:W3CDTF">2026-06-18T14:23:58.876Z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