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88A" w:rsidRDefault="00E6588A" w:rsidP="00E6588A">
      <w:pPr>
        <w:spacing w:before="80" w:line="360" w:lineRule="auto"/>
        <w:jc w:val="both"/>
        <w:rPr>
          <w:rFonts w:cs="Narkisim" w:hint="cs"/>
          <w:sz w:val="18"/>
          <w:szCs w:val="18"/>
          <w:rtl/>
        </w:rPr>
      </w:pPr>
    </w:p>
    <w:p w:rsidR="00E6588A" w:rsidRDefault="00E6588A" w:rsidP="00E6588A">
      <w:pPr>
        <w:spacing w:before="80" w:line="360" w:lineRule="auto"/>
        <w:jc w:val="both"/>
        <w:rPr>
          <w:rFonts w:cs="Narkisim" w:hint="cs"/>
          <w:sz w:val="18"/>
          <w:szCs w:val="18"/>
          <w:rtl/>
        </w:rPr>
      </w:pPr>
    </w:p>
    <w:p w:rsidR="00E6588A" w:rsidRPr="008C4E11" w:rsidRDefault="00E6588A" w:rsidP="00E6588A">
      <w:pPr>
        <w:spacing w:before="80" w:line="360" w:lineRule="auto"/>
        <w:jc w:val="center"/>
        <w:rPr>
          <w:rFonts w:cs="Guttman Drogolin" w:hint="cs"/>
          <w:sz w:val="30"/>
          <w:szCs w:val="30"/>
          <w:rtl/>
        </w:rPr>
      </w:pPr>
      <w:r w:rsidRPr="008C4E11">
        <w:rPr>
          <w:rFonts w:cs="Guttman Drogolin" w:hint="cs"/>
          <w:sz w:val="30"/>
          <w:szCs w:val="30"/>
          <w:rtl/>
        </w:rPr>
        <w:t>סימן י</w:t>
      </w:r>
    </w:p>
    <w:p w:rsidR="00E6588A" w:rsidRPr="008C4E11" w:rsidRDefault="00E6588A" w:rsidP="00E6588A">
      <w:pPr>
        <w:spacing w:before="80" w:line="360" w:lineRule="auto"/>
        <w:jc w:val="center"/>
        <w:rPr>
          <w:rFonts w:cs="Guttman Drogolin" w:hint="cs"/>
          <w:b/>
          <w:bCs/>
          <w:sz w:val="32"/>
          <w:szCs w:val="32"/>
          <w:rtl/>
        </w:rPr>
      </w:pPr>
      <w:r w:rsidRPr="008C4E11">
        <w:rPr>
          <w:rFonts w:cs="Guttman Drogolin" w:hint="cs"/>
          <w:b/>
          <w:bCs/>
          <w:sz w:val="32"/>
          <w:szCs w:val="32"/>
          <w:rtl/>
        </w:rPr>
        <w:t>בירך על הדלקת נר חנוכה ולא היה בחנוכיה שמן</w:t>
      </w:r>
    </w:p>
    <w:p w:rsidR="00E6588A" w:rsidRDefault="00E6588A" w:rsidP="00E6588A">
      <w:pPr>
        <w:spacing w:before="80" w:line="360" w:lineRule="auto"/>
        <w:jc w:val="both"/>
        <w:rPr>
          <w:rFonts w:cs="Narkisim" w:hint="cs"/>
          <w:sz w:val="18"/>
          <w:szCs w:val="18"/>
          <w:rtl/>
        </w:rPr>
      </w:pPr>
    </w:p>
    <w:p w:rsidR="00E6588A" w:rsidRPr="00ED5CD2" w:rsidRDefault="00E6588A" w:rsidP="00E6588A">
      <w:pPr>
        <w:spacing w:before="80" w:line="360" w:lineRule="auto"/>
        <w:ind w:left="567" w:right="567"/>
        <w:jc w:val="both"/>
        <w:rPr>
          <w:rFonts w:cs="Miriam" w:hint="cs"/>
          <w:sz w:val="22"/>
          <w:szCs w:val="22"/>
          <w:rtl/>
        </w:rPr>
      </w:pPr>
      <w:r w:rsidRPr="00ED5CD2">
        <w:rPr>
          <w:rFonts w:cs="Miriam" w:hint="cs"/>
          <w:sz w:val="22"/>
          <w:szCs w:val="22"/>
          <w:rtl/>
        </w:rPr>
        <w:t xml:space="preserve">בספר כף החיים (סימן תרעו </w:t>
      </w:r>
      <w:proofErr w:type="spellStart"/>
      <w:r w:rsidRPr="00ED5CD2">
        <w:rPr>
          <w:rFonts w:cs="Miriam" w:hint="cs"/>
          <w:sz w:val="22"/>
          <w:szCs w:val="22"/>
          <w:rtl/>
        </w:rPr>
        <w:t>ס"ק</w:t>
      </w:r>
      <w:proofErr w:type="spellEnd"/>
      <w:r w:rsidRPr="00ED5CD2">
        <w:rPr>
          <w:rFonts w:cs="Miriam" w:hint="cs"/>
          <w:sz w:val="22"/>
          <w:szCs w:val="22"/>
          <w:rtl/>
        </w:rPr>
        <w:t xml:space="preserve"> יא) דן </w:t>
      </w:r>
      <w:proofErr w:type="spellStart"/>
      <w:r w:rsidRPr="00ED5CD2">
        <w:rPr>
          <w:rFonts w:cs="Miriam" w:hint="cs"/>
          <w:sz w:val="22"/>
          <w:szCs w:val="22"/>
          <w:rtl/>
        </w:rPr>
        <w:t>ב"עובדא</w:t>
      </w:r>
      <w:proofErr w:type="spellEnd"/>
      <w:r w:rsidRPr="00ED5CD2">
        <w:rPr>
          <w:rFonts w:cs="Miriam" w:hint="cs"/>
          <w:sz w:val="22"/>
          <w:szCs w:val="22"/>
          <w:rtl/>
        </w:rPr>
        <w:t xml:space="preserve"> הוה </w:t>
      </w:r>
      <w:r>
        <w:rPr>
          <w:rFonts w:cs="Miriam" w:hint="cs"/>
          <w:sz w:val="22"/>
          <w:szCs w:val="22"/>
          <w:rtl/>
        </w:rPr>
        <w:t xml:space="preserve">בחנוכה </w:t>
      </w:r>
      <w:r w:rsidRPr="00ED5CD2">
        <w:rPr>
          <w:rFonts w:cs="Miriam" w:hint="cs"/>
          <w:sz w:val="22"/>
          <w:szCs w:val="22"/>
          <w:rtl/>
        </w:rPr>
        <w:t xml:space="preserve">שהתחיל אחד לברך את השתי ברכות </w:t>
      </w:r>
      <w:proofErr w:type="spellStart"/>
      <w:r w:rsidRPr="00ED5CD2">
        <w:rPr>
          <w:rFonts w:cs="Miriam" w:hint="cs"/>
          <w:sz w:val="22"/>
          <w:szCs w:val="22"/>
          <w:rtl/>
        </w:rPr>
        <w:t>בחושבו</w:t>
      </w:r>
      <w:proofErr w:type="spellEnd"/>
      <w:r w:rsidRPr="00ED5CD2">
        <w:rPr>
          <w:rFonts w:cs="Miriam" w:hint="cs"/>
          <w:sz w:val="22"/>
          <w:szCs w:val="22"/>
          <w:rtl/>
        </w:rPr>
        <w:t xml:space="preserve"> שהיה שמן, ולא נמצא, מפני ששכחו </w:t>
      </w:r>
      <w:proofErr w:type="spellStart"/>
      <w:r w:rsidRPr="00ED5CD2">
        <w:rPr>
          <w:rFonts w:cs="Miriam" w:hint="cs"/>
          <w:sz w:val="22"/>
          <w:szCs w:val="22"/>
          <w:rtl/>
        </w:rPr>
        <w:t>ליתן</w:t>
      </w:r>
      <w:proofErr w:type="spellEnd"/>
      <w:r w:rsidRPr="00ED5CD2">
        <w:rPr>
          <w:rFonts w:cs="Miriam" w:hint="cs"/>
          <w:sz w:val="22"/>
          <w:szCs w:val="22"/>
          <w:rtl/>
        </w:rPr>
        <w:t xml:space="preserve"> שמן. ומצאתי </w:t>
      </w:r>
      <w:proofErr w:type="spellStart"/>
      <w:r w:rsidRPr="00ED5CD2">
        <w:rPr>
          <w:rFonts w:cs="Miriam" w:hint="cs"/>
          <w:sz w:val="22"/>
          <w:szCs w:val="22"/>
          <w:rtl/>
        </w:rPr>
        <w:t>להט"ז</w:t>
      </w:r>
      <w:proofErr w:type="spellEnd"/>
      <w:r w:rsidRPr="00ED5CD2">
        <w:rPr>
          <w:rFonts w:cs="Miriam" w:hint="cs"/>
          <w:sz w:val="22"/>
          <w:szCs w:val="22"/>
          <w:rtl/>
        </w:rPr>
        <w:t xml:space="preserve"> (סימן </w:t>
      </w:r>
      <w:proofErr w:type="spellStart"/>
      <w:r w:rsidRPr="00ED5CD2">
        <w:rPr>
          <w:rFonts w:cs="Miriam" w:hint="cs"/>
          <w:sz w:val="22"/>
          <w:szCs w:val="22"/>
          <w:rtl/>
        </w:rPr>
        <w:t>רעא</w:t>
      </w:r>
      <w:proofErr w:type="spellEnd"/>
      <w:r w:rsidRPr="00ED5CD2">
        <w:rPr>
          <w:rFonts w:cs="Miriam" w:hint="cs"/>
          <w:sz w:val="22"/>
          <w:szCs w:val="22"/>
          <w:rtl/>
        </w:rPr>
        <w:t xml:space="preserve"> </w:t>
      </w:r>
      <w:proofErr w:type="spellStart"/>
      <w:r w:rsidRPr="00ED5CD2">
        <w:rPr>
          <w:rFonts w:cs="Miriam" w:hint="cs"/>
          <w:sz w:val="22"/>
          <w:szCs w:val="22"/>
          <w:rtl/>
        </w:rPr>
        <w:t>ס"ק</w:t>
      </w:r>
      <w:proofErr w:type="spellEnd"/>
      <w:r w:rsidRPr="00ED5CD2">
        <w:rPr>
          <w:rFonts w:cs="Miriam" w:hint="cs"/>
          <w:sz w:val="22"/>
          <w:szCs w:val="22"/>
          <w:rtl/>
        </w:rPr>
        <w:t xml:space="preserve"> </w:t>
      </w:r>
      <w:proofErr w:type="spellStart"/>
      <w:r w:rsidRPr="00ED5CD2">
        <w:rPr>
          <w:rFonts w:cs="Miriam" w:hint="cs"/>
          <w:sz w:val="22"/>
          <w:szCs w:val="22"/>
          <w:rtl/>
        </w:rPr>
        <w:t>יט</w:t>
      </w:r>
      <w:proofErr w:type="spellEnd"/>
      <w:r w:rsidRPr="00ED5CD2">
        <w:rPr>
          <w:rFonts w:cs="Miriam" w:hint="cs"/>
          <w:sz w:val="22"/>
          <w:szCs w:val="22"/>
          <w:rtl/>
        </w:rPr>
        <w:t xml:space="preserve">) </w:t>
      </w:r>
      <w:proofErr w:type="spellStart"/>
      <w:r w:rsidRPr="00ED5CD2">
        <w:rPr>
          <w:rFonts w:cs="Miriam" w:hint="cs"/>
          <w:sz w:val="22"/>
          <w:szCs w:val="22"/>
          <w:rtl/>
        </w:rPr>
        <w:t>דאם</w:t>
      </w:r>
      <w:proofErr w:type="spellEnd"/>
      <w:r w:rsidRPr="00ED5CD2">
        <w:rPr>
          <w:rFonts w:cs="Miriam" w:hint="cs"/>
          <w:sz w:val="22"/>
          <w:szCs w:val="22"/>
          <w:rtl/>
        </w:rPr>
        <w:t xml:space="preserve"> השמן היה לפניו אינו צריך לחזור ולברך, וענין כזה איתא בפוסקים לענין ברכת הפרי בכמה סוגים, עיין בהם".</w:t>
      </w:r>
    </w:p>
    <w:p w:rsidR="00E6588A" w:rsidRPr="00ED5CD2" w:rsidRDefault="00E6588A" w:rsidP="00E6588A">
      <w:pPr>
        <w:spacing w:before="80" w:line="360" w:lineRule="auto"/>
        <w:ind w:left="567" w:right="567"/>
        <w:jc w:val="both"/>
        <w:rPr>
          <w:rFonts w:cs="Miriam" w:hint="cs"/>
          <w:sz w:val="22"/>
          <w:szCs w:val="22"/>
          <w:rtl/>
        </w:rPr>
      </w:pPr>
      <w:r w:rsidRPr="00ED5CD2">
        <w:rPr>
          <w:rFonts w:cs="Miriam" w:hint="cs"/>
          <w:sz w:val="22"/>
          <w:szCs w:val="22"/>
          <w:rtl/>
        </w:rPr>
        <w:t xml:space="preserve">נדון זה, כשבירך על הדלקת נר חנוכה ונמצא שלא היה בחנוכיה שמן בשעת הברכה, הוא </w:t>
      </w:r>
      <w:r w:rsidRPr="00ED5CD2">
        <w:rPr>
          <w:rFonts w:cs="Miriam" w:hint="cs"/>
          <w:b/>
          <w:bCs/>
          <w:sz w:val="22"/>
          <w:szCs w:val="22"/>
          <w:rtl/>
        </w:rPr>
        <w:t xml:space="preserve">נדון כללי </w:t>
      </w:r>
      <w:r w:rsidRPr="00ED5CD2">
        <w:rPr>
          <w:rFonts w:cs="Miriam" w:hint="cs"/>
          <w:sz w:val="22"/>
          <w:szCs w:val="22"/>
          <w:rtl/>
        </w:rPr>
        <w:t xml:space="preserve">המסתעף לדוגמאות רבות - אם </w:t>
      </w:r>
      <w:r w:rsidRPr="00ED5CD2">
        <w:rPr>
          <w:rFonts w:cs="Miriam" w:hint="cs"/>
          <w:b/>
          <w:bCs/>
          <w:sz w:val="22"/>
          <w:szCs w:val="22"/>
          <w:rtl/>
        </w:rPr>
        <w:t>בירך על קיום מצוה</w:t>
      </w:r>
      <w:r w:rsidRPr="00ED5CD2">
        <w:rPr>
          <w:rFonts w:cs="Miriam" w:hint="cs"/>
          <w:sz w:val="22"/>
          <w:szCs w:val="22"/>
          <w:rtl/>
        </w:rPr>
        <w:t xml:space="preserve">, ולאחר הברכה התברר שבשעת הברכה לא יכל לקיים את המצוה בחפץ שחשב לקיימה, כגון: תפילין שנמצאו אינן ראויות להנחה, ארבע מינים שלא היו כשרים, ספר תורה או שופר שנמצאו פסולים, ודוגמאות נוספות שיבוארו להלן. </w:t>
      </w:r>
    </w:p>
    <w:p w:rsidR="00E6588A" w:rsidRPr="00ED5CD2" w:rsidRDefault="00E6588A" w:rsidP="00E6588A">
      <w:pPr>
        <w:spacing w:before="80" w:line="360" w:lineRule="auto"/>
        <w:ind w:left="567" w:right="567"/>
        <w:jc w:val="both"/>
        <w:rPr>
          <w:rFonts w:cs="Miriam" w:hint="cs"/>
          <w:sz w:val="22"/>
          <w:szCs w:val="22"/>
          <w:rtl/>
        </w:rPr>
      </w:pPr>
      <w:r w:rsidRPr="00ED5CD2">
        <w:rPr>
          <w:rFonts w:cs="Miriam" w:hint="cs"/>
          <w:sz w:val="22"/>
          <w:szCs w:val="22"/>
          <w:rtl/>
        </w:rPr>
        <w:t xml:space="preserve">ולא רק בקיום מצוות, אלא כפי שהביא כף החיים, גם </w:t>
      </w:r>
      <w:r w:rsidRPr="00ED5CD2">
        <w:rPr>
          <w:rFonts w:cs="Miriam" w:hint="cs"/>
          <w:b/>
          <w:bCs/>
          <w:sz w:val="22"/>
          <w:szCs w:val="22"/>
          <w:rtl/>
        </w:rPr>
        <w:t xml:space="preserve">בברכות </w:t>
      </w:r>
      <w:proofErr w:type="spellStart"/>
      <w:r w:rsidRPr="00ED5CD2">
        <w:rPr>
          <w:rFonts w:cs="Miriam" w:hint="cs"/>
          <w:b/>
          <w:bCs/>
          <w:sz w:val="22"/>
          <w:szCs w:val="22"/>
          <w:rtl/>
        </w:rPr>
        <w:t>הנהנין</w:t>
      </w:r>
      <w:proofErr w:type="spellEnd"/>
      <w:r w:rsidRPr="00ED5CD2">
        <w:rPr>
          <w:rFonts w:cs="Miriam" w:hint="cs"/>
          <w:sz w:val="22"/>
          <w:szCs w:val="22"/>
          <w:rtl/>
        </w:rPr>
        <w:t>, דנו הפוסקים כאשר בירך על פרי והתברר שהפרי אינו ראוי לאכילה, אימתי חייב לברך פעם נוספת.</w:t>
      </w:r>
    </w:p>
    <w:p w:rsidR="00E6588A" w:rsidRPr="00ED5CD2" w:rsidRDefault="00E6588A" w:rsidP="00E6588A">
      <w:pPr>
        <w:spacing w:before="80" w:line="360" w:lineRule="auto"/>
        <w:ind w:left="567" w:right="567"/>
        <w:jc w:val="both"/>
        <w:rPr>
          <w:rFonts w:cs="Miriam" w:hint="cs"/>
          <w:sz w:val="22"/>
          <w:szCs w:val="22"/>
          <w:rtl/>
        </w:rPr>
      </w:pPr>
      <w:r w:rsidRPr="00ED5CD2">
        <w:rPr>
          <w:rFonts w:cs="Miriam" w:hint="cs"/>
          <w:sz w:val="22"/>
          <w:szCs w:val="22"/>
          <w:rtl/>
        </w:rPr>
        <w:t>ויש לברר מהו הכלל - אימתי חייב לברך בשנית, ואימתי עלתה לו הברכה.</w:t>
      </w:r>
    </w:p>
    <w:p w:rsidR="00E6588A" w:rsidRDefault="00E6588A" w:rsidP="00E6588A">
      <w:pPr>
        <w:spacing w:before="80" w:line="360" w:lineRule="auto"/>
        <w:jc w:val="both"/>
        <w:rPr>
          <w:rFonts w:cs="Narkisim" w:hint="cs"/>
          <w:sz w:val="20"/>
          <w:szCs w:val="20"/>
          <w:rtl/>
        </w:rPr>
      </w:pPr>
    </w:p>
    <w:p w:rsidR="00E6588A" w:rsidRDefault="00E6588A" w:rsidP="00E6588A">
      <w:pPr>
        <w:spacing w:before="80" w:line="360" w:lineRule="auto"/>
        <w:jc w:val="both"/>
        <w:rPr>
          <w:rFonts w:cs="David" w:hint="cs"/>
          <w:b/>
          <w:bCs/>
          <w:rtl/>
        </w:rPr>
      </w:pPr>
    </w:p>
    <w:p w:rsidR="00E6588A" w:rsidRPr="00ED5CD2" w:rsidRDefault="00E6588A" w:rsidP="00E6588A">
      <w:pPr>
        <w:spacing w:before="80" w:line="360" w:lineRule="auto"/>
        <w:jc w:val="both"/>
        <w:rPr>
          <w:rFonts w:cs="David" w:hint="cs"/>
          <w:b/>
          <w:bCs/>
          <w:sz w:val="22"/>
          <w:szCs w:val="22"/>
          <w:rtl/>
        </w:rPr>
      </w:pPr>
      <w:r w:rsidRPr="00ED5CD2">
        <w:rPr>
          <w:rFonts w:cs="David" w:hint="cs"/>
          <w:b/>
          <w:bCs/>
          <w:sz w:val="22"/>
          <w:szCs w:val="22"/>
          <w:rtl/>
        </w:rPr>
        <w:t>קידש על יין ונשפך או קידש על יין והתברר שהוא מים</w:t>
      </w:r>
    </w:p>
    <w:p w:rsidR="00E6588A" w:rsidRPr="00ED5CD2" w:rsidRDefault="00E6588A" w:rsidP="00E6588A">
      <w:pPr>
        <w:spacing w:before="80" w:line="360" w:lineRule="auto"/>
        <w:jc w:val="both"/>
        <w:rPr>
          <w:rFonts w:cs="David" w:hint="cs"/>
          <w:sz w:val="22"/>
          <w:szCs w:val="22"/>
          <w:rtl/>
        </w:rPr>
      </w:pPr>
      <w:r w:rsidRPr="00ED5CD2">
        <w:rPr>
          <w:rFonts w:cs="David" w:hint="cs"/>
          <w:b/>
          <w:bCs/>
          <w:sz w:val="22"/>
          <w:szCs w:val="22"/>
          <w:rtl/>
        </w:rPr>
        <w:t xml:space="preserve">א. </w:t>
      </w:r>
      <w:r>
        <w:rPr>
          <w:rFonts w:cs="David" w:hint="cs"/>
          <w:sz w:val="22"/>
          <w:szCs w:val="22"/>
          <w:rtl/>
        </w:rPr>
        <w:t xml:space="preserve">כאמור בפתיחה, </w:t>
      </w:r>
      <w:r w:rsidRPr="00ED5CD2">
        <w:rPr>
          <w:rFonts w:cs="David" w:hint="cs"/>
          <w:sz w:val="22"/>
          <w:szCs w:val="22"/>
          <w:rtl/>
        </w:rPr>
        <w:t>הראיה הראשונה שהביא כף החיים לנדון הדלקת נר חנוכה, היא מדיני קידוש בשבת.</w:t>
      </w:r>
    </w:p>
    <w:p w:rsidR="00E6588A" w:rsidRPr="00ED5CD2" w:rsidRDefault="00E6588A" w:rsidP="00E6588A">
      <w:pPr>
        <w:spacing w:before="80" w:line="360" w:lineRule="auto"/>
        <w:jc w:val="both"/>
        <w:rPr>
          <w:rFonts w:cs="David" w:hint="cs"/>
          <w:sz w:val="22"/>
          <w:szCs w:val="22"/>
          <w:rtl/>
        </w:rPr>
      </w:pPr>
      <w:proofErr w:type="spellStart"/>
      <w:r w:rsidRPr="00ED5CD2">
        <w:rPr>
          <w:rFonts w:cs="David" w:hint="cs"/>
          <w:sz w:val="22"/>
          <w:szCs w:val="22"/>
          <w:rtl/>
        </w:rPr>
        <w:t>בשו"ע</w:t>
      </w:r>
      <w:proofErr w:type="spellEnd"/>
      <w:r w:rsidRPr="00ED5CD2">
        <w:rPr>
          <w:rFonts w:cs="David" w:hint="cs"/>
          <w:sz w:val="22"/>
          <w:szCs w:val="22"/>
          <w:rtl/>
        </w:rPr>
        <w:t xml:space="preserve"> (</w:t>
      </w:r>
      <w:proofErr w:type="spellStart"/>
      <w:r w:rsidRPr="00ED5CD2">
        <w:rPr>
          <w:rFonts w:cs="David" w:hint="cs"/>
          <w:sz w:val="22"/>
          <w:szCs w:val="22"/>
          <w:rtl/>
        </w:rPr>
        <w:t>או"ח</w:t>
      </w:r>
      <w:proofErr w:type="spellEnd"/>
      <w:r w:rsidRPr="00ED5CD2">
        <w:rPr>
          <w:rFonts w:cs="David" w:hint="cs"/>
          <w:sz w:val="22"/>
          <w:szCs w:val="22"/>
          <w:rtl/>
        </w:rPr>
        <w:t xml:space="preserve"> סימן </w:t>
      </w:r>
      <w:proofErr w:type="spellStart"/>
      <w:r w:rsidRPr="00ED5CD2">
        <w:rPr>
          <w:rFonts w:cs="David" w:hint="cs"/>
          <w:sz w:val="22"/>
          <w:szCs w:val="22"/>
          <w:rtl/>
        </w:rPr>
        <w:t>רעא</w:t>
      </w:r>
      <w:proofErr w:type="spellEnd"/>
      <w:r w:rsidRPr="00ED5CD2">
        <w:rPr>
          <w:rFonts w:cs="David" w:hint="cs"/>
          <w:sz w:val="22"/>
          <w:szCs w:val="22"/>
          <w:rtl/>
        </w:rPr>
        <w:t xml:space="preserve"> סע' טו) נפסק: "</w:t>
      </w:r>
      <w:r w:rsidRPr="00ED5CD2">
        <w:rPr>
          <w:rFonts w:cs="David"/>
          <w:sz w:val="22"/>
          <w:szCs w:val="22"/>
          <w:rtl/>
        </w:rPr>
        <w:t>קידש וקודם שטעם הפסיק בדיבור</w:t>
      </w:r>
      <w:r w:rsidRPr="00ED5CD2">
        <w:rPr>
          <w:rFonts w:cs="David" w:hint="cs"/>
          <w:sz w:val="22"/>
          <w:szCs w:val="22"/>
          <w:rtl/>
        </w:rPr>
        <w:t>,</w:t>
      </w:r>
      <w:r w:rsidRPr="00ED5CD2">
        <w:rPr>
          <w:rFonts w:cs="David"/>
          <w:sz w:val="22"/>
          <w:szCs w:val="22"/>
          <w:rtl/>
        </w:rPr>
        <w:t xml:space="preserve"> חוזר ומברך ב</w:t>
      </w:r>
      <w:r w:rsidRPr="00ED5CD2">
        <w:rPr>
          <w:rFonts w:cs="David" w:hint="cs"/>
          <w:sz w:val="22"/>
          <w:szCs w:val="22"/>
          <w:rtl/>
        </w:rPr>
        <w:t xml:space="preserve">ורא פרי הגפן </w:t>
      </w:r>
      <w:r w:rsidRPr="00ED5CD2">
        <w:rPr>
          <w:rFonts w:cs="David"/>
          <w:sz w:val="22"/>
          <w:szCs w:val="22"/>
          <w:rtl/>
        </w:rPr>
        <w:t>ואין צריך לחזור ולקדש</w:t>
      </w:r>
      <w:r w:rsidRPr="00ED5CD2">
        <w:rPr>
          <w:rFonts w:cs="David" w:hint="cs"/>
          <w:sz w:val="22"/>
          <w:szCs w:val="22"/>
          <w:rtl/>
        </w:rPr>
        <w:t>.</w:t>
      </w:r>
      <w:r w:rsidRPr="00ED5CD2">
        <w:rPr>
          <w:rFonts w:cs="David"/>
          <w:sz w:val="22"/>
          <w:szCs w:val="22"/>
          <w:rtl/>
        </w:rPr>
        <w:t xml:space="preserve"> וה</w:t>
      </w:r>
      <w:r w:rsidRPr="00ED5CD2">
        <w:rPr>
          <w:rFonts w:cs="David" w:hint="cs"/>
          <w:sz w:val="22"/>
          <w:szCs w:val="22"/>
          <w:rtl/>
        </w:rPr>
        <w:t xml:space="preserve">וא הדין </w:t>
      </w:r>
      <w:r w:rsidRPr="00ED5CD2">
        <w:rPr>
          <w:rFonts w:cs="David"/>
          <w:sz w:val="22"/>
          <w:szCs w:val="22"/>
          <w:rtl/>
        </w:rPr>
        <w:t>אם נשפך הכוס קודם שיטעום ממנו</w:t>
      </w:r>
      <w:r w:rsidRPr="00ED5CD2">
        <w:rPr>
          <w:rFonts w:cs="David" w:hint="cs"/>
          <w:sz w:val="22"/>
          <w:szCs w:val="22"/>
          <w:rtl/>
        </w:rPr>
        <w:t>,</w:t>
      </w:r>
      <w:r w:rsidRPr="00ED5CD2">
        <w:rPr>
          <w:rFonts w:cs="David"/>
          <w:sz w:val="22"/>
          <w:szCs w:val="22"/>
          <w:rtl/>
        </w:rPr>
        <w:t xml:space="preserve"> יביא כוס אחר ומברך עליו ב</w:t>
      </w:r>
      <w:r w:rsidRPr="00ED5CD2">
        <w:rPr>
          <w:rFonts w:cs="David" w:hint="cs"/>
          <w:sz w:val="22"/>
          <w:szCs w:val="22"/>
          <w:rtl/>
        </w:rPr>
        <w:t xml:space="preserve">ורא פרי הגפן, ואינו צריך </w:t>
      </w:r>
      <w:r w:rsidRPr="00ED5CD2">
        <w:rPr>
          <w:rFonts w:cs="David"/>
          <w:sz w:val="22"/>
          <w:szCs w:val="22"/>
          <w:rtl/>
        </w:rPr>
        <w:t>לחזור ולקדש</w:t>
      </w:r>
      <w:r w:rsidRPr="00ED5CD2">
        <w:rPr>
          <w:rFonts w:cs="David" w:hint="cs"/>
          <w:sz w:val="22"/>
          <w:szCs w:val="22"/>
          <w:rtl/>
        </w:rPr>
        <w:t>".</w:t>
      </w:r>
    </w:p>
    <w:p w:rsidR="00E6588A" w:rsidRPr="00ED5CD2" w:rsidRDefault="00E6588A" w:rsidP="00E6588A">
      <w:pPr>
        <w:spacing w:before="80" w:line="360" w:lineRule="auto"/>
        <w:jc w:val="both"/>
        <w:rPr>
          <w:rFonts w:cs="David" w:hint="cs"/>
          <w:sz w:val="22"/>
          <w:szCs w:val="22"/>
          <w:rtl/>
        </w:rPr>
      </w:pPr>
      <w:r w:rsidRPr="00ED5CD2">
        <w:rPr>
          <w:rFonts w:cs="David" w:hint="cs"/>
          <w:sz w:val="22"/>
          <w:szCs w:val="22"/>
          <w:rtl/>
        </w:rPr>
        <w:t xml:space="preserve">וכתב </w:t>
      </w:r>
      <w:proofErr w:type="spellStart"/>
      <w:r w:rsidRPr="00ED5CD2">
        <w:rPr>
          <w:rFonts w:cs="David" w:hint="cs"/>
          <w:sz w:val="22"/>
          <w:szCs w:val="22"/>
          <w:rtl/>
        </w:rPr>
        <w:t>הט"ז</w:t>
      </w:r>
      <w:proofErr w:type="spellEnd"/>
      <w:r w:rsidRPr="00ED5CD2">
        <w:rPr>
          <w:rFonts w:cs="David" w:hint="cs"/>
          <w:sz w:val="22"/>
          <w:szCs w:val="22"/>
          <w:rtl/>
        </w:rPr>
        <w:t xml:space="preserve"> (</w:t>
      </w:r>
      <w:proofErr w:type="spellStart"/>
      <w:r w:rsidRPr="00ED5CD2">
        <w:rPr>
          <w:rFonts w:cs="David" w:hint="cs"/>
          <w:sz w:val="22"/>
          <w:szCs w:val="22"/>
          <w:rtl/>
        </w:rPr>
        <w:t>ס"ק</w:t>
      </w:r>
      <w:proofErr w:type="spellEnd"/>
      <w:r w:rsidRPr="00ED5CD2">
        <w:rPr>
          <w:rFonts w:cs="David" w:hint="cs"/>
          <w:sz w:val="22"/>
          <w:szCs w:val="22"/>
          <w:rtl/>
        </w:rPr>
        <w:t xml:space="preserve"> </w:t>
      </w:r>
      <w:proofErr w:type="spellStart"/>
      <w:r w:rsidRPr="00ED5CD2">
        <w:rPr>
          <w:rFonts w:cs="David" w:hint="cs"/>
          <w:sz w:val="22"/>
          <w:szCs w:val="22"/>
          <w:rtl/>
        </w:rPr>
        <w:t>יט</w:t>
      </w:r>
      <w:proofErr w:type="spellEnd"/>
      <w:r w:rsidRPr="00ED5CD2">
        <w:rPr>
          <w:rFonts w:cs="David" w:hint="cs"/>
          <w:sz w:val="22"/>
          <w:szCs w:val="22"/>
          <w:rtl/>
        </w:rPr>
        <w:t xml:space="preserve">) וז"ל: "מעשה בא לידי במדינת </w:t>
      </w:r>
      <w:proofErr w:type="spellStart"/>
      <w:r w:rsidRPr="00ED5CD2">
        <w:rPr>
          <w:rFonts w:cs="David" w:hint="cs"/>
          <w:sz w:val="22"/>
          <w:szCs w:val="22"/>
          <w:rtl/>
        </w:rPr>
        <w:t>מעהרין</w:t>
      </w:r>
      <w:proofErr w:type="spellEnd"/>
      <w:r w:rsidRPr="00ED5CD2">
        <w:rPr>
          <w:rFonts w:cs="David" w:hint="cs"/>
          <w:sz w:val="22"/>
          <w:szCs w:val="22"/>
          <w:rtl/>
        </w:rPr>
        <w:t xml:space="preserve"> שעשיתי קידוש על כוס, שהייתי סבור שהוא יין והיה מים, ובכלי שני שהיה עוד לפני היה בו יין, וכבר אמרתי הקידוש כולו. </w:t>
      </w:r>
      <w:proofErr w:type="spellStart"/>
      <w:r w:rsidRPr="00ED5CD2">
        <w:rPr>
          <w:rFonts w:cs="David" w:hint="cs"/>
          <w:sz w:val="22"/>
          <w:szCs w:val="22"/>
          <w:rtl/>
        </w:rPr>
        <w:t>והעלתי</w:t>
      </w:r>
      <w:proofErr w:type="spellEnd"/>
      <w:r w:rsidRPr="00ED5CD2">
        <w:rPr>
          <w:rFonts w:cs="David" w:hint="cs"/>
          <w:sz w:val="22"/>
          <w:szCs w:val="22"/>
          <w:rtl/>
        </w:rPr>
        <w:t xml:space="preserve"> בדעתי לכאורה לשתות היין האחר שבכלי השני, מטעם </w:t>
      </w:r>
      <w:proofErr w:type="spellStart"/>
      <w:r w:rsidRPr="00ED5CD2">
        <w:rPr>
          <w:rFonts w:cs="David" w:hint="cs"/>
          <w:sz w:val="22"/>
          <w:szCs w:val="22"/>
          <w:rtl/>
        </w:rPr>
        <w:t>דקידוש</w:t>
      </w:r>
      <w:proofErr w:type="spellEnd"/>
      <w:r w:rsidRPr="00ED5CD2">
        <w:rPr>
          <w:rFonts w:cs="David" w:hint="cs"/>
          <w:sz w:val="22"/>
          <w:szCs w:val="22"/>
          <w:rtl/>
        </w:rPr>
        <w:t xml:space="preserve"> על היין הוא מדרבנן שדרשו באסמכתא זכרהו על היין, אבל מדאורייתא סגי באמירה לחוד". ודימה </w:t>
      </w:r>
      <w:proofErr w:type="spellStart"/>
      <w:r w:rsidRPr="00ED5CD2">
        <w:rPr>
          <w:rFonts w:cs="David" w:hint="cs"/>
          <w:sz w:val="22"/>
          <w:szCs w:val="22"/>
          <w:rtl/>
        </w:rPr>
        <w:t>הט"ז</w:t>
      </w:r>
      <w:proofErr w:type="spellEnd"/>
      <w:r w:rsidRPr="00ED5CD2">
        <w:rPr>
          <w:rFonts w:cs="David" w:hint="cs"/>
          <w:sz w:val="22"/>
          <w:szCs w:val="22"/>
          <w:rtl/>
        </w:rPr>
        <w:t xml:space="preserve"> את המעשה שהיה עמו, לדין המפורש </w:t>
      </w:r>
      <w:proofErr w:type="spellStart"/>
      <w:r w:rsidRPr="00ED5CD2">
        <w:rPr>
          <w:rFonts w:cs="David" w:hint="cs"/>
          <w:sz w:val="22"/>
          <w:szCs w:val="22"/>
          <w:rtl/>
        </w:rPr>
        <w:t>בשו"ע</w:t>
      </w:r>
      <w:proofErr w:type="spellEnd"/>
      <w:r w:rsidRPr="00ED5CD2">
        <w:rPr>
          <w:rFonts w:cs="David" w:hint="cs"/>
          <w:sz w:val="22"/>
          <w:szCs w:val="22"/>
          <w:rtl/>
        </w:rPr>
        <w:t xml:space="preserve"> שאם נשפך הכוס קודם </w:t>
      </w:r>
      <w:proofErr w:type="spellStart"/>
      <w:r w:rsidRPr="00ED5CD2">
        <w:rPr>
          <w:rFonts w:cs="David" w:hint="cs"/>
          <w:sz w:val="22"/>
          <w:szCs w:val="22"/>
          <w:rtl/>
        </w:rPr>
        <w:t>שיטעמנו</w:t>
      </w:r>
      <w:proofErr w:type="spellEnd"/>
      <w:r w:rsidRPr="00ED5CD2">
        <w:rPr>
          <w:rFonts w:cs="David" w:hint="cs"/>
          <w:sz w:val="22"/>
          <w:szCs w:val="22"/>
          <w:rtl/>
        </w:rPr>
        <w:t xml:space="preserve"> יביא כוס אחר ויברך בורא פרי הגפן ואינו צריך לחזור לקדש "והוא הדין </w:t>
      </w:r>
      <w:proofErr w:type="spellStart"/>
      <w:r w:rsidRPr="00ED5CD2">
        <w:rPr>
          <w:rFonts w:cs="David" w:hint="cs"/>
          <w:sz w:val="22"/>
          <w:szCs w:val="22"/>
          <w:rtl/>
        </w:rPr>
        <w:t>נמי</w:t>
      </w:r>
      <w:proofErr w:type="spellEnd"/>
      <w:r w:rsidRPr="00ED5CD2">
        <w:rPr>
          <w:rFonts w:cs="David" w:hint="cs"/>
          <w:sz w:val="22"/>
          <w:szCs w:val="22"/>
          <w:rtl/>
        </w:rPr>
        <w:t xml:space="preserve"> </w:t>
      </w:r>
      <w:proofErr w:type="spellStart"/>
      <w:r w:rsidRPr="00ED5CD2">
        <w:rPr>
          <w:rFonts w:cs="David" w:hint="cs"/>
          <w:sz w:val="22"/>
          <w:szCs w:val="22"/>
          <w:rtl/>
        </w:rPr>
        <w:t>בכאן</w:t>
      </w:r>
      <w:proofErr w:type="spellEnd"/>
      <w:r w:rsidRPr="00ED5CD2">
        <w:rPr>
          <w:rFonts w:cs="David" w:hint="cs"/>
          <w:sz w:val="22"/>
          <w:szCs w:val="22"/>
          <w:rtl/>
        </w:rPr>
        <w:t xml:space="preserve"> [</w:t>
      </w:r>
      <w:proofErr w:type="spellStart"/>
      <w:r w:rsidRPr="00ED5CD2">
        <w:rPr>
          <w:rFonts w:cs="David" w:hint="cs"/>
          <w:sz w:val="22"/>
          <w:szCs w:val="22"/>
          <w:rtl/>
        </w:rPr>
        <w:t>כשנתברר</w:t>
      </w:r>
      <w:proofErr w:type="spellEnd"/>
      <w:r w:rsidRPr="00ED5CD2">
        <w:rPr>
          <w:rFonts w:cs="David" w:hint="cs"/>
          <w:sz w:val="22"/>
          <w:szCs w:val="22"/>
          <w:rtl/>
        </w:rPr>
        <w:t xml:space="preserve"> שלא היה יין בכוס אלא מים] דמה לי נשפך ולא שתה כלל, או שהוא מים, סוף סוף לא יצא ידי קידוש על יין".</w:t>
      </w:r>
    </w:p>
    <w:p w:rsidR="001F7FAA" w:rsidRPr="00E6588A" w:rsidRDefault="00E6588A" w:rsidP="00E6588A">
      <w:pPr>
        <w:spacing w:before="80" w:line="360" w:lineRule="auto"/>
        <w:jc w:val="both"/>
        <w:rPr>
          <w:rFonts w:cs="David" w:hint="cs"/>
          <w:sz w:val="22"/>
          <w:szCs w:val="22"/>
        </w:rPr>
      </w:pPr>
      <w:r w:rsidRPr="00ED5CD2">
        <w:rPr>
          <w:rFonts w:cs="David" w:hint="cs"/>
          <w:sz w:val="22"/>
          <w:szCs w:val="22"/>
          <w:rtl/>
        </w:rPr>
        <w:t xml:space="preserve">אולם בהמשך דבריו הביא </w:t>
      </w:r>
      <w:proofErr w:type="spellStart"/>
      <w:r w:rsidRPr="00ED5CD2">
        <w:rPr>
          <w:rFonts w:cs="David" w:hint="cs"/>
          <w:sz w:val="22"/>
          <w:szCs w:val="22"/>
          <w:rtl/>
        </w:rPr>
        <w:t>הט"ז</w:t>
      </w:r>
      <w:proofErr w:type="spellEnd"/>
      <w:r w:rsidRPr="00ED5CD2">
        <w:rPr>
          <w:rFonts w:cs="David" w:hint="cs"/>
          <w:sz w:val="22"/>
          <w:szCs w:val="22"/>
          <w:rtl/>
        </w:rPr>
        <w:t xml:space="preserve"> כי בתרומת הדשן (פסקים סימן </w:t>
      </w:r>
      <w:proofErr w:type="spellStart"/>
      <w:r w:rsidRPr="00ED5CD2">
        <w:rPr>
          <w:rFonts w:cs="David" w:hint="cs"/>
          <w:sz w:val="22"/>
          <w:szCs w:val="22"/>
          <w:rtl/>
        </w:rPr>
        <w:t>קטו</w:t>
      </w:r>
      <w:proofErr w:type="spellEnd"/>
      <w:r w:rsidRPr="00ED5CD2">
        <w:rPr>
          <w:rFonts w:cs="David" w:hint="cs"/>
          <w:sz w:val="22"/>
          <w:szCs w:val="22"/>
          <w:rtl/>
        </w:rPr>
        <w:t xml:space="preserve">) פסק שאם קידש על יין ונמצא שהיה בכוס מים, יחזור ויקדש על היין. ומה בכך שקידוש על היין הוא מדרבנן, הלא כמה מצוות הם מדרבנן </w:t>
      </w:r>
      <w:proofErr w:type="spellStart"/>
      <w:r w:rsidRPr="00ED5CD2">
        <w:rPr>
          <w:rFonts w:cs="David" w:hint="cs"/>
          <w:sz w:val="22"/>
          <w:szCs w:val="22"/>
          <w:rtl/>
        </w:rPr>
        <w:t>ומברכין</w:t>
      </w:r>
      <w:proofErr w:type="spellEnd"/>
      <w:r w:rsidRPr="00ED5CD2">
        <w:rPr>
          <w:rFonts w:cs="David" w:hint="cs"/>
          <w:sz w:val="22"/>
          <w:szCs w:val="22"/>
          <w:rtl/>
        </w:rPr>
        <w:t xml:space="preserve"> עליהם. ומתוך כך הסיק </w:t>
      </w:r>
      <w:proofErr w:type="spellStart"/>
      <w:r w:rsidRPr="00ED5CD2">
        <w:rPr>
          <w:rFonts w:cs="David" w:hint="cs"/>
          <w:sz w:val="22"/>
          <w:szCs w:val="22"/>
          <w:rtl/>
        </w:rPr>
        <w:t>הט"ז</w:t>
      </w:r>
      <w:proofErr w:type="spellEnd"/>
      <w:r w:rsidRPr="00ED5CD2">
        <w:rPr>
          <w:rFonts w:cs="David" w:hint="cs"/>
          <w:sz w:val="22"/>
          <w:szCs w:val="22"/>
          <w:rtl/>
        </w:rPr>
        <w:t xml:space="preserve"> שיש לחלק, בין נשפך היין, שפסק </w:t>
      </w:r>
      <w:proofErr w:type="spellStart"/>
      <w:r w:rsidRPr="00ED5CD2">
        <w:rPr>
          <w:rFonts w:cs="David" w:hint="cs"/>
          <w:sz w:val="22"/>
          <w:szCs w:val="22"/>
          <w:rtl/>
        </w:rPr>
        <w:t>השו"ע</w:t>
      </w:r>
      <w:proofErr w:type="spellEnd"/>
      <w:r w:rsidRPr="00ED5CD2">
        <w:rPr>
          <w:rFonts w:cs="David" w:hint="cs"/>
          <w:sz w:val="22"/>
          <w:szCs w:val="22"/>
          <w:rtl/>
        </w:rPr>
        <w:t xml:space="preserve"> שאין צריך לחזור ולקדש, כי הקידוש על הכוס היה כדין, ורק אירע קלקול בטעימת היין, וביכולתו לתקן את המעוות כשיטעם מיין אחר. ובין המקדש על היין ונמצא שהוא מים "שלא קידש כראוי, והוי כאילו לא קידש כלל, על כן צריך לקדש שוב על יין".</w:t>
      </w:r>
      <w:bookmarkStart w:id="0" w:name="_GoBack"/>
      <w:bookmarkEnd w:id="0"/>
    </w:p>
    <w:sectPr w:rsidR="001F7FAA" w:rsidRPr="00E6588A" w:rsidSect="00F50085">
      <w:pgSz w:w="11906" w:h="16838"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B1"/>
    <w:family w:val="auto"/>
    <w:pitch w:val="variable"/>
    <w:sig w:usb0="00000803" w:usb1="00000000" w:usb2="00000000" w:usb3="00000000" w:csb0="00000021" w:csb1="00000000"/>
  </w:font>
  <w:font w:name="Guttman Drogolin">
    <w:panose1 w:val="02000400000000000000"/>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8A"/>
    <w:rsid w:val="00094601"/>
    <w:rsid w:val="001F7FAA"/>
    <w:rsid w:val="00E6588A"/>
    <w:rsid w:val="00F50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10713-B99A-435E-8A14-858B5C25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88A"/>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1884</Characters>
  <Application>Microsoft Office Word</Application>
  <DocSecurity>0</DocSecurity>
  <Lines>15</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dc:creator>
  <cp:keywords/>
  <dc:description/>
  <cp:lastModifiedBy>משתמש</cp:lastModifiedBy>
  <cp:revision>1</cp:revision>
  <dcterms:created xsi:type="dcterms:W3CDTF">2021-01-11T19:30:00Z</dcterms:created>
  <dcterms:modified xsi:type="dcterms:W3CDTF">2021-01-11T19:30:00Z</dcterms:modified>
</cp:coreProperties>
</file>