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_Toc9240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_Toc9240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_Toc12895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_Toc12895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_Toc1297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_Toc1297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_Toc6681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_Toc6681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_Toc25237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_Toc9625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_Toc9625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_Toc11672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_Toc28456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_Toc28456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_Toc30654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_Toc30654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_Toc10327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_Toc10327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_Toc24810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_Toc24810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_Toc7114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_Toc7114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_Toc12881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_Toc12881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_Toc31351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_Toc31351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_Toc6978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_Toc6978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_Toc14304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_Toc14304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_Toc25847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_Toc25847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_Toc5389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_Toc24112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_Toc24112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_Toc14408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_Toc1129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_Toc1129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_Toc24570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_Toc24570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_Toc24545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_Toc24545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_Toc28941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_Toc28941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_Toc28886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_Toc28886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_Toc26048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_Toc26048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9240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2895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297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6681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5237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9625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1672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28456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30654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0327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24810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7114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2881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31351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6978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430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847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5389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411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14408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1129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4570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24545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28941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28886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26048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r>
        <w:rPr>
          <w:rFonts w:hint="eastAsia"/>
          <w:lang w:val="en-US" w:eastAsia="zh-CN"/>
        </w:rPr>
        <w:t>菜单的操作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  <w:bookmarkStart w:id="26" w:name="_GoBack"/>
      <w:bookmarkEnd w:id="26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E41724"/>
    <w:rsid w:val="01361AE2"/>
    <w:rsid w:val="0139170E"/>
    <w:rsid w:val="01624F3F"/>
    <w:rsid w:val="01894A91"/>
    <w:rsid w:val="01A6482A"/>
    <w:rsid w:val="022A0D80"/>
    <w:rsid w:val="0246343A"/>
    <w:rsid w:val="02475EA2"/>
    <w:rsid w:val="030A5376"/>
    <w:rsid w:val="03627581"/>
    <w:rsid w:val="037005A0"/>
    <w:rsid w:val="042E48E2"/>
    <w:rsid w:val="04350F8A"/>
    <w:rsid w:val="043A3656"/>
    <w:rsid w:val="045D1E8E"/>
    <w:rsid w:val="04684B19"/>
    <w:rsid w:val="04716480"/>
    <w:rsid w:val="049E0371"/>
    <w:rsid w:val="04DF2B89"/>
    <w:rsid w:val="04E6188B"/>
    <w:rsid w:val="050D086D"/>
    <w:rsid w:val="050D463C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7F220D"/>
    <w:rsid w:val="19A21AED"/>
    <w:rsid w:val="19BC16A9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7516"/>
    <w:rsid w:val="1C4D47E1"/>
    <w:rsid w:val="1C69169E"/>
    <w:rsid w:val="1C6C7D3C"/>
    <w:rsid w:val="1C6F2B26"/>
    <w:rsid w:val="1CB50148"/>
    <w:rsid w:val="1CBB7842"/>
    <w:rsid w:val="1CD27F2E"/>
    <w:rsid w:val="1D1B1A09"/>
    <w:rsid w:val="1D5F4B03"/>
    <w:rsid w:val="1DA5599F"/>
    <w:rsid w:val="1E157DB5"/>
    <w:rsid w:val="1E782897"/>
    <w:rsid w:val="1E863003"/>
    <w:rsid w:val="1EA569A9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AC4711"/>
    <w:rsid w:val="25F82819"/>
    <w:rsid w:val="264169DF"/>
    <w:rsid w:val="26430595"/>
    <w:rsid w:val="26F1580E"/>
    <w:rsid w:val="27410D3B"/>
    <w:rsid w:val="275B61E9"/>
    <w:rsid w:val="27AE4A7F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C2A48D5"/>
    <w:rsid w:val="2C472DC3"/>
    <w:rsid w:val="2C8804A4"/>
    <w:rsid w:val="2CDB6274"/>
    <w:rsid w:val="2CE35E3D"/>
    <w:rsid w:val="2CE50B84"/>
    <w:rsid w:val="2D5E2940"/>
    <w:rsid w:val="2DDF118F"/>
    <w:rsid w:val="2E2463DA"/>
    <w:rsid w:val="2E4561BC"/>
    <w:rsid w:val="2E9E2A52"/>
    <w:rsid w:val="2EC907B3"/>
    <w:rsid w:val="2EC92B9D"/>
    <w:rsid w:val="2F4F3F37"/>
    <w:rsid w:val="2F551E0B"/>
    <w:rsid w:val="2F7C6710"/>
    <w:rsid w:val="2F81561E"/>
    <w:rsid w:val="2FD76D25"/>
    <w:rsid w:val="303D00DE"/>
    <w:rsid w:val="30F52F68"/>
    <w:rsid w:val="3126552A"/>
    <w:rsid w:val="316268DB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FF6C15"/>
    <w:rsid w:val="372516C2"/>
    <w:rsid w:val="377942CB"/>
    <w:rsid w:val="378D2DA0"/>
    <w:rsid w:val="37A75C24"/>
    <w:rsid w:val="37B4195D"/>
    <w:rsid w:val="38500BE1"/>
    <w:rsid w:val="38583552"/>
    <w:rsid w:val="3867445B"/>
    <w:rsid w:val="38815DFD"/>
    <w:rsid w:val="38BB101C"/>
    <w:rsid w:val="38C459F3"/>
    <w:rsid w:val="38EE1921"/>
    <w:rsid w:val="393F2461"/>
    <w:rsid w:val="39500485"/>
    <w:rsid w:val="39D52DE2"/>
    <w:rsid w:val="39DD7845"/>
    <w:rsid w:val="3A470603"/>
    <w:rsid w:val="3A7963CE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5B581D"/>
    <w:rsid w:val="53817E24"/>
    <w:rsid w:val="53A41047"/>
    <w:rsid w:val="53BB4C90"/>
    <w:rsid w:val="53D03F10"/>
    <w:rsid w:val="53E237CE"/>
    <w:rsid w:val="54016C4E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2214644"/>
    <w:rsid w:val="622D1644"/>
    <w:rsid w:val="62440457"/>
    <w:rsid w:val="626D26FB"/>
    <w:rsid w:val="632A56E4"/>
    <w:rsid w:val="63327C6F"/>
    <w:rsid w:val="633B3DC7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716ACA"/>
    <w:rsid w:val="6F7E4C33"/>
    <w:rsid w:val="6FDD2A74"/>
    <w:rsid w:val="6FED5700"/>
    <w:rsid w:val="700A6054"/>
    <w:rsid w:val="7040647C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60C464A"/>
    <w:rsid w:val="762B5EE0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9D4079"/>
    <w:rsid w:val="79CE26CC"/>
    <w:rsid w:val="79FE253F"/>
    <w:rsid w:val="7A797055"/>
    <w:rsid w:val="7AB30A7F"/>
    <w:rsid w:val="7B4E4252"/>
    <w:rsid w:val="7B6E1BC2"/>
    <w:rsid w:val="7B6E5F2B"/>
    <w:rsid w:val="7C385C9E"/>
    <w:rsid w:val="7C520054"/>
    <w:rsid w:val="7CBD4ECC"/>
    <w:rsid w:val="7CC4312B"/>
    <w:rsid w:val="7CE871F9"/>
    <w:rsid w:val="7D132AF2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uiPriority w:val="0"/>
    <w:rPr>
      <w:color w:val="990099"/>
    </w:rPr>
  </w:style>
  <w:style w:type="character" w:customStyle="1" w:styleId="21">
    <w:name w:val="codemirror-matchingbracket"/>
    <w:basedOn w:val="10"/>
    <w:uiPriority w:val="0"/>
    <w:rPr>
      <w:color w:val="00FF00"/>
    </w:rPr>
  </w:style>
  <w:style w:type="character" w:customStyle="1" w:styleId="22">
    <w:name w:val="codemirror-nonmatchingbracket"/>
    <w:basedOn w:val="10"/>
    <w:uiPriority w:val="0"/>
    <w:rPr>
      <w:color w:val="FF2222"/>
    </w:rPr>
  </w:style>
  <w:style w:type="character" w:customStyle="1" w:styleId="23">
    <w:name w:val="codemirror-selectedtext"/>
    <w:basedOn w:val="10"/>
    <w:uiPriority w:val="0"/>
  </w:style>
  <w:style w:type="character" w:customStyle="1" w:styleId="24">
    <w:name w:val="cm-variable-22"/>
    <w:basedOn w:val="10"/>
    <w:uiPriority w:val="0"/>
    <w:rPr>
      <w:color w:val="FF9900"/>
    </w:rPr>
  </w:style>
  <w:style w:type="character" w:customStyle="1" w:styleId="25">
    <w:name w:val="options"/>
    <w:basedOn w:val="10"/>
    <w:uiPriority w:val="0"/>
  </w:style>
  <w:style w:type="character" w:customStyle="1" w:styleId="26">
    <w:name w:val="cm-operator"/>
    <w:basedOn w:val="10"/>
    <w:uiPriority w:val="0"/>
    <w:rPr>
      <w:color w:val="FF00FF"/>
    </w:rPr>
  </w:style>
  <w:style w:type="character" w:customStyle="1" w:styleId="27">
    <w:name w:val="checkbox"/>
    <w:basedOn w:val="10"/>
    <w:uiPriority w:val="0"/>
  </w:style>
  <w:style w:type="character" w:customStyle="1" w:styleId="28">
    <w:name w:val="text6"/>
    <w:basedOn w:val="10"/>
    <w:uiPriority w:val="0"/>
  </w:style>
  <w:style w:type="character" w:customStyle="1" w:styleId="29">
    <w:name w:val="action"/>
    <w:basedOn w:val="10"/>
    <w:uiPriority w:val="0"/>
  </w:style>
  <w:style w:type="character" w:customStyle="1" w:styleId="30">
    <w:name w:val="drag_icon"/>
    <w:basedOn w:val="10"/>
    <w:uiPriority w:val="0"/>
  </w:style>
  <w:style w:type="character" w:customStyle="1" w:styleId="31">
    <w:name w:val="cm-keyword2"/>
    <w:basedOn w:val="10"/>
    <w:uiPriority w:val="0"/>
    <w:rPr>
      <w:color w:val="990099"/>
    </w:rPr>
  </w:style>
  <w:style w:type="character" w:customStyle="1" w:styleId="32">
    <w:name w:val="cm-variable"/>
    <w:basedOn w:val="10"/>
    <w:uiPriority w:val="0"/>
    <w:rPr>
      <w:color w:val="000000"/>
    </w:rPr>
  </w:style>
  <w:style w:type="character" w:customStyle="1" w:styleId="33">
    <w:name w:val="cm-comment2"/>
    <w:basedOn w:val="10"/>
    <w:uiPriority w:val="0"/>
    <w:rPr>
      <w:color w:val="808000"/>
    </w:rPr>
  </w:style>
  <w:style w:type="character" w:customStyle="1" w:styleId="34">
    <w:name w:val="cm-mysql-string"/>
    <w:basedOn w:val="10"/>
    <w:uiPriority w:val="0"/>
    <w:rPr>
      <w:color w:val="008000"/>
    </w:rPr>
  </w:style>
  <w:style w:type="character" w:customStyle="1" w:styleId="35">
    <w:name w:val="cm-mysql-word"/>
    <w:basedOn w:val="10"/>
    <w:uiPriority w:val="0"/>
    <w:rPr>
      <w:color w:val="000000"/>
    </w:rPr>
  </w:style>
  <w:style w:type="character" w:customStyle="1" w:styleId="36">
    <w:name w:val="cm-builtin2"/>
    <w:basedOn w:val="10"/>
    <w:uiPriority w:val="0"/>
    <w:rPr>
      <w:color w:val="FF0000"/>
    </w:rPr>
  </w:style>
  <w:style w:type="character" w:customStyle="1" w:styleId="37">
    <w:name w:val="cm-variable-32"/>
    <w:basedOn w:val="10"/>
    <w:uiPriority w:val="0"/>
    <w:rPr>
      <w:color w:val="0000FF"/>
    </w:rPr>
  </w:style>
  <w:style w:type="character" w:customStyle="1" w:styleId="38">
    <w:name w:val="cm-separator"/>
    <w:basedOn w:val="10"/>
    <w:uiPriority w:val="0"/>
    <w:rPr>
      <w:color w:val="FF00FF"/>
    </w:rPr>
  </w:style>
  <w:style w:type="character" w:customStyle="1" w:styleId="39">
    <w:name w:val="cm-number2"/>
    <w:basedOn w:val="10"/>
    <w:uiPriority w:val="0"/>
    <w:rPr>
      <w:color w:val="008080"/>
    </w:rPr>
  </w:style>
  <w:style w:type="character" w:customStyle="1" w:styleId="40">
    <w:name w:val="text"/>
    <w:basedOn w:val="10"/>
    <w:uiPriority w:val="0"/>
    <w:rPr>
      <w:shd w:val="clear" w:fill="FFFFFF"/>
    </w:rPr>
  </w:style>
  <w:style w:type="character" w:customStyle="1" w:styleId="41">
    <w:name w:val="cm-variable-2"/>
    <w:basedOn w:val="10"/>
    <w:uiPriority w:val="0"/>
    <w:rPr>
      <w:color w:val="FF9900"/>
    </w:rPr>
  </w:style>
  <w:style w:type="character" w:customStyle="1" w:styleId="42">
    <w:name w:val="fontstyle21"/>
    <w:basedOn w:val="10"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2018-06-07T06:55:23Z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