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xml:space="preserve">, </w:t>
      </w:r>
      <w:commentRangeStart w:id="0"/>
      <w:r w:rsidRPr="00771C52">
        <w:rPr>
          <w:rFonts w:eastAsia="Times New Roman"/>
          <w:color w:val="000000"/>
        </w:rPr>
        <w:t>…</w:t>
      </w:r>
      <w:commentRangeEnd w:id="0"/>
      <w:r w:rsidR="00AC3CF2">
        <w:rPr>
          <w:rStyle w:val="CommentReference"/>
        </w:rPr>
        <w:commentReference w:id="0"/>
      </w:r>
      <w:r w:rsidRPr="00771C52">
        <w:rPr>
          <w:rFonts w:eastAsia="Times New Roman"/>
          <w:color w:val="000000"/>
        </w:rPr>
        <w:t>,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1F39580B"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2BC2C926"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proofErr w:type="spellStart"/>
      <w:r w:rsidRPr="008531D1">
        <w:rPr>
          <w:rFonts w:eastAsia="Times New Roman"/>
          <w:color w:val="000000"/>
        </w:rPr>
        <w:t>Perkowski</w:t>
      </w:r>
      <w:proofErr w:type="spellEnd"/>
      <w:r w:rsidRPr="008531D1">
        <w:rPr>
          <w:rFonts w:eastAsia="Times New Roman"/>
          <w:color w:val="000000"/>
        </w:rPr>
        <w:t xml:space="preserve">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w:t>
      </w:r>
      <w:r w:rsidRPr="001B44B1">
        <w:rPr>
          <w:rFonts w:eastAsia="Times New Roman"/>
          <w:color w:val="000000"/>
        </w:rPr>
        <w:lastRenderedPageBreak/>
        <w:t>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25A03E30"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4412EFE9"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w:t>
      </w:r>
      <w:r w:rsidR="00E019F3">
        <w:rPr>
          <w:rFonts w:eastAsia="Times New Roman"/>
          <w:color w:val="000000"/>
        </w:rPr>
        <w:t>Additionally</w:t>
      </w:r>
      <w:r w:rsidRPr="00771C52">
        <w:rPr>
          <w:rFonts w:eastAsia="Times New Roman"/>
          <w:color w:val="000000"/>
        </w:rPr>
        <w:t xml:space="preserve">,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w:t>
      </w:r>
      <w:r w:rsidR="00E019F3">
        <w:rPr>
          <w:rFonts w:eastAsia="Times New Roman"/>
          <w:color w:val="000000"/>
        </w:rPr>
        <w:t>contexts</w:t>
      </w:r>
      <w:r w:rsidRPr="00771C52">
        <w:rPr>
          <w:rFonts w:eastAsia="Times New Roman"/>
          <w:color w:val="000000"/>
        </w:rPr>
        <w:t xml:space="preserve"> that did not show a large increase in biomass.</w:t>
      </w:r>
      <w:commentRangeStart w:id="2"/>
      <w:commentRangeEnd w:id="2"/>
    </w:p>
    <w:p w14:paraId="779D3999" w14:textId="77777777" w:rsidR="00BD3DF0" w:rsidRDefault="00BD3DF0">
      <w:pPr>
        <w:rPr>
          <w:rFonts w:eastAsia="Times New Roman"/>
          <w:b/>
          <w:color w:val="000000"/>
        </w:rPr>
      </w:pPr>
      <w:r>
        <w:rPr>
          <w:rFonts w:eastAsia="Times New Roman"/>
          <w:b/>
          <w:color w:val="000000"/>
        </w:rPr>
        <w:br w:type="page"/>
      </w:r>
    </w:p>
    <w:p w14:paraId="1A673B7D" w14:textId="47CBFC5C"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At each site, the experiment is set up as a randomized split-plot design with 3 replicate blocks each containing 10 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xml:space="preserve">, </w:t>
      </w:r>
      <w:r w:rsidR="00FC770E" w:rsidRPr="00FC770E">
        <w:rPr>
          <w:rFonts w:eastAsia="Times New Roman"/>
          <w:noProof/>
          <w:color w:val="000000"/>
        </w:rPr>
        <w:lastRenderedPageBreak/>
        <w:t>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2A5643E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p>
    <w:p w14:paraId="1B8FB85C" w14:textId="5018FF1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Specifically, these models used </w:t>
      </w:r>
      <w:r w:rsidRPr="00771C52">
        <w:rPr>
          <w:rFonts w:eastAsia="Times New Roman"/>
          <w:color w:val="000000"/>
        </w:rPr>
        <w:lastRenderedPageBreak/>
        <w:t>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75E4250F"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 we fit a third and fourth linear mixed effects models with AGB as the dependent variable.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(MAD; Leys </w:t>
      </w:r>
      <w:r w:rsidRPr="00771C52">
        <w:rPr>
          <w:rFonts w:eastAsia="Times New Roman"/>
          <w:color w:val="000000"/>
        </w:rPr>
        <w:lastRenderedPageBreak/>
        <w:t>et al., 2013) to remove instances where any ∆ values were 3 times higher than the MAD.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1ACDB23A"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w:t>
      </w:r>
      <w:r w:rsidR="00CA64B3">
        <w:rPr>
          <w:rFonts w:eastAsia="Times New Roman"/>
          <w:color w:val="000000"/>
        </w:rPr>
        <w:lastRenderedPageBreak/>
        <w:t>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1)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1).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1)</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77777777" w:rsidR="005B6195" w:rsidRPr="001A720B" w:rsidRDefault="005B6195" w:rsidP="00AC49CC">
      <w:pPr>
        <w:spacing w:line="480" w:lineRule="auto"/>
        <w:rPr>
          <w:sz w:val="20"/>
          <w:szCs w:val="20"/>
        </w:rPr>
      </w:pPr>
      <w:r w:rsidRPr="001A720B">
        <w:rPr>
          <w:b/>
          <w:bCs/>
          <w:sz w:val="20"/>
          <w:szCs w:val="20"/>
        </w:rPr>
        <w:lastRenderedPageBreak/>
        <w:t>Table 1.</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77777777"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5ED062B5"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w:t>
      </w:r>
      <w:proofErr w:type="spellStart"/>
      <w:r w:rsidR="005A5C5B">
        <w:rPr>
          <w:rFonts w:eastAsia="Times New Roman"/>
          <w:color w:val="000000"/>
        </w:rPr>
        <w:t>The</w:t>
      </w:r>
      <w:proofErr w:type="spellEnd"/>
      <w:r w:rsidR="005A5C5B">
        <w:rPr>
          <w:rFonts w:eastAsia="Times New Roman"/>
          <w:color w:val="000000"/>
        </w:rPr>
        <w:t xml:space="preserv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(Table 1)</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2EBC89E0"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2 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2 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2)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2 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2 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7777777" w:rsidR="00AC49CC" w:rsidRPr="001A720B" w:rsidRDefault="00AC49CC" w:rsidP="00AC49CC">
      <w:pPr>
        <w:spacing w:line="480" w:lineRule="auto"/>
        <w:rPr>
          <w:sz w:val="20"/>
          <w:szCs w:val="20"/>
        </w:rPr>
      </w:pPr>
      <w:r w:rsidRPr="001A720B">
        <w:rPr>
          <w:b/>
          <w:bCs/>
          <w:sz w:val="20"/>
          <w:szCs w:val="20"/>
        </w:rPr>
        <w:lastRenderedPageBreak/>
        <w:t xml:space="preserve">Table </w:t>
      </w:r>
      <w:r>
        <w:rPr>
          <w:b/>
          <w:bCs/>
          <w:sz w:val="20"/>
          <w:szCs w:val="20"/>
        </w:rPr>
        <w:t>2</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0CAA5180" w:rsidR="00077C60" w:rsidRPr="008531D1" w:rsidRDefault="00AC49C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7D054D79" wp14:editId="7B18922A">
            <wp:extent cx="5943600" cy="3687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4F3E6D89"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data. The size and hue of each box is proportional to the relative importance of each factor with larger and darker boxes indicating greater importance (Table 2).</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02039B2B"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3 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77777777" w:rsidR="00111025" w:rsidRPr="00D361BC" w:rsidRDefault="00111025" w:rsidP="00111025">
      <w:pPr>
        <w:spacing w:line="480" w:lineRule="auto"/>
        <w:rPr>
          <w:b/>
          <w:bCs/>
          <w:sz w:val="20"/>
          <w:szCs w:val="20"/>
        </w:rPr>
      </w:pPr>
      <w:r w:rsidRPr="00D361BC">
        <w:rPr>
          <w:b/>
          <w:bCs/>
          <w:sz w:val="20"/>
          <w:szCs w:val="20"/>
        </w:rPr>
        <w:lastRenderedPageBreak/>
        <w:t xml:space="preserve">Table 3.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6BA753E0" w:rsidR="00745361" w:rsidRPr="001B44B1" w:rsidRDefault="004167A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49A3C0" wp14:editId="1C34C804">
            <wp:extent cx="5943600" cy="512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6FDB7B75"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B25CDC" w:rsidRPr="00DA24C9">
        <w:rPr>
          <w:b w:val="0"/>
          <w:bCs w:val="0"/>
          <w:i/>
          <w:iCs/>
          <w:color w:val="000000"/>
          <w:sz w:val="24"/>
          <w:szCs w:val="24"/>
        </w:rPr>
        <w:t xml:space="preserve">p </w:t>
      </w:r>
      <w:r w:rsidR="00B25CDC" w:rsidRPr="00DA24C9">
        <w:rPr>
          <w:b w:val="0"/>
          <w:bCs w:val="0"/>
          <w:color w:val="000000"/>
          <w:sz w:val="24"/>
          <w:szCs w:val="24"/>
        </w:rPr>
        <w:t>= 0.048; red line), medium (</w:t>
      </w:r>
      <w:r w:rsidR="00B25CDC" w:rsidRPr="00DA24C9">
        <w:rPr>
          <w:b w:val="0"/>
          <w:bCs w:val="0"/>
          <w:i/>
          <w:iCs/>
          <w:color w:val="000000"/>
          <w:sz w:val="24"/>
          <w:szCs w:val="24"/>
        </w:rPr>
        <w:t>p</w:t>
      </w:r>
      <w:r w:rsidR="00B25CDC" w:rsidRPr="00DA24C9">
        <w:rPr>
          <w:b w:val="0"/>
          <w:bCs w:val="0"/>
          <w:color w:val="000000"/>
          <w:sz w:val="24"/>
          <w:szCs w:val="24"/>
        </w:rPr>
        <w:t xml:space="preserve"> = 0.091; purple line), and low (</w:t>
      </w:r>
      <w:r w:rsidR="00B25CDC" w:rsidRPr="00DA24C9">
        <w:rPr>
          <w:b w:val="0"/>
          <w:bCs w:val="0"/>
          <w:i/>
          <w:iCs/>
          <w:color w:val="000000"/>
          <w:sz w:val="24"/>
          <w:szCs w:val="24"/>
        </w:rPr>
        <w:t xml:space="preserve">p </w:t>
      </w:r>
      <w:r w:rsidR="00B25CDC" w:rsidRPr="00DA24C9">
        <w:rPr>
          <w:b w:val="0"/>
          <w:bCs w:val="0"/>
          <w:color w:val="000000"/>
          <w:sz w:val="24"/>
          <w:szCs w:val="24"/>
        </w:rPr>
        <w:t>= 0.913; blue 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2E50306F" w14:textId="76B660CC" w:rsidR="00D47B46" w:rsidRPr="00D47B46" w:rsidRDefault="009A5B56" w:rsidP="00D47B46">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D47B46" w:rsidRPr="00D47B46">
        <w:rPr>
          <w:noProof/>
        </w:rPr>
        <w:t xml:space="preserve">Adams MA, Turnbull TL, Sprent JI, Buchmann N (2016) Legumes are different: Leaf nitrogen, photosynthesis, and water use efficiency. </w:t>
      </w:r>
      <w:r w:rsidR="00D47B46" w:rsidRPr="00D47B46">
        <w:rPr>
          <w:i/>
          <w:iCs/>
          <w:noProof/>
        </w:rPr>
        <w:t>Proceedings of the National Academy of Sciences</w:t>
      </w:r>
      <w:r w:rsidR="00D47B46" w:rsidRPr="00D47B46">
        <w:rPr>
          <w:noProof/>
        </w:rPr>
        <w:t xml:space="preserve">, </w:t>
      </w:r>
      <w:r w:rsidR="00D47B46" w:rsidRPr="00D47B46">
        <w:rPr>
          <w:b/>
          <w:bCs/>
          <w:noProof/>
        </w:rPr>
        <w:t>113</w:t>
      </w:r>
      <w:r w:rsidR="00D47B46" w:rsidRPr="00D47B46">
        <w:rPr>
          <w:noProof/>
        </w:rPr>
        <w:t>, 4098 LP – 4103.</w:t>
      </w:r>
    </w:p>
    <w:p w14:paraId="555ED3D0"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Ali AA, Xu C, Rogers A et al. (2015) Global‐scale environmental control of plant photosynthetic </w:t>
      </w:r>
      <w:r w:rsidRPr="00D47B46">
        <w:rPr>
          <w:noProof/>
        </w:rPr>
        <w:lastRenderedPageBreak/>
        <w:t xml:space="preserve">capacity. </w:t>
      </w:r>
      <w:r w:rsidRPr="00D47B46">
        <w:rPr>
          <w:i/>
          <w:iCs/>
          <w:noProof/>
        </w:rPr>
        <w:t>Ecological Applications</w:t>
      </w:r>
      <w:r w:rsidRPr="00D47B46">
        <w:rPr>
          <w:noProof/>
        </w:rPr>
        <w:t xml:space="preserve">, </w:t>
      </w:r>
      <w:r w:rsidRPr="00D47B46">
        <w:rPr>
          <w:b/>
          <w:bCs/>
          <w:noProof/>
        </w:rPr>
        <w:t>25</w:t>
      </w:r>
      <w:r w:rsidRPr="00D47B46">
        <w:rPr>
          <w:noProof/>
        </w:rPr>
        <w:t>, 2349–2365.</w:t>
      </w:r>
    </w:p>
    <w:p w14:paraId="31F0A2F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Bates D, Maechler M, Bolker B, Walker S (2015) Fitting Linear Mixed-Effects Models Using lme4. </w:t>
      </w:r>
      <w:r w:rsidRPr="00D47B46">
        <w:rPr>
          <w:i/>
          <w:iCs/>
          <w:noProof/>
        </w:rPr>
        <w:t>Journal of Statistical Software</w:t>
      </w:r>
      <w:r w:rsidRPr="00D47B46">
        <w:rPr>
          <w:noProof/>
        </w:rPr>
        <w:t xml:space="preserve">, </w:t>
      </w:r>
      <w:r w:rsidRPr="00D47B46">
        <w:rPr>
          <w:b/>
          <w:bCs/>
          <w:noProof/>
        </w:rPr>
        <w:t>67</w:t>
      </w:r>
      <w:r w:rsidRPr="00D47B46">
        <w:rPr>
          <w:noProof/>
        </w:rPr>
        <w:t>, 1–48.</w:t>
      </w:r>
    </w:p>
    <w:p w14:paraId="77A88D6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Boardman NK (1977) Comparative photosynthesis of sun and shade plants. </w:t>
      </w:r>
      <w:r w:rsidRPr="00D47B46">
        <w:rPr>
          <w:i/>
          <w:iCs/>
          <w:noProof/>
        </w:rPr>
        <w:t>Annual review of plant physiology</w:t>
      </w:r>
      <w:r w:rsidRPr="00D47B46">
        <w:rPr>
          <w:noProof/>
        </w:rPr>
        <w:t xml:space="preserve">, </w:t>
      </w:r>
      <w:r w:rsidRPr="00D47B46">
        <w:rPr>
          <w:b/>
          <w:bCs/>
          <w:noProof/>
        </w:rPr>
        <w:t>28</w:t>
      </w:r>
      <w:r w:rsidRPr="00D47B46">
        <w:rPr>
          <w:noProof/>
        </w:rPr>
        <w:t>, 355–377.</w:t>
      </w:r>
    </w:p>
    <w:p w14:paraId="1844D68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Boyd RA, Gandin A, Cousins AB (2015) Temperature responses of C4 photosynthesis: biochemical analysis of Rubisco, phosphoenolpyruvate carboxylase, and carbonic anhydrase in Setaria viridis. </w:t>
      </w:r>
      <w:r w:rsidRPr="00D47B46">
        <w:rPr>
          <w:i/>
          <w:iCs/>
          <w:noProof/>
        </w:rPr>
        <w:t>Plant Physiology</w:t>
      </w:r>
      <w:r w:rsidRPr="00D47B46">
        <w:rPr>
          <w:noProof/>
        </w:rPr>
        <w:t xml:space="preserve">, </w:t>
      </w:r>
      <w:r w:rsidRPr="00D47B46">
        <w:rPr>
          <w:b/>
          <w:bCs/>
          <w:noProof/>
        </w:rPr>
        <w:t>169</w:t>
      </w:r>
      <w:r w:rsidRPr="00D47B46">
        <w:rPr>
          <w:noProof/>
        </w:rPr>
        <w:t>, 1850–1861.</w:t>
      </w:r>
    </w:p>
    <w:p w14:paraId="23E6982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Dong N, Prentice IC, Evans BJ, Caddy-Retalic S, Lowe AJ, Wright IJ (2017) Leaf nitrogen from first principles: field evidence for adaptive variation with climate. </w:t>
      </w:r>
      <w:r w:rsidRPr="00D47B46">
        <w:rPr>
          <w:i/>
          <w:iCs/>
          <w:noProof/>
        </w:rPr>
        <w:t>Biogeosciences</w:t>
      </w:r>
      <w:r w:rsidRPr="00D47B46">
        <w:rPr>
          <w:noProof/>
        </w:rPr>
        <w:t xml:space="preserve">, </w:t>
      </w:r>
      <w:r w:rsidRPr="00D47B46">
        <w:rPr>
          <w:b/>
          <w:bCs/>
          <w:noProof/>
        </w:rPr>
        <w:t>14</w:t>
      </w:r>
      <w:r w:rsidRPr="00D47B46">
        <w:rPr>
          <w:noProof/>
        </w:rPr>
        <w:t>, 481–495.</w:t>
      </w:r>
    </w:p>
    <w:p w14:paraId="60675F2A"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Evans JR (1989) Photosynthesis and nitrogen relationships in leaves of C</w:t>
      </w:r>
      <w:r w:rsidRPr="00D47B46">
        <w:rPr>
          <w:noProof/>
          <w:vertAlign w:val="subscript"/>
        </w:rPr>
        <w:t>3</w:t>
      </w:r>
      <w:r w:rsidRPr="00D47B46">
        <w:rPr>
          <w:noProof/>
        </w:rPr>
        <w:t xml:space="preserve"> plants. </w:t>
      </w:r>
      <w:r w:rsidRPr="00D47B46">
        <w:rPr>
          <w:i/>
          <w:iCs/>
          <w:noProof/>
        </w:rPr>
        <w:t>Oecologia</w:t>
      </w:r>
      <w:r w:rsidRPr="00D47B46">
        <w:rPr>
          <w:noProof/>
        </w:rPr>
        <w:t xml:space="preserve">, </w:t>
      </w:r>
      <w:r w:rsidRPr="00D47B46">
        <w:rPr>
          <w:b/>
          <w:bCs/>
          <w:noProof/>
        </w:rPr>
        <w:t>78</w:t>
      </w:r>
      <w:r w:rsidRPr="00D47B46">
        <w:rPr>
          <w:noProof/>
        </w:rPr>
        <w:t>, 9–19.</w:t>
      </w:r>
    </w:p>
    <w:p w14:paraId="78BAB00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Evans JR, Clarke VC (2019) The nitrogen cost of photosynthesis. </w:t>
      </w:r>
      <w:r w:rsidRPr="00D47B46">
        <w:rPr>
          <w:i/>
          <w:iCs/>
          <w:noProof/>
        </w:rPr>
        <w:t>Journal of Experimental Botany</w:t>
      </w:r>
      <w:r w:rsidRPr="00D47B46">
        <w:rPr>
          <w:noProof/>
        </w:rPr>
        <w:t xml:space="preserve">, </w:t>
      </w:r>
      <w:r w:rsidRPr="00D47B46">
        <w:rPr>
          <w:b/>
          <w:bCs/>
          <w:noProof/>
        </w:rPr>
        <w:t>70</w:t>
      </w:r>
      <w:r w:rsidRPr="00D47B46">
        <w:rPr>
          <w:noProof/>
        </w:rPr>
        <w:t>, 7–15.</w:t>
      </w:r>
    </w:p>
    <w:p w14:paraId="2D004B0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Evans JR, Seemann JR (1989) The allocation of protein nitrogen in the photosynthetic apparatus: costs, consequences, and control. </w:t>
      </w:r>
      <w:r w:rsidRPr="00D47B46">
        <w:rPr>
          <w:i/>
          <w:iCs/>
          <w:noProof/>
        </w:rPr>
        <w:t>Photosynthesis</w:t>
      </w:r>
      <w:r w:rsidRPr="00D47B46">
        <w:rPr>
          <w:noProof/>
        </w:rPr>
        <w:t xml:space="preserve">, </w:t>
      </w:r>
      <w:r w:rsidRPr="00D47B46">
        <w:rPr>
          <w:b/>
          <w:bCs/>
          <w:noProof/>
        </w:rPr>
        <w:t>8</w:t>
      </w:r>
      <w:r w:rsidRPr="00D47B46">
        <w:rPr>
          <w:noProof/>
        </w:rPr>
        <w:t>, 183–205.</w:t>
      </w:r>
    </w:p>
    <w:p w14:paraId="7F4BD5E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Farquhar GD, Ehleringer JR, Hubick KT (1989) Carbon Isotope Discrimination and Photosynthesis. </w:t>
      </w:r>
      <w:r w:rsidRPr="00D47B46">
        <w:rPr>
          <w:i/>
          <w:iCs/>
          <w:noProof/>
        </w:rPr>
        <w:t>Annual Review of Plant Physiology and Plant Molecular Biology</w:t>
      </w:r>
      <w:r w:rsidRPr="00D47B46">
        <w:rPr>
          <w:noProof/>
        </w:rPr>
        <w:t xml:space="preserve">, </w:t>
      </w:r>
      <w:r w:rsidRPr="00D47B46">
        <w:rPr>
          <w:b/>
          <w:bCs/>
          <w:noProof/>
        </w:rPr>
        <w:t>40</w:t>
      </w:r>
      <w:r w:rsidRPr="00D47B46">
        <w:rPr>
          <w:noProof/>
        </w:rPr>
        <w:t>, 503–537.</w:t>
      </w:r>
    </w:p>
    <w:p w14:paraId="1B5A419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Fay PA, Prober SM, Harpole WS et al. (2015) Grassland productivity limited by multiple nutrients. </w:t>
      </w:r>
      <w:r w:rsidRPr="00D47B46">
        <w:rPr>
          <w:i/>
          <w:iCs/>
          <w:noProof/>
        </w:rPr>
        <w:t>Nature Plants</w:t>
      </w:r>
      <w:r w:rsidRPr="00D47B46">
        <w:rPr>
          <w:noProof/>
        </w:rPr>
        <w:t xml:space="preserve">, </w:t>
      </w:r>
      <w:r w:rsidRPr="00D47B46">
        <w:rPr>
          <w:b/>
          <w:bCs/>
          <w:noProof/>
        </w:rPr>
        <w:t>1</w:t>
      </w:r>
      <w:r w:rsidRPr="00D47B46">
        <w:rPr>
          <w:noProof/>
        </w:rPr>
        <w:t>, 15080.</w:t>
      </w:r>
    </w:p>
    <w:p w14:paraId="7092C75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Firn J, McGree JM, Harvey E et al. (2019) Leaf nutrients, not specific leaf area, are consistent </w:t>
      </w:r>
      <w:r w:rsidRPr="00D47B46">
        <w:rPr>
          <w:noProof/>
        </w:rPr>
        <w:lastRenderedPageBreak/>
        <w:t xml:space="preserve">indicators of elevated nutrient inputs. </w:t>
      </w:r>
      <w:r w:rsidRPr="00D47B46">
        <w:rPr>
          <w:i/>
          <w:iCs/>
          <w:noProof/>
        </w:rPr>
        <w:t>Nature Ecology &amp; Evolution</w:t>
      </w:r>
      <w:r w:rsidRPr="00D47B46">
        <w:rPr>
          <w:noProof/>
        </w:rPr>
        <w:t xml:space="preserve">, </w:t>
      </w:r>
      <w:r w:rsidRPr="00D47B46">
        <w:rPr>
          <w:b/>
          <w:bCs/>
          <w:noProof/>
        </w:rPr>
        <w:t>3</w:t>
      </w:r>
      <w:r w:rsidRPr="00D47B46">
        <w:rPr>
          <w:noProof/>
        </w:rPr>
        <w:t>, 400–406.</w:t>
      </w:r>
    </w:p>
    <w:p w14:paraId="49F763F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Fox J, Weisberg S (2011) An {R} Companion to Applied Regression, Second Edition.</w:t>
      </w:r>
    </w:p>
    <w:p w14:paraId="32C326F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Franklin O, Johansson J, Dewar RC, Dieckmann U, McMurtrie RE, Brännström Å, Dybzinski R (2012) Modeling carbon allocation in trees: a search for principles. </w:t>
      </w:r>
      <w:r w:rsidRPr="00D47B46">
        <w:rPr>
          <w:i/>
          <w:iCs/>
          <w:noProof/>
        </w:rPr>
        <w:t>Tree Physiology</w:t>
      </w:r>
      <w:r w:rsidRPr="00D47B46">
        <w:rPr>
          <w:noProof/>
        </w:rPr>
        <w:t xml:space="preserve">, </w:t>
      </w:r>
      <w:r w:rsidRPr="00D47B46">
        <w:rPr>
          <w:b/>
          <w:bCs/>
          <w:noProof/>
        </w:rPr>
        <w:t>32</w:t>
      </w:r>
      <w:r w:rsidRPr="00D47B46">
        <w:rPr>
          <w:noProof/>
        </w:rPr>
        <w:t>, 648–666.</w:t>
      </w:r>
    </w:p>
    <w:p w14:paraId="03BBA875"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Franklin O, Harrison SP, Dewar R et al. (2020) Organizing principles for vegetation dynamics. </w:t>
      </w:r>
      <w:r w:rsidRPr="00D47B46">
        <w:rPr>
          <w:i/>
          <w:iCs/>
          <w:noProof/>
        </w:rPr>
        <w:t>Nature Plants</w:t>
      </w:r>
      <w:r w:rsidRPr="00D47B46">
        <w:rPr>
          <w:noProof/>
        </w:rPr>
        <w:t xml:space="preserve">, </w:t>
      </w:r>
      <w:r w:rsidRPr="00D47B46">
        <w:rPr>
          <w:b/>
          <w:bCs/>
          <w:noProof/>
        </w:rPr>
        <w:t>6</w:t>
      </w:r>
      <w:r w:rsidRPr="00D47B46">
        <w:rPr>
          <w:noProof/>
        </w:rPr>
        <w:t>, 444–453.</w:t>
      </w:r>
    </w:p>
    <w:p w14:paraId="513A3D3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Galloway JN, Dentener FJ, Capone DG et al. (2004) Nitrogen Cycles: Past, Present, and Future. </w:t>
      </w:r>
      <w:r w:rsidRPr="00D47B46">
        <w:rPr>
          <w:i/>
          <w:iCs/>
          <w:noProof/>
        </w:rPr>
        <w:t>Biogeochemistry</w:t>
      </w:r>
      <w:r w:rsidRPr="00D47B46">
        <w:rPr>
          <w:noProof/>
        </w:rPr>
        <w:t xml:space="preserve">, </w:t>
      </w:r>
      <w:r w:rsidRPr="00D47B46">
        <w:rPr>
          <w:b/>
          <w:bCs/>
          <w:noProof/>
        </w:rPr>
        <w:t>70</w:t>
      </w:r>
      <w:r w:rsidRPr="00D47B46">
        <w:rPr>
          <w:noProof/>
        </w:rPr>
        <w:t>, 153–226.</w:t>
      </w:r>
    </w:p>
    <w:p w14:paraId="424C117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Galloway JN, Townsend AR, Erisman JW et al. (2008) Transformation of the Nitrogen Cycle: Recent Trends, Questions, and Potential Solutions. </w:t>
      </w:r>
      <w:r w:rsidRPr="00D47B46">
        <w:rPr>
          <w:i/>
          <w:iCs/>
          <w:noProof/>
        </w:rPr>
        <w:t>Science</w:t>
      </w:r>
      <w:r w:rsidRPr="00D47B46">
        <w:rPr>
          <w:noProof/>
        </w:rPr>
        <w:t xml:space="preserve">, </w:t>
      </w:r>
      <w:r w:rsidRPr="00D47B46">
        <w:rPr>
          <w:b/>
          <w:bCs/>
          <w:noProof/>
        </w:rPr>
        <w:t>320</w:t>
      </w:r>
      <w:r w:rsidRPr="00D47B46">
        <w:rPr>
          <w:noProof/>
        </w:rPr>
        <w:t>, 889–892.</w:t>
      </w:r>
    </w:p>
    <w:p w14:paraId="7B4801C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Ghimire B, Riley WJ, Koven CD, Kattge J, Rogers A, Reich PB, Wright IJ (2017) A global trait-based approach to estimate leaf nitrogen functional allocation from observations. </w:t>
      </w:r>
      <w:r w:rsidRPr="00D47B46">
        <w:rPr>
          <w:i/>
          <w:iCs/>
          <w:noProof/>
        </w:rPr>
        <w:t>Ecological Applications</w:t>
      </w:r>
      <w:r w:rsidRPr="00D47B46">
        <w:rPr>
          <w:noProof/>
        </w:rPr>
        <w:t xml:space="preserve">, </w:t>
      </w:r>
      <w:r w:rsidRPr="00D47B46">
        <w:rPr>
          <w:b/>
          <w:bCs/>
          <w:noProof/>
        </w:rPr>
        <w:t>27</w:t>
      </w:r>
      <w:r w:rsidRPr="00D47B46">
        <w:rPr>
          <w:noProof/>
        </w:rPr>
        <w:t>, 1421–1434.</w:t>
      </w:r>
    </w:p>
    <w:p w14:paraId="1479754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Grömping U (2006) Relative importance for linear regression in R: the package relaimpo. </w:t>
      </w:r>
      <w:r w:rsidRPr="00D47B46">
        <w:rPr>
          <w:i/>
          <w:iCs/>
          <w:noProof/>
        </w:rPr>
        <w:t>Journal of statistical software</w:t>
      </w:r>
      <w:r w:rsidRPr="00D47B46">
        <w:rPr>
          <w:noProof/>
        </w:rPr>
        <w:t xml:space="preserve">, </w:t>
      </w:r>
      <w:r w:rsidRPr="00D47B46">
        <w:rPr>
          <w:b/>
          <w:bCs/>
          <w:noProof/>
        </w:rPr>
        <w:t>17</w:t>
      </w:r>
      <w:r w:rsidRPr="00D47B46">
        <w:rPr>
          <w:noProof/>
        </w:rPr>
        <w:t>, 1–27.</w:t>
      </w:r>
    </w:p>
    <w:p w14:paraId="1294148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Harpole WS, Sullivan LL, Lind EM et al. (2017) Out of the shadows: multiple nutrient limitations drive relationships among biomass, light and plant diversity. </w:t>
      </w:r>
      <w:r w:rsidRPr="00D47B46">
        <w:rPr>
          <w:i/>
          <w:iCs/>
          <w:noProof/>
        </w:rPr>
        <w:t>Functional ecology</w:t>
      </w:r>
      <w:r w:rsidRPr="00D47B46">
        <w:rPr>
          <w:noProof/>
        </w:rPr>
        <w:t xml:space="preserve">, </w:t>
      </w:r>
      <w:r w:rsidRPr="00D47B46">
        <w:rPr>
          <w:b/>
          <w:bCs/>
          <w:noProof/>
        </w:rPr>
        <w:t>31</w:t>
      </w:r>
      <w:r w:rsidRPr="00D47B46">
        <w:rPr>
          <w:noProof/>
        </w:rPr>
        <w:t>, 1839–1846.</w:t>
      </w:r>
    </w:p>
    <w:p w14:paraId="55E5728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Harris I, Jones PD, Osborn TJ, Lister DH (2014) Updated high-resolution grids of monthly climatic observations – the CRU TS3.10 Dataset. </w:t>
      </w:r>
      <w:r w:rsidRPr="00D47B46">
        <w:rPr>
          <w:i/>
          <w:iCs/>
          <w:noProof/>
        </w:rPr>
        <w:t>International Journal of Climatology</w:t>
      </w:r>
      <w:r w:rsidRPr="00D47B46">
        <w:rPr>
          <w:noProof/>
        </w:rPr>
        <w:t xml:space="preserve">, </w:t>
      </w:r>
      <w:r w:rsidRPr="00D47B46">
        <w:rPr>
          <w:b/>
          <w:bCs/>
          <w:noProof/>
        </w:rPr>
        <w:t>34</w:t>
      </w:r>
      <w:r w:rsidRPr="00D47B46">
        <w:rPr>
          <w:noProof/>
        </w:rPr>
        <w:t>, 623–642.</w:t>
      </w:r>
    </w:p>
    <w:p w14:paraId="5E67E1A3"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Harrison MT, Edwards EJ, Farquhar GD, Nicotra AB, Evans JR (2009) Nitrogen in cell walls of </w:t>
      </w:r>
      <w:r w:rsidRPr="00D47B46">
        <w:rPr>
          <w:noProof/>
        </w:rPr>
        <w:lastRenderedPageBreak/>
        <w:t xml:space="preserve">sclerophyllous leaves accounts for little of the variation in photosynthetic nitrogen-use efficiency. </w:t>
      </w:r>
      <w:r w:rsidRPr="00D47B46">
        <w:rPr>
          <w:i/>
          <w:iCs/>
          <w:noProof/>
        </w:rPr>
        <w:t>Plant, Cell &amp; Environment</w:t>
      </w:r>
      <w:r w:rsidRPr="00D47B46">
        <w:rPr>
          <w:noProof/>
        </w:rPr>
        <w:t xml:space="preserve">, </w:t>
      </w:r>
      <w:r w:rsidRPr="00D47B46">
        <w:rPr>
          <w:b/>
          <w:bCs/>
          <w:noProof/>
        </w:rPr>
        <w:t>32</w:t>
      </w:r>
      <w:r w:rsidRPr="00D47B46">
        <w:rPr>
          <w:noProof/>
        </w:rPr>
        <w:t>, 259–270.</w:t>
      </w:r>
    </w:p>
    <w:p w14:paraId="52480B5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D47B46">
        <w:rPr>
          <w:i/>
          <w:iCs/>
          <w:noProof/>
        </w:rPr>
        <w:t>Journal of Arid Environments</w:t>
      </w:r>
      <w:r w:rsidRPr="00D47B46">
        <w:rPr>
          <w:noProof/>
        </w:rPr>
        <w:t xml:space="preserve">, </w:t>
      </w:r>
      <w:r w:rsidRPr="00D47B46">
        <w:rPr>
          <w:b/>
          <w:bCs/>
          <w:noProof/>
        </w:rPr>
        <w:t>156</w:t>
      </w:r>
      <w:r w:rsidRPr="00D47B46">
        <w:rPr>
          <w:noProof/>
        </w:rPr>
        <w:t>, 1–8.</w:t>
      </w:r>
    </w:p>
    <w:p w14:paraId="30E73237"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Hungate BA, Dukes JS, Shaw MR, Luo Y, Field CB (2003) Nitrogen and Climate Change. </w:t>
      </w:r>
      <w:r w:rsidRPr="00D47B46">
        <w:rPr>
          <w:i/>
          <w:iCs/>
          <w:noProof/>
        </w:rPr>
        <w:t>Science</w:t>
      </w:r>
      <w:r w:rsidRPr="00D47B46">
        <w:rPr>
          <w:noProof/>
        </w:rPr>
        <w:t xml:space="preserve">, </w:t>
      </w:r>
      <w:r w:rsidRPr="00D47B46">
        <w:rPr>
          <w:b/>
          <w:bCs/>
          <w:noProof/>
        </w:rPr>
        <w:t>302</w:t>
      </w:r>
      <w:r w:rsidRPr="00D47B46">
        <w:rPr>
          <w:noProof/>
        </w:rPr>
        <w:t>, 1512 LP – 1513.</w:t>
      </w:r>
    </w:p>
    <w:p w14:paraId="307E3143"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Kattge J, Knorr W, Raddatz T, Wirth C (2009) Quantifying photosynthetic capacity and its relationship to leaf nitrogen content for global-scale terrestrial biosphere models. </w:t>
      </w:r>
      <w:r w:rsidRPr="00D47B46">
        <w:rPr>
          <w:i/>
          <w:iCs/>
          <w:noProof/>
        </w:rPr>
        <w:t>Global Change Biol.</w:t>
      </w:r>
      <w:r w:rsidRPr="00D47B46">
        <w:rPr>
          <w:noProof/>
        </w:rPr>
        <w:t xml:space="preserve">, </w:t>
      </w:r>
      <w:r w:rsidRPr="00D47B46">
        <w:rPr>
          <w:b/>
          <w:bCs/>
          <w:noProof/>
        </w:rPr>
        <w:t>15</w:t>
      </w:r>
      <w:r w:rsidRPr="00D47B46">
        <w:rPr>
          <w:noProof/>
        </w:rPr>
        <w:t>, 976.</w:t>
      </w:r>
    </w:p>
    <w:p w14:paraId="7434A38A"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LeBauer DS, Treseder KK (2008) Nitrogen limitation of net primary productivity in terrestrial ecosystems is globally distributed. </w:t>
      </w:r>
      <w:r w:rsidRPr="00D47B46">
        <w:rPr>
          <w:i/>
          <w:iCs/>
          <w:noProof/>
        </w:rPr>
        <w:t>Ecology</w:t>
      </w:r>
      <w:r w:rsidRPr="00D47B46">
        <w:rPr>
          <w:noProof/>
        </w:rPr>
        <w:t xml:space="preserve">, </w:t>
      </w:r>
      <w:r w:rsidRPr="00D47B46">
        <w:rPr>
          <w:b/>
          <w:bCs/>
          <w:noProof/>
        </w:rPr>
        <w:t>89</w:t>
      </w:r>
      <w:r w:rsidRPr="00D47B46">
        <w:rPr>
          <w:noProof/>
        </w:rPr>
        <w:t>, 371–379.</w:t>
      </w:r>
    </w:p>
    <w:p w14:paraId="2272DAE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Lenth R (2018) emmeans: Estimated Marginal Means, aka Least-Squares Means.</w:t>
      </w:r>
    </w:p>
    <w:p w14:paraId="2B4557E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Li W, Zhang H, Huang G, Liu R, Wu H, Zhao C, McDowell NG (2020) Effects of nitrogen enrichment on tree carbon allocation: A global synthesis. </w:t>
      </w:r>
      <w:r w:rsidRPr="00D47B46">
        <w:rPr>
          <w:i/>
          <w:iCs/>
          <w:noProof/>
        </w:rPr>
        <w:t>Global Ecology and Biogeography</w:t>
      </w:r>
      <w:r w:rsidRPr="00D47B46">
        <w:rPr>
          <w:noProof/>
        </w:rPr>
        <w:t xml:space="preserve">, </w:t>
      </w:r>
      <w:r w:rsidRPr="00D47B46">
        <w:rPr>
          <w:b/>
          <w:bCs/>
          <w:noProof/>
        </w:rPr>
        <w:t>29</w:t>
      </w:r>
      <w:r w:rsidRPr="00D47B46">
        <w:rPr>
          <w:noProof/>
        </w:rPr>
        <w:t>, 573–589.</w:t>
      </w:r>
    </w:p>
    <w:p w14:paraId="1E499C9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Liang X, Zhang T, Lu X et al. (2020) Global response patterns of plant photosynthesis to nitrogen addition: A meta</w:t>
      </w:r>
      <w:r w:rsidRPr="00D47B46">
        <w:rPr>
          <w:rFonts w:ascii="Cambria Math" w:hAnsi="Cambria Math" w:cs="Cambria Math"/>
          <w:noProof/>
        </w:rPr>
        <w:t>‐</w:t>
      </w:r>
      <w:r w:rsidRPr="00D47B46">
        <w:rPr>
          <w:noProof/>
        </w:rPr>
        <w:t xml:space="preserve">analysis. </w:t>
      </w:r>
      <w:r w:rsidRPr="00D47B46">
        <w:rPr>
          <w:i/>
          <w:iCs/>
          <w:noProof/>
        </w:rPr>
        <w:t>Global Change Biology</w:t>
      </w:r>
      <w:r w:rsidRPr="00D47B46">
        <w:rPr>
          <w:noProof/>
        </w:rPr>
        <w:t xml:space="preserve">, </w:t>
      </w:r>
      <w:r w:rsidRPr="00D47B46">
        <w:rPr>
          <w:b/>
          <w:bCs/>
          <w:noProof/>
        </w:rPr>
        <w:t>26</w:t>
      </w:r>
      <w:r w:rsidRPr="00D47B46">
        <w:rPr>
          <w:noProof/>
        </w:rPr>
        <w:t>, 3585–3600.</w:t>
      </w:r>
    </w:p>
    <w:p w14:paraId="09095A1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Lind EM (2016) Unified data management for distributed experiments: A model for collaborative grassroots scientific networks. </w:t>
      </w:r>
      <w:r w:rsidRPr="00D47B46">
        <w:rPr>
          <w:i/>
          <w:iCs/>
          <w:noProof/>
        </w:rPr>
        <w:t>Ecological Informatics</w:t>
      </w:r>
      <w:r w:rsidRPr="00D47B46">
        <w:rPr>
          <w:noProof/>
        </w:rPr>
        <w:t xml:space="preserve">, </w:t>
      </w:r>
      <w:r w:rsidRPr="00D47B46">
        <w:rPr>
          <w:b/>
          <w:bCs/>
          <w:noProof/>
        </w:rPr>
        <w:t>36</w:t>
      </w:r>
      <w:r w:rsidRPr="00D47B46">
        <w:rPr>
          <w:noProof/>
        </w:rPr>
        <w:t>, 231–236.</w:t>
      </w:r>
    </w:p>
    <w:p w14:paraId="46D2339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Lindeman RH, Merenda P, Gold R (1979) </w:t>
      </w:r>
      <w:r w:rsidRPr="00D47B46">
        <w:rPr>
          <w:i/>
          <w:iCs/>
          <w:noProof/>
        </w:rPr>
        <w:t>Introduction to bivariate and multivariate analysis</w:t>
      </w:r>
      <w:r w:rsidRPr="00D47B46">
        <w:rPr>
          <w:noProof/>
        </w:rPr>
        <w:t>. Scott Foresman &amp; Co.</w:t>
      </w:r>
    </w:p>
    <w:p w14:paraId="091319A1"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lastRenderedPageBreak/>
        <w:t xml:space="preserve">Maire V, Wright IJ, Prentice IC et al. (2015) Global effects of soil and climate on leaf photosynthetic traits and rates. </w:t>
      </w:r>
      <w:r w:rsidRPr="00D47B46">
        <w:rPr>
          <w:i/>
          <w:iCs/>
          <w:noProof/>
        </w:rPr>
        <w:t>Global Ecology and Biogeography</w:t>
      </w:r>
      <w:r w:rsidRPr="00D47B46">
        <w:rPr>
          <w:noProof/>
        </w:rPr>
        <w:t xml:space="preserve">, </w:t>
      </w:r>
      <w:r w:rsidRPr="00D47B46">
        <w:rPr>
          <w:b/>
          <w:bCs/>
          <w:noProof/>
        </w:rPr>
        <w:t>24</w:t>
      </w:r>
      <w:r w:rsidRPr="00D47B46">
        <w:rPr>
          <w:noProof/>
        </w:rPr>
        <w:t>, 706–717.</w:t>
      </w:r>
    </w:p>
    <w:p w14:paraId="3CCAF82D"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Niinemets Ü, Tenhunen JD (1997) A model separating leaf structural and physiological effects on carbon gain along light gradients for the shade-tolerant species Acer saccharum. </w:t>
      </w:r>
      <w:r w:rsidRPr="00D47B46">
        <w:rPr>
          <w:i/>
          <w:iCs/>
          <w:noProof/>
        </w:rPr>
        <w:t>Plant, Cell &amp; Environment</w:t>
      </w:r>
      <w:r w:rsidRPr="00D47B46">
        <w:rPr>
          <w:noProof/>
        </w:rPr>
        <w:t xml:space="preserve">, </w:t>
      </w:r>
      <w:r w:rsidRPr="00D47B46">
        <w:rPr>
          <w:b/>
          <w:bCs/>
          <w:noProof/>
        </w:rPr>
        <w:t>20</w:t>
      </w:r>
      <w:r w:rsidRPr="00D47B46">
        <w:rPr>
          <w:noProof/>
        </w:rPr>
        <w:t>, 845–866.</w:t>
      </w:r>
    </w:p>
    <w:p w14:paraId="519FA32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Niinemets Ü, Keenan TF, Hallik L (2015) A worldwide analysis of within-canopy variations in leaf structural, chemical and physiological traits across plant functional types. </w:t>
      </w:r>
      <w:r w:rsidRPr="00D47B46">
        <w:rPr>
          <w:i/>
          <w:iCs/>
          <w:noProof/>
        </w:rPr>
        <w:t>New Phytologist</w:t>
      </w:r>
      <w:r w:rsidRPr="00D47B46">
        <w:rPr>
          <w:noProof/>
        </w:rPr>
        <w:t xml:space="preserve">, </w:t>
      </w:r>
      <w:r w:rsidRPr="00D47B46">
        <w:rPr>
          <w:b/>
          <w:bCs/>
          <w:noProof/>
        </w:rPr>
        <w:t>205</w:t>
      </w:r>
      <w:r w:rsidRPr="00D47B46">
        <w:rPr>
          <w:noProof/>
        </w:rPr>
        <w:t>, 973–993.</w:t>
      </w:r>
    </w:p>
    <w:p w14:paraId="7442C99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Onoda Y, Wright IJ, Evans JR et al. (2017) Physiological and structural tradeoffs underlying the leaf economics spectrum. </w:t>
      </w:r>
      <w:r w:rsidRPr="00D47B46">
        <w:rPr>
          <w:i/>
          <w:iCs/>
          <w:noProof/>
        </w:rPr>
        <w:t>New Phytologist</w:t>
      </w:r>
      <w:r w:rsidRPr="00D47B46">
        <w:rPr>
          <w:noProof/>
        </w:rPr>
        <w:t xml:space="preserve">, </w:t>
      </w:r>
      <w:r w:rsidRPr="00D47B46">
        <w:rPr>
          <w:b/>
          <w:bCs/>
          <w:noProof/>
        </w:rPr>
        <w:t>241</w:t>
      </w:r>
      <w:r w:rsidRPr="00D47B46">
        <w:rPr>
          <w:noProof/>
        </w:rPr>
        <w:t>, 1447–1463.</w:t>
      </w:r>
    </w:p>
    <w:p w14:paraId="413D599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Paillassa J, Wright IJ, Prentice IC et al. (2020) When and where soil is important to modify the carbon and water economy of leaves. </w:t>
      </w:r>
      <w:r w:rsidRPr="00D47B46">
        <w:rPr>
          <w:i/>
          <w:iCs/>
          <w:noProof/>
        </w:rPr>
        <w:t>New Phytologist</w:t>
      </w:r>
      <w:r w:rsidRPr="00D47B46">
        <w:rPr>
          <w:noProof/>
        </w:rPr>
        <w:t>.</w:t>
      </w:r>
    </w:p>
    <w:p w14:paraId="69A2A95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Peng Y, Bloomfield KJ, Prentice IC (2020) A theory of plant function helps to explain leaf-trait and productivity responses to elevation. </w:t>
      </w:r>
      <w:r w:rsidRPr="00D47B46">
        <w:rPr>
          <w:i/>
          <w:iCs/>
          <w:noProof/>
        </w:rPr>
        <w:t>New Phytologist</w:t>
      </w:r>
      <w:r w:rsidRPr="00D47B46">
        <w:rPr>
          <w:noProof/>
        </w:rPr>
        <w:t xml:space="preserve">, </w:t>
      </w:r>
      <w:r w:rsidRPr="00D47B46">
        <w:rPr>
          <w:b/>
          <w:bCs/>
          <w:noProof/>
        </w:rPr>
        <w:t>226</w:t>
      </w:r>
      <w:r w:rsidRPr="00D47B46">
        <w:rPr>
          <w:noProof/>
        </w:rPr>
        <w:t>, 1274–1284.</w:t>
      </w:r>
    </w:p>
    <w:p w14:paraId="2046F38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Prentice IC, Dong N, Gleason SM, Maire V, Wright IJ (2014) Balancing the costs of carbon gain and water transport: testing a new theoretical framework for plant functional ecology. </w:t>
      </w:r>
      <w:r w:rsidRPr="00D47B46">
        <w:rPr>
          <w:i/>
          <w:iCs/>
          <w:noProof/>
        </w:rPr>
        <w:t>Ecology Letters</w:t>
      </w:r>
      <w:r w:rsidRPr="00D47B46">
        <w:rPr>
          <w:noProof/>
        </w:rPr>
        <w:t xml:space="preserve">, </w:t>
      </w:r>
      <w:r w:rsidRPr="00D47B46">
        <w:rPr>
          <w:b/>
          <w:bCs/>
          <w:noProof/>
        </w:rPr>
        <w:t>17</w:t>
      </w:r>
      <w:r w:rsidRPr="00D47B46">
        <w:rPr>
          <w:noProof/>
        </w:rPr>
        <w:t>, 82–91.</w:t>
      </w:r>
    </w:p>
    <w:p w14:paraId="5CFA419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R Core Team (2019) R: A Language and Environment for Statistical Computing.</w:t>
      </w:r>
    </w:p>
    <w:p w14:paraId="07B3F244"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Rogers A, Serbin SP, Ely KS, Sloan VL, Wullschleger SD (2017) Terrestrial biosphere models underestimate photosynthetic capacity and CO2 assimilation in the Arctic. </w:t>
      </w:r>
      <w:r w:rsidRPr="00D47B46">
        <w:rPr>
          <w:i/>
          <w:iCs/>
          <w:noProof/>
        </w:rPr>
        <w:t>New Phytologist</w:t>
      </w:r>
      <w:r w:rsidRPr="00D47B46">
        <w:rPr>
          <w:noProof/>
        </w:rPr>
        <w:t xml:space="preserve">, </w:t>
      </w:r>
      <w:r w:rsidRPr="00D47B46">
        <w:rPr>
          <w:b/>
          <w:bCs/>
          <w:noProof/>
        </w:rPr>
        <w:t>216</w:t>
      </w:r>
      <w:r w:rsidRPr="00D47B46">
        <w:rPr>
          <w:noProof/>
        </w:rPr>
        <w:t>, 1090–1103.</w:t>
      </w:r>
    </w:p>
    <w:p w14:paraId="1D61C018"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Sage RF, Pearcy RW (1987) The nitrogen use efficiency of C3 and C4 plants: II. Leaf nitrogen effects on the gas exchange characteristics of Chenopodium album (L.) and Amaranthus </w:t>
      </w:r>
      <w:r w:rsidRPr="00D47B46">
        <w:rPr>
          <w:noProof/>
        </w:rPr>
        <w:lastRenderedPageBreak/>
        <w:t xml:space="preserve">retroflexus (L.). </w:t>
      </w:r>
      <w:r w:rsidRPr="00D47B46">
        <w:rPr>
          <w:i/>
          <w:iCs/>
          <w:noProof/>
        </w:rPr>
        <w:t>Plant physiology</w:t>
      </w:r>
      <w:r w:rsidRPr="00D47B46">
        <w:rPr>
          <w:noProof/>
        </w:rPr>
        <w:t xml:space="preserve">, </w:t>
      </w:r>
      <w:r w:rsidRPr="00D47B46">
        <w:rPr>
          <w:b/>
          <w:bCs/>
          <w:noProof/>
        </w:rPr>
        <w:t>84</w:t>
      </w:r>
      <w:r w:rsidRPr="00D47B46">
        <w:rPr>
          <w:noProof/>
        </w:rPr>
        <w:t>, 959–963.</w:t>
      </w:r>
    </w:p>
    <w:p w14:paraId="4A1324B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Scott HG, Smith NG (2021) A model of C4 photosynthetic acclimation based on least-cost optimality theory suitable for Earth System Model incorporation. </w:t>
      </w:r>
      <w:r w:rsidRPr="00D47B46">
        <w:rPr>
          <w:i/>
          <w:iCs/>
          <w:noProof/>
        </w:rPr>
        <w:t>Earth and Space Science Open Archive ESSOAr</w:t>
      </w:r>
      <w:r w:rsidRPr="00D47B46">
        <w:rPr>
          <w:noProof/>
        </w:rPr>
        <w:t>.</w:t>
      </w:r>
    </w:p>
    <w:p w14:paraId="5B73A18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Smith NG, Dukes JS (2018) Drivers of leaf carbon exchange capacity across biomes at the continental scale. </w:t>
      </w:r>
      <w:r w:rsidRPr="00D47B46">
        <w:rPr>
          <w:i/>
          <w:iCs/>
          <w:noProof/>
        </w:rPr>
        <w:t>Ecology</w:t>
      </w:r>
      <w:r w:rsidRPr="00D47B46">
        <w:rPr>
          <w:noProof/>
        </w:rPr>
        <w:t xml:space="preserve">, </w:t>
      </w:r>
      <w:r w:rsidRPr="00D47B46">
        <w:rPr>
          <w:b/>
          <w:bCs/>
          <w:noProof/>
        </w:rPr>
        <w:t>99</w:t>
      </w:r>
      <w:r w:rsidRPr="00D47B46">
        <w:rPr>
          <w:noProof/>
        </w:rPr>
        <w:t>, 1610–1620.</w:t>
      </w:r>
    </w:p>
    <w:p w14:paraId="7E094C60"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Smith NG, Keenan TF (2020) Mechanisms underlying leaf photosynthetic acclimation to warming and elevated CO2 as inferred from least-cost optimality theory. </w:t>
      </w:r>
      <w:r w:rsidRPr="00D47B46">
        <w:rPr>
          <w:i/>
          <w:iCs/>
          <w:noProof/>
        </w:rPr>
        <w:t>Global Change Biology</w:t>
      </w:r>
      <w:r w:rsidRPr="00D47B46">
        <w:rPr>
          <w:noProof/>
        </w:rPr>
        <w:t xml:space="preserve">, </w:t>
      </w:r>
      <w:r w:rsidRPr="00D47B46">
        <w:rPr>
          <w:b/>
          <w:bCs/>
          <w:noProof/>
        </w:rPr>
        <w:t>26</w:t>
      </w:r>
      <w:r w:rsidRPr="00D47B46">
        <w:rPr>
          <w:noProof/>
        </w:rPr>
        <w:t>, 5202–5216.</w:t>
      </w:r>
    </w:p>
    <w:p w14:paraId="45C3FAE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Smith NG, Keenan TF, Prentice IC et al. (2019) Global photosynthetic capacity is optimized to the environment. </w:t>
      </w:r>
      <w:r w:rsidRPr="00D47B46">
        <w:rPr>
          <w:i/>
          <w:iCs/>
          <w:noProof/>
        </w:rPr>
        <w:t>Ecology Letters</w:t>
      </w:r>
      <w:r w:rsidRPr="00D47B46">
        <w:rPr>
          <w:noProof/>
        </w:rPr>
        <w:t xml:space="preserve">, </w:t>
      </w:r>
      <w:r w:rsidRPr="00D47B46">
        <w:rPr>
          <w:b/>
          <w:bCs/>
          <w:noProof/>
        </w:rPr>
        <w:t>22</w:t>
      </w:r>
      <w:r w:rsidRPr="00D47B46">
        <w:rPr>
          <w:noProof/>
        </w:rPr>
        <w:t>, 506–517.</w:t>
      </w:r>
    </w:p>
    <w:p w14:paraId="0A7C7B4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Terrer C, Vicca S, Stocker BD et al. (2018) Ecosystem responses to elevated CO</w:t>
      </w:r>
      <w:r w:rsidRPr="00D47B46">
        <w:rPr>
          <w:noProof/>
          <w:vertAlign w:val="subscript"/>
        </w:rPr>
        <w:t>2</w:t>
      </w:r>
      <w:r w:rsidRPr="00D47B46">
        <w:rPr>
          <w:noProof/>
        </w:rPr>
        <w:t xml:space="preserve"> governed by plant–soil interactions and the cost of nitrogen acquisition. </w:t>
      </w:r>
      <w:r w:rsidRPr="00D47B46">
        <w:rPr>
          <w:i/>
          <w:iCs/>
          <w:noProof/>
        </w:rPr>
        <w:t>New Phytologist</w:t>
      </w:r>
      <w:r w:rsidRPr="00D47B46">
        <w:rPr>
          <w:noProof/>
        </w:rPr>
        <w:t xml:space="preserve">, </w:t>
      </w:r>
      <w:r w:rsidRPr="00D47B46">
        <w:rPr>
          <w:b/>
          <w:bCs/>
          <w:noProof/>
        </w:rPr>
        <w:t>217</w:t>
      </w:r>
      <w:r w:rsidRPr="00D47B46">
        <w:rPr>
          <w:noProof/>
        </w:rPr>
        <w:t>, 507–522.</w:t>
      </w:r>
    </w:p>
    <w:p w14:paraId="64914D9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Thomas RQ, Brookshire EN, Gerber S (2015) Nitrogen limitation on land: how can it occur in Earth system models? </w:t>
      </w:r>
      <w:r w:rsidRPr="00D47B46">
        <w:rPr>
          <w:i/>
          <w:iCs/>
          <w:noProof/>
        </w:rPr>
        <w:t>Global change biology</w:t>
      </w:r>
      <w:r w:rsidRPr="00D47B46">
        <w:rPr>
          <w:noProof/>
        </w:rPr>
        <w:t xml:space="preserve">, </w:t>
      </w:r>
      <w:r w:rsidRPr="00D47B46">
        <w:rPr>
          <w:b/>
          <w:bCs/>
          <w:noProof/>
        </w:rPr>
        <w:t>21</w:t>
      </w:r>
      <w:r w:rsidRPr="00D47B46">
        <w:rPr>
          <w:noProof/>
        </w:rPr>
        <w:t>, 1777–1793.</w:t>
      </w:r>
    </w:p>
    <w:p w14:paraId="3559B587"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Thornton PE, Lamarque J-F, Rosenbloom NA, Mahowald NM (2007) Influence of carbon-nitrogen cycle coupling on land model response to CO2 fertilization and climate variability. </w:t>
      </w:r>
      <w:r w:rsidRPr="00D47B46">
        <w:rPr>
          <w:i/>
          <w:iCs/>
          <w:noProof/>
        </w:rPr>
        <w:t>Global Biogeochemical Cycles</w:t>
      </w:r>
      <w:r w:rsidRPr="00D47B46">
        <w:rPr>
          <w:noProof/>
        </w:rPr>
        <w:t xml:space="preserve">, </w:t>
      </w:r>
      <w:r w:rsidRPr="00D47B46">
        <w:rPr>
          <w:b/>
          <w:bCs/>
          <w:noProof/>
        </w:rPr>
        <w:t>21</w:t>
      </w:r>
      <w:r w:rsidRPr="00D47B46">
        <w:rPr>
          <w:noProof/>
        </w:rPr>
        <w:t>, GB4018.</w:t>
      </w:r>
    </w:p>
    <w:p w14:paraId="4D95CD90"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Vitousek PM, Aber JD, Howarth RW et al. (1997) Human alteration of the global nitrogen cycle: sources and consequences. </w:t>
      </w:r>
      <w:r w:rsidRPr="00D47B46">
        <w:rPr>
          <w:i/>
          <w:iCs/>
          <w:noProof/>
        </w:rPr>
        <w:t>Ecological applications</w:t>
      </w:r>
      <w:r w:rsidRPr="00D47B46">
        <w:rPr>
          <w:noProof/>
        </w:rPr>
        <w:t xml:space="preserve">, </w:t>
      </w:r>
      <w:r w:rsidRPr="00D47B46">
        <w:rPr>
          <w:b/>
          <w:bCs/>
          <w:noProof/>
        </w:rPr>
        <w:t>7</w:t>
      </w:r>
      <w:r w:rsidRPr="00D47B46">
        <w:rPr>
          <w:noProof/>
        </w:rPr>
        <w:t>, 737–750.</w:t>
      </w:r>
    </w:p>
    <w:p w14:paraId="06FBFF22"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Walker AP, Beckerman AP, Gu L et al. (2014) The relationship of leaf photosynthetic traits – Vcmax and Jmax – to leaf nitrogen, leaf phosphorus, and specific leaf area: a meta-analysis and modeling study. </w:t>
      </w:r>
      <w:r w:rsidRPr="00D47B46">
        <w:rPr>
          <w:i/>
          <w:iCs/>
          <w:noProof/>
        </w:rPr>
        <w:t>Ecology and Evolution</w:t>
      </w:r>
      <w:r w:rsidRPr="00D47B46">
        <w:rPr>
          <w:noProof/>
        </w:rPr>
        <w:t xml:space="preserve">, </w:t>
      </w:r>
      <w:r w:rsidRPr="00D47B46">
        <w:rPr>
          <w:b/>
          <w:bCs/>
          <w:noProof/>
        </w:rPr>
        <w:t>4</w:t>
      </w:r>
      <w:r w:rsidRPr="00D47B46">
        <w:rPr>
          <w:noProof/>
        </w:rPr>
        <w:t>, 3218–3235.</w:t>
      </w:r>
    </w:p>
    <w:p w14:paraId="0C776B76"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lastRenderedPageBreak/>
        <w:t xml:space="preserve">Wang H, Prentice IC, Keenan TF et al. (2017) Towards a universal model for carbon dioxide uptake by plants. </w:t>
      </w:r>
      <w:r w:rsidRPr="00D47B46">
        <w:rPr>
          <w:i/>
          <w:iCs/>
          <w:noProof/>
        </w:rPr>
        <w:t>Nature Plants</w:t>
      </w:r>
      <w:r w:rsidRPr="00D47B46">
        <w:rPr>
          <w:noProof/>
        </w:rPr>
        <w:t xml:space="preserve">, </w:t>
      </w:r>
      <w:r w:rsidRPr="00D47B46">
        <w:rPr>
          <w:b/>
          <w:bCs/>
          <w:noProof/>
        </w:rPr>
        <w:t>3</w:t>
      </w:r>
      <w:r w:rsidRPr="00D47B46">
        <w:rPr>
          <w:noProof/>
        </w:rPr>
        <w:t>, 734–741.</w:t>
      </w:r>
    </w:p>
    <w:p w14:paraId="5C623281"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Wang H, Atkin OK, Keenan TF et al. (2020) Acclimation of leaf respiration consistent with optimal photosynthetic capacity. </w:t>
      </w:r>
      <w:r w:rsidRPr="00D47B46">
        <w:rPr>
          <w:i/>
          <w:iCs/>
          <w:noProof/>
        </w:rPr>
        <w:t>Global Change Biology</w:t>
      </w:r>
      <w:r w:rsidRPr="00D47B46">
        <w:rPr>
          <w:noProof/>
        </w:rPr>
        <w:t xml:space="preserve">, </w:t>
      </w:r>
      <w:r w:rsidRPr="00D47B46">
        <w:rPr>
          <w:b/>
          <w:bCs/>
          <w:noProof/>
        </w:rPr>
        <w:t>26</w:t>
      </w:r>
      <w:r w:rsidRPr="00D47B46">
        <w:rPr>
          <w:noProof/>
        </w:rPr>
        <w:t>, 2573–2583.</w:t>
      </w:r>
    </w:p>
    <w:p w14:paraId="3E38783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Wang H, Colin Prentice I, Wright IJ, Qiao S, Xu X, Kikuzawa K, Stenseth NC (2021) Leaf economics explained by optimality principles. </w:t>
      </w:r>
      <w:r w:rsidRPr="00D47B46">
        <w:rPr>
          <w:i/>
          <w:iCs/>
          <w:noProof/>
        </w:rPr>
        <w:t>bioRxiv</w:t>
      </w:r>
      <w:r w:rsidRPr="00D47B46">
        <w:rPr>
          <w:noProof/>
        </w:rPr>
        <w:t>, 2021.02.07.430028.</w:t>
      </w:r>
    </w:p>
    <w:p w14:paraId="1769EC9E"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Wieder WR, Cleveland CC, Smith WK, Todd-Brown K (2015) Future productivity and carbon storage limited by terrestrial nutrient availability. </w:t>
      </w:r>
      <w:r w:rsidRPr="00D47B46">
        <w:rPr>
          <w:i/>
          <w:iCs/>
          <w:noProof/>
        </w:rPr>
        <w:t>Nature Geoscience</w:t>
      </w:r>
      <w:r w:rsidRPr="00D47B46">
        <w:rPr>
          <w:noProof/>
        </w:rPr>
        <w:t xml:space="preserve">, </w:t>
      </w:r>
      <w:r w:rsidRPr="00D47B46">
        <w:rPr>
          <w:b/>
          <w:bCs/>
          <w:noProof/>
        </w:rPr>
        <w:t>8</w:t>
      </w:r>
      <w:r w:rsidRPr="00D47B46">
        <w:rPr>
          <w:noProof/>
        </w:rPr>
        <w:t>, 441.</w:t>
      </w:r>
    </w:p>
    <w:p w14:paraId="55A73A2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Wieder WR, Lawrence DM, Fisher RA et al. (2019) Beyond static benchmarking: Using experimental manipulations to evaluate land model assumptions. </w:t>
      </w:r>
      <w:r w:rsidRPr="00D47B46">
        <w:rPr>
          <w:i/>
          <w:iCs/>
          <w:noProof/>
        </w:rPr>
        <w:t>Global Biogeochemical Cycles</w:t>
      </w:r>
      <w:r w:rsidRPr="00D47B46">
        <w:rPr>
          <w:noProof/>
        </w:rPr>
        <w:t xml:space="preserve">, </w:t>
      </w:r>
      <w:r w:rsidRPr="00D47B46">
        <w:rPr>
          <w:b/>
          <w:bCs/>
          <w:noProof/>
        </w:rPr>
        <w:t>33</w:t>
      </w:r>
      <w:r w:rsidRPr="00D47B46">
        <w:rPr>
          <w:noProof/>
        </w:rPr>
        <w:t>, 2018GB006141.</w:t>
      </w:r>
    </w:p>
    <w:p w14:paraId="0B6F7C7C"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Wright IJ, Reich PB, Westoby M (2003) Least-cost input mixtures of water and nitrogen for photosynthesis. </w:t>
      </w:r>
      <w:r w:rsidRPr="00D47B46">
        <w:rPr>
          <w:i/>
          <w:iCs/>
          <w:noProof/>
        </w:rPr>
        <w:t>The American Naturalist</w:t>
      </w:r>
      <w:r w:rsidRPr="00D47B46">
        <w:rPr>
          <w:noProof/>
        </w:rPr>
        <w:t xml:space="preserve">, </w:t>
      </w:r>
      <w:r w:rsidRPr="00D47B46">
        <w:rPr>
          <w:b/>
          <w:bCs/>
          <w:noProof/>
        </w:rPr>
        <w:t>161</w:t>
      </w:r>
      <w:r w:rsidRPr="00D47B46">
        <w:rPr>
          <w:noProof/>
        </w:rPr>
        <w:t>, 98–111.</w:t>
      </w:r>
    </w:p>
    <w:p w14:paraId="4F0753FF"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Yuan Z, Liu W, Niu S, Wan S (2007) Plant Nitrogen Dynamics and Nitrogen-use Strategies under Altered Nitrogen Seasonality and Competition. </w:t>
      </w:r>
      <w:r w:rsidRPr="00D47B46">
        <w:rPr>
          <w:i/>
          <w:iCs/>
          <w:noProof/>
        </w:rPr>
        <w:t>Annals of Botany</w:t>
      </w:r>
      <w:r w:rsidRPr="00D47B46">
        <w:rPr>
          <w:noProof/>
        </w:rPr>
        <w:t xml:space="preserve">, </w:t>
      </w:r>
      <w:r w:rsidRPr="00D47B46">
        <w:rPr>
          <w:b/>
          <w:bCs/>
          <w:noProof/>
        </w:rPr>
        <w:t>100</w:t>
      </w:r>
      <w:r w:rsidRPr="00D47B46">
        <w:rPr>
          <w:noProof/>
        </w:rPr>
        <w:t>, 821–830.</w:t>
      </w:r>
    </w:p>
    <w:p w14:paraId="672E4B41"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Zaehle S, Medlyn BE, De Kauwe MG et al. (2014) Evaluation of 11 terrestrial carbon–nitrogen cycle models against observations from two temperate Free-Air CO2 Enrichment studies. </w:t>
      </w:r>
      <w:r w:rsidRPr="00D47B46">
        <w:rPr>
          <w:i/>
          <w:iCs/>
          <w:noProof/>
        </w:rPr>
        <w:t>New Phytologist</w:t>
      </w:r>
      <w:r w:rsidRPr="00D47B46">
        <w:rPr>
          <w:noProof/>
        </w:rPr>
        <w:t xml:space="preserve">, </w:t>
      </w:r>
      <w:r w:rsidRPr="00D47B46">
        <w:rPr>
          <w:b/>
          <w:bCs/>
          <w:noProof/>
        </w:rPr>
        <w:t>202</w:t>
      </w:r>
      <w:r w:rsidRPr="00D47B46">
        <w:rPr>
          <w:noProof/>
        </w:rPr>
        <w:t>, 803–822.</w:t>
      </w:r>
    </w:p>
    <w:p w14:paraId="7609F2D9" w14:textId="77777777" w:rsidR="00D47B46" w:rsidRPr="00D47B46" w:rsidRDefault="00D47B46" w:rsidP="00D47B46">
      <w:pPr>
        <w:widowControl w:val="0"/>
        <w:autoSpaceDE w:val="0"/>
        <w:autoSpaceDN w:val="0"/>
        <w:adjustRightInd w:val="0"/>
        <w:spacing w:line="480" w:lineRule="auto"/>
        <w:ind w:left="480" w:hanging="480"/>
        <w:rPr>
          <w:noProof/>
        </w:rPr>
      </w:pPr>
      <w:r w:rsidRPr="00D47B46">
        <w:rPr>
          <w:noProof/>
        </w:rPr>
        <w:t xml:space="preserve">Zhu Q, Riley WJ, Tang J, Collier N, Hoffman FM, Yang X, Bisht G (2019) Representing Nitrogen, Phosphorus, and Carbon Interactions in the E3SM Land Model: Development and Global Benchmarking. </w:t>
      </w:r>
      <w:r w:rsidRPr="00D47B46">
        <w:rPr>
          <w:i/>
          <w:iCs/>
          <w:noProof/>
        </w:rPr>
        <w:t>Journal of Advances in Modeling Earth Systems</w:t>
      </w:r>
      <w:r w:rsidRPr="00D47B46">
        <w:rPr>
          <w:noProof/>
        </w:rPr>
        <w:t xml:space="preserve">, </w:t>
      </w:r>
      <w:r w:rsidRPr="00D47B46">
        <w:rPr>
          <w:b/>
          <w:bCs/>
          <w:noProof/>
        </w:rPr>
        <w:t>11</w:t>
      </w:r>
      <w:r w:rsidRPr="00D47B46">
        <w:rPr>
          <w:noProof/>
        </w:rPr>
        <w:t>, 2238–2258.</w:t>
      </w:r>
    </w:p>
    <w:p w14:paraId="09938461" w14:textId="011EB738" w:rsidR="009A5B56" w:rsidRPr="009A5B56" w:rsidRDefault="009A5B56" w:rsidP="00D47B46">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5-21T15:27:00Z" w:initials="NGS">
    <w:p w14:paraId="462074ED" w14:textId="5C2B64B9" w:rsidR="006618FD" w:rsidRDefault="006618FD">
      <w:pPr>
        <w:pStyle w:val="CommentText"/>
      </w:pPr>
      <w:r>
        <w:rPr>
          <w:rStyle w:val="CommentReference"/>
        </w:rPr>
        <w:annotationRef/>
      </w:r>
      <w:r>
        <w:t xml:space="preserve">Ian, Colin, </w:t>
      </w:r>
      <w:r w:rsidRPr="006618FD">
        <w:t xml:space="preserve">Jason Martina, Erika Hersch-Green, Eric </w:t>
      </w:r>
      <w:proofErr w:type="spellStart"/>
      <w:r w:rsidRPr="006618FD">
        <w:t>Seabloom</w:t>
      </w:r>
      <w:proofErr w:type="spellEnd"/>
      <w:r w:rsidRPr="006618FD">
        <w:t xml:space="preserve">, Peter </w:t>
      </w:r>
      <w:proofErr w:type="spellStart"/>
      <w:r w:rsidRPr="006618FD">
        <w:t>Wilfhart</w:t>
      </w:r>
      <w:bookmarkStart w:id="1" w:name="_GoBack"/>
      <w:bookmarkEnd w:id="1"/>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2074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2074ED" w16cid:durableId="24524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0562C" w14:textId="77777777" w:rsidR="00BC7659" w:rsidRDefault="00BC7659" w:rsidP="001B44B1">
      <w:r>
        <w:separator/>
      </w:r>
    </w:p>
  </w:endnote>
  <w:endnote w:type="continuationSeparator" w:id="0">
    <w:p w14:paraId="0B2E2EC8" w14:textId="77777777" w:rsidR="00BC7659" w:rsidRDefault="00BC7659"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6618FD" w:rsidRDefault="006618FD"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6618FD" w:rsidRDefault="006618FD"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6618FD" w:rsidRDefault="006618FD"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6618FD" w:rsidRDefault="006618FD"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93CB8" w14:textId="77777777" w:rsidR="00BC7659" w:rsidRDefault="00BC7659" w:rsidP="001B44B1">
      <w:r>
        <w:separator/>
      </w:r>
    </w:p>
  </w:footnote>
  <w:footnote w:type="continuationSeparator" w:id="0">
    <w:p w14:paraId="4DC93053" w14:textId="77777777" w:rsidR="00BC7659" w:rsidRDefault="00BC7659"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11025"/>
    <w:rsid w:val="00111AFB"/>
    <w:rsid w:val="0013288D"/>
    <w:rsid w:val="00135FBB"/>
    <w:rsid w:val="00143637"/>
    <w:rsid w:val="0014366E"/>
    <w:rsid w:val="00150B42"/>
    <w:rsid w:val="00152D8D"/>
    <w:rsid w:val="00165EAE"/>
    <w:rsid w:val="00175A1E"/>
    <w:rsid w:val="001A2607"/>
    <w:rsid w:val="001B0EE0"/>
    <w:rsid w:val="001B44B1"/>
    <w:rsid w:val="001B6B10"/>
    <w:rsid w:val="001C5C13"/>
    <w:rsid w:val="001D0C18"/>
    <w:rsid w:val="001D0DC9"/>
    <w:rsid w:val="001D2A9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82CAA"/>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910A0"/>
    <w:rsid w:val="0059163C"/>
    <w:rsid w:val="005948A0"/>
    <w:rsid w:val="005A5C5B"/>
    <w:rsid w:val="005A731B"/>
    <w:rsid w:val="005B6195"/>
    <w:rsid w:val="005C1F8E"/>
    <w:rsid w:val="005D276D"/>
    <w:rsid w:val="005D42F3"/>
    <w:rsid w:val="005F0AFC"/>
    <w:rsid w:val="00601147"/>
    <w:rsid w:val="00604C4C"/>
    <w:rsid w:val="00622DF9"/>
    <w:rsid w:val="00640580"/>
    <w:rsid w:val="00640D61"/>
    <w:rsid w:val="00656DF5"/>
    <w:rsid w:val="006618FD"/>
    <w:rsid w:val="006664CE"/>
    <w:rsid w:val="00672CC1"/>
    <w:rsid w:val="006A1708"/>
    <w:rsid w:val="006A278F"/>
    <w:rsid w:val="006A3045"/>
    <w:rsid w:val="006D7E9A"/>
    <w:rsid w:val="006E17D6"/>
    <w:rsid w:val="0070307F"/>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4434"/>
    <w:rsid w:val="007D124D"/>
    <w:rsid w:val="007D3D72"/>
    <w:rsid w:val="007E26DC"/>
    <w:rsid w:val="007F1A75"/>
    <w:rsid w:val="007F34AF"/>
    <w:rsid w:val="007F6543"/>
    <w:rsid w:val="007F6C75"/>
    <w:rsid w:val="008010AC"/>
    <w:rsid w:val="00801487"/>
    <w:rsid w:val="00827B83"/>
    <w:rsid w:val="00832B95"/>
    <w:rsid w:val="00840038"/>
    <w:rsid w:val="008531D1"/>
    <w:rsid w:val="00880F5C"/>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D2402"/>
    <w:rsid w:val="008E3C9D"/>
    <w:rsid w:val="008F481E"/>
    <w:rsid w:val="008F486F"/>
    <w:rsid w:val="00921E26"/>
    <w:rsid w:val="0092235C"/>
    <w:rsid w:val="00930A47"/>
    <w:rsid w:val="00934597"/>
    <w:rsid w:val="00934623"/>
    <w:rsid w:val="009347FA"/>
    <w:rsid w:val="009361C5"/>
    <w:rsid w:val="00951F0E"/>
    <w:rsid w:val="00961478"/>
    <w:rsid w:val="00967D5A"/>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7554"/>
    <w:rsid w:val="00A85915"/>
    <w:rsid w:val="00A93E29"/>
    <w:rsid w:val="00A975A3"/>
    <w:rsid w:val="00AB6E48"/>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7E5B"/>
    <w:rsid w:val="00E009DE"/>
    <w:rsid w:val="00E019F3"/>
    <w:rsid w:val="00E05F61"/>
    <w:rsid w:val="00E213DA"/>
    <w:rsid w:val="00E26DE7"/>
    <w:rsid w:val="00E3357A"/>
    <w:rsid w:val="00E4356B"/>
    <w:rsid w:val="00E438A9"/>
    <w:rsid w:val="00E509F6"/>
    <w:rsid w:val="00E55919"/>
    <w:rsid w:val="00E67E69"/>
    <w:rsid w:val="00E7312B"/>
    <w:rsid w:val="00E752D7"/>
    <w:rsid w:val="00E77008"/>
    <w:rsid w:val="00E82934"/>
    <w:rsid w:val="00E8456C"/>
    <w:rsid w:val="00E90291"/>
    <w:rsid w:val="00E95E33"/>
    <w:rsid w:val="00E95F37"/>
    <w:rsid w:val="00EB1FEE"/>
    <w:rsid w:val="00EB6190"/>
    <w:rsid w:val="00EE6CB1"/>
    <w:rsid w:val="00EF2641"/>
    <w:rsid w:val="00EF31EA"/>
    <w:rsid w:val="00EF4F1D"/>
    <w:rsid w:val="00EF60BF"/>
    <w:rsid w:val="00F01F6F"/>
    <w:rsid w:val="00F178AB"/>
    <w:rsid w:val="00F17CC7"/>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BA9D8-D3D2-7946-8D1F-5865B298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38</Pages>
  <Words>60997</Words>
  <Characters>347689</Characters>
  <Application>Microsoft Office Word</Application>
  <DocSecurity>0</DocSecurity>
  <Lines>2897</Lines>
  <Paragraphs>815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407871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46</cp:revision>
  <dcterms:created xsi:type="dcterms:W3CDTF">2021-05-21T17:50:00Z</dcterms:created>
  <dcterms:modified xsi:type="dcterms:W3CDTF">2021-05-21T20:38:00Z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