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2026. Tiga lembar disposisi agenda diturunkan. Yang sampai ke Bagian Prokopim hanya dua.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Pimpinan.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siapa, kapan, dan apa keputusannya. Di lokasi, tamu cukup memindai kode QR untuk mengisi daftar hadir, lengkap dengan tanda tangan, tanpa selembar kertas pun.</w:t>
            </w:r>
          </w:p>
        </w:tc>
        <w:tc>
          <w:tcPr>
            <w:tcW w:type="dxa" w:w="2551"/>
          </w:tcPr>
          <w:p>
            <w:r/>
            <w:r>
              <w:rPr>
                <w:i/>
                <w:sz w:val="20"/>
              </w:rPr>
              <w:t>"Siapa, kapan, dan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Selain alur agenda itu, ada kanal publik, fitur tersendiri. Masyarakat dan instansi mengajukan audiensi atau meminjam ruangan secara daring, lalu memantau sendiri statusnya, tanpa perlu datang berulang.</w:t>
            </w:r>
          </w:p>
        </w:tc>
        <w:tc>
          <w:tcPr>
            <w:tcW w:type="dxa" w:w="2551"/>
          </w:tcPr>
          <w:p>
            <w:r/>
            <w:r>
              <w:rPr>
                <w:i/>
                <w:sz w:val="20"/>
              </w:rPr>
              <w:t>Ganti nada sedikit: ini fitur lain.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4:05–4:30</w:t>
              <w:br/>
            </w:r>
            <w:r>
              <w:rPr>
                <w:color w:val="5A5A5A"/>
                <w:sz w:val="18"/>
              </w:rPr>
              <w:t>maks 25 dtk</w:t>
              <w:br/>
              <w:t>Dampak</w:t>
            </w:r>
          </w:p>
        </w:tc>
        <w:tc>
          <w:tcPr>
            <w:tcW w:type="dxa" w:w="4932"/>
          </w:tcPr>
          <w:p>
            <w:r/>
            <w:r>
              <w:rPr>
                <w:sz w:val="24"/>
              </w:rPr>
              <w:t>(Tanpa narasi. Pernyataan asli Wali Kota diputar.)</w:t>
            </w:r>
          </w:p>
        </w:tc>
        <w:tc>
          <w:tcPr>
            <w:tcW w:type="dxa" w:w="2551"/>
          </w:tcPr>
          <w:p>
            <w:r/>
            <w:r>
              <w:rPr>
                <w:i/>
                <w:sz w:val="20"/>
              </w:rPr>
              <w:t>Dubber tidak membaca apa pun; jangan menimpa suara beliau.</w:t>
            </w:r>
          </w:p>
        </w:tc>
      </w:tr>
      <w:tr>
        <w:trPr>
          <w:cantSplit/>
        </w:trPr>
        <w:tc>
          <w:tcPr>
            <w:tcW w:type="dxa" w:w="680"/>
          </w:tcPr>
          <w:p>
            <w:r/>
            <w:r>
              <w:rPr>
                <w:b/>
              </w:rPr>
              <w:t>14</w:t>
            </w:r>
          </w:p>
        </w:tc>
        <w:tc>
          <w:tcPr>
            <w:tcW w:type="dxa" w:w="1474"/>
          </w:tcPr>
          <w:p>
            <w:r/>
            <w:r>
              <w:rPr>
                <w:sz w:val="20"/>
              </w:rPr>
              <w:t>4:30–4:45</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4:45–4:55</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