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4E773" w14:textId="00565A36" w:rsidR="004311F1" w:rsidRPr="00697A81" w:rsidRDefault="00C070BC" w:rsidP="00DB5BC5">
      <w:pPr>
        <w:pStyle w:val="Ttulo"/>
        <w:rPr>
          <w:sz w:val="32"/>
          <w:szCs w:val="32"/>
        </w:rPr>
      </w:pPr>
      <w:r w:rsidRPr="00697A81">
        <w:rPr>
          <w:sz w:val="32"/>
          <w:szCs w:val="32"/>
        </w:rPr>
        <w:t>Administración y Gestión de Organizaciones – PEC4</w:t>
      </w:r>
      <w:r w:rsidR="00E908CA" w:rsidRPr="00697A81">
        <w:rPr>
          <w:sz w:val="32"/>
          <w:szCs w:val="32"/>
        </w:rPr>
        <w:t>/Reto4</w:t>
      </w:r>
    </w:p>
    <w:p w14:paraId="279FF587" w14:textId="77777777" w:rsidR="004311F1" w:rsidRPr="007D7D9F" w:rsidRDefault="004311F1">
      <w:pPr>
        <w:jc w:val="both"/>
      </w:pPr>
      <w:bookmarkStart w:id="0" w:name="_heading=h.gjdgxs" w:colFirst="0" w:colLast="0"/>
      <w:bookmarkEnd w:id="0"/>
    </w:p>
    <w:p w14:paraId="3E9B1236" w14:textId="77777777" w:rsidR="004311F1" w:rsidRPr="007D7D9F" w:rsidRDefault="00C070BC">
      <w:pPr>
        <w:pBdr>
          <w:top w:val="nil"/>
          <w:left w:val="nil"/>
          <w:bottom w:val="nil"/>
          <w:right w:val="nil"/>
          <w:between w:val="nil"/>
        </w:pBdr>
        <w:spacing w:before="80" w:after="80"/>
        <w:jc w:val="both"/>
        <w:rPr>
          <w:b/>
          <w:color w:val="0051BA"/>
        </w:rPr>
      </w:pPr>
      <w:r w:rsidRPr="007D7D9F">
        <w:rPr>
          <w:b/>
          <w:color w:val="0051BA"/>
        </w:rPr>
        <w:t>Presentación</w:t>
      </w:r>
    </w:p>
    <w:p w14:paraId="5E16771C" w14:textId="77777777" w:rsidR="004311F1" w:rsidRPr="007D7D9F" w:rsidRDefault="00C07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color w:val="202124"/>
          <w:sz w:val="20"/>
          <w:szCs w:val="20"/>
        </w:rPr>
      </w:pPr>
      <w:r w:rsidRPr="007D7D9F">
        <w:rPr>
          <w:color w:val="202124"/>
          <w:sz w:val="20"/>
          <w:szCs w:val="20"/>
        </w:rPr>
        <w:t>Esta es la PEC que aborda, tal y como se ha desarrollado en el plan docente, las competencias y contenidos correspondientes al Reto 4 de la asignatura denominado Datos, organizaciones y resiliencia.</w:t>
      </w:r>
    </w:p>
    <w:p w14:paraId="1EE450AE" w14:textId="77777777" w:rsidR="004311F1" w:rsidRPr="007D7D9F" w:rsidRDefault="004311F1">
      <w:pPr>
        <w:pBdr>
          <w:top w:val="nil"/>
          <w:left w:val="nil"/>
          <w:bottom w:val="nil"/>
          <w:right w:val="nil"/>
          <w:between w:val="nil"/>
        </w:pBdr>
        <w:spacing w:before="80"/>
        <w:jc w:val="both"/>
        <w:rPr>
          <w:color w:val="757578"/>
          <w:sz w:val="20"/>
          <w:szCs w:val="20"/>
        </w:rPr>
      </w:pPr>
    </w:p>
    <w:p w14:paraId="37F7DF14" w14:textId="77777777" w:rsidR="004311F1" w:rsidRPr="007D7D9F" w:rsidRDefault="00C070BC">
      <w:pPr>
        <w:pBdr>
          <w:top w:val="nil"/>
          <w:left w:val="nil"/>
          <w:bottom w:val="nil"/>
          <w:right w:val="nil"/>
          <w:between w:val="nil"/>
        </w:pBdr>
        <w:spacing w:before="80" w:after="80"/>
        <w:jc w:val="both"/>
        <w:rPr>
          <w:b/>
          <w:color w:val="0051BA"/>
        </w:rPr>
      </w:pPr>
      <w:r w:rsidRPr="007D7D9F">
        <w:rPr>
          <w:b/>
          <w:color w:val="0051BA"/>
        </w:rPr>
        <w:t>Competencias</w:t>
      </w:r>
    </w:p>
    <w:p w14:paraId="3B35E120" w14:textId="77777777" w:rsidR="004311F1" w:rsidRPr="007D7D9F" w:rsidRDefault="00C070BC">
      <w:pPr>
        <w:pBdr>
          <w:top w:val="nil"/>
          <w:left w:val="nil"/>
          <w:bottom w:val="nil"/>
          <w:right w:val="nil"/>
          <w:between w:val="nil"/>
        </w:pBdr>
        <w:spacing w:before="80"/>
        <w:jc w:val="both"/>
        <w:rPr>
          <w:color w:val="000000"/>
          <w:sz w:val="20"/>
          <w:szCs w:val="20"/>
        </w:rPr>
      </w:pPr>
      <w:r w:rsidRPr="007D7D9F">
        <w:rPr>
          <w:color w:val="000000"/>
          <w:sz w:val="20"/>
          <w:szCs w:val="20"/>
        </w:rPr>
        <w:t xml:space="preserve">Del conjunto de competencias abordadas en la asignatura y que se detallan en el plan docente, las que se trabajan en esta PEC son: </w:t>
      </w:r>
    </w:p>
    <w:p w14:paraId="1D0A60D1" w14:textId="77777777" w:rsidR="004311F1" w:rsidRPr="007D7D9F" w:rsidRDefault="004311F1">
      <w:pPr>
        <w:pBdr>
          <w:top w:val="nil"/>
          <w:left w:val="nil"/>
          <w:bottom w:val="nil"/>
          <w:right w:val="nil"/>
          <w:between w:val="nil"/>
        </w:pBdr>
        <w:spacing w:before="80"/>
        <w:jc w:val="both"/>
        <w:rPr>
          <w:color w:val="000000"/>
          <w:sz w:val="20"/>
          <w:szCs w:val="20"/>
        </w:rPr>
      </w:pPr>
    </w:p>
    <w:p w14:paraId="323103C0" w14:textId="77777777" w:rsidR="004311F1" w:rsidRPr="007D7D9F" w:rsidRDefault="00C070BC">
      <w:pPr>
        <w:pBdr>
          <w:top w:val="nil"/>
          <w:left w:val="nil"/>
          <w:bottom w:val="nil"/>
          <w:right w:val="nil"/>
          <w:between w:val="nil"/>
        </w:pBdr>
        <w:spacing w:before="80"/>
        <w:jc w:val="both"/>
        <w:rPr>
          <w:color w:val="000000"/>
          <w:sz w:val="20"/>
          <w:szCs w:val="20"/>
        </w:rPr>
      </w:pPr>
      <w:r w:rsidRPr="007D7D9F">
        <w:rPr>
          <w:color w:val="000000"/>
          <w:sz w:val="20"/>
          <w:szCs w:val="20"/>
        </w:rPr>
        <w:t>C6. Capacidad para identificar el papel que juegan las TIC en las organizaciones.</w:t>
      </w:r>
    </w:p>
    <w:p w14:paraId="1D699DB7" w14:textId="77777777" w:rsidR="004311F1" w:rsidRPr="007D7D9F" w:rsidRDefault="00C070BC">
      <w:pPr>
        <w:pBdr>
          <w:top w:val="nil"/>
          <w:left w:val="nil"/>
          <w:bottom w:val="nil"/>
          <w:right w:val="nil"/>
          <w:between w:val="nil"/>
        </w:pBdr>
        <w:spacing w:before="80"/>
        <w:jc w:val="both"/>
        <w:rPr>
          <w:color w:val="000000"/>
          <w:sz w:val="20"/>
          <w:szCs w:val="20"/>
        </w:rPr>
      </w:pPr>
      <w:r w:rsidRPr="007D7D9F">
        <w:rPr>
          <w:color w:val="000000"/>
          <w:sz w:val="20"/>
          <w:szCs w:val="20"/>
        </w:rPr>
        <w:t>CGEC. Actuar de manera honesta, ética, sostenible, socialmente responsable y respetuosa con los derechos humanos y la diversidad, tanto en la práctica académica como en la profesional.</w:t>
      </w:r>
    </w:p>
    <w:p w14:paraId="77D43B76" w14:textId="77777777" w:rsidR="004311F1" w:rsidRPr="007D7D9F" w:rsidRDefault="004311F1">
      <w:pPr>
        <w:pBdr>
          <w:top w:val="nil"/>
          <w:left w:val="nil"/>
          <w:bottom w:val="nil"/>
          <w:right w:val="nil"/>
          <w:between w:val="nil"/>
        </w:pBdr>
        <w:spacing w:before="80"/>
        <w:jc w:val="both"/>
        <w:rPr>
          <w:color w:val="757578"/>
          <w:sz w:val="20"/>
          <w:szCs w:val="20"/>
        </w:rPr>
      </w:pPr>
    </w:p>
    <w:p w14:paraId="4A9B7637" w14:textId="77777777" w:rsidR="00E908CA" w:rsidRPr="007D7D9F" w:rsidRDefault="00E908CA" w:rsidP="00E908CA">
      <w:pPr>
        <w:pBdr>
          <w:top w:val="nil"/>
          <w:left w:val="nil"/>
          <w:bottom w:val="nil"/>
          <w:right w:val="nil"/>
          <w:between w:val="nil"/>
        </w:pBdr>
        <w:jc w:val="both"/>
        <w:rPr>
          <w:b/>
          <w:color w:val="0051BA"/>
        </w:rPr>
      </w:pPr>
      <w:r w:rsidRPr="007D7D9F">
        <w:rPr>
          <w:b/>
          <w:color w:val="0051BA"/>
        </w:rPr>
        <w:t>Objetivos</w:t>
      </w:r>
    </w:p>
    <w:p w14:paraId="49130B66" w14:textId="77777777" w:rsidR="00E908CA" w:rsidRPr="007D7D9F" w:rsidRDefault="00E908CA" w:rsidP="00E908CA">
      <w:pPr>
        <w:spacing w:after="120"/>
        <w:jc w:val="both"/>
        <w:rPr>
          <w:color w:val="auto"/>
          <w:sz w:val="20"/>
          <w:szCs w:val="20"/>
        </w:rPr>
      </w:pPr>
      <w:r w:rsidRPr="007D7D9F">
        <w:rPr>
          <w:color w:val="auto"/>
          <w:sz w:val="20"/>
          <w:szCs w:val="20"/>
        </w:rPr>
        <w:t>Comprender los conceptos introducidos en el módulo y saberlos identificar o aplicar a problemas teóricos y situaciones que emulen la realidad.</w:t>
      </w:r>
    </w:p>
    <w:p w14:paraId="55003349" w14:textId="77777777" w:rsidR="00E908CA" w:rsidRPr="007D7D9F" w:rsidRDefault="00E908CA" w:rsidP="00E908CA">
      <w:pPr>
        <w:spacing w:after="120"/>
        <w:jc w:val="both"/>
        <w:rPr>
          <w:color w:val="757578"/>
          <w:sz w:val="20"/>
          <w:szCs w:val="20"/>
        </w:rPr>
      </w:pPr>
    </w:p>
    <w:p w14:paraId="23FA10BC" w14:textId="030BAFF8" w:rsidR="004311F1" w:rsidRPr="007D7D9F" w:rsidRDefault="00E908CA">
      <w:pPr>
        <w:pBdr>
          <w:top w:val="nil"/>
          <w:left w:val="nil"/>
          <w:bottom w:val="nil"/>
          <w:right w:val="nil"/>
          <w:between w:val="nil"/>
        </w:pBdr>
        <w:spacing w:before="80" w:after="80"/>
        <w:jc w:val="both"/>
        <w:rPr>
          <w:b/>
          <w:color w:val="0051BA"/>
        </w:rPr>
      </w:pPr>
      <w:r w:rsidRPr="007D7D9F">
        <w:rPr>
          <w:b/>
          <w:color w:val="0051BA"/>
        </w:rPr>
        <w:t>Resolución de la PEC</w:t>
      </w:r>
    </w:p>
    <w:p w14:paraId="4B60C14E" w14:textId="77777777" w:rsidR="004311F1" w:rsidRPr="007D7D9F" w:rsidRDefault="00C070BC">
      <w:pPr>
        <w:pBdr>
          <w:top w:val="nil"/>
          <w:left w:val="nil"/>
          <w:bottom w:val="nil"/>
          <w:right w:val="nil"/>
          <w:between w:val="nil"/>
        </w:pBdr>
        <w:spacing w:before="80"/>
        <w:jc w:val="both"/>
        <w:rPr>
          <w:color w:val="000000"/>
          <w:sz w:val="20"/>
          <w:szCs w:val="20"/>
        </w:rPr>
      </w:pPr>
      <w:r w:rsidRPr="007D7D9F">
        <w:rPr>
          <w:color w:val="000000"/>
          <w:sz w:val="20"/>
          <w:szCs w:val="20"/>
        </w:rPr>
        <w:t>Para resolver con éxito esta PEC es necesario seguir el ciclo metodológico indicado en el plan docente:</w:t>
      </w:r>
    </w:p>
    <w:p w14:paraId="59E4B257" w14:textId="77777777" w:rsidR="004311F1" w:rsidRPr="007D7D9F" w:rsidRDefault="00C070BC">
      <w:pPr>
        <w:pBdr>
          <w:top w:val="nil"/>
          <w:left w:val="nil"/>
          <w:bottom w:val="nil"/>
          <w:right w:val="nil"/>
          <w:between w:val="nil"/>
        </w:pBdr>
        <w:spacing w:before="80"/>
        <w:jc w:val="both"/>
        <w:rPr>
          <w:color w:val="000000"/>
          <w:sz w:val="20"/>
          <w:szCs w:val="20"/>
        </w:rPr>
      </w:pPr>
      <w:r w:rsidRPr="007D7D9F">
        <w:rPr>
          <w:color w:val="000000"/>
          <w:sz w:val="20"/>
          <w:szCs w:val="20"/>
        </w:rPr>
        <w:t>1. Leer las indicaciones de la Guía de Aprendizaje para el módulo y sus recursos de aprendizaje correspondientes.</w:t>
      </w:r>
    </w:p>
    <w:p w14:paraId="359A87C0" w14:textId="77777777" w:rsidR="004311F1" w:rsidRPr="007D7D9F" w:rsidRDefault="00C070BC">
      <w:pPr>
        <w:pBdr>
          <w:top w:val="nil"/>
          <w:left w:val="nil"/>
          <w:bottom w:val="nil"/>
          <w:right w:val="nil"/>
          <w:between w:val="nil"/>
        </w:pBdr>
        <w:spacing w:before="80"/>
        <w:jc w:val="both"/>
        <w:rPr>
          <w:color w:val="000000"/>
          <w:sz w:val="20"/>
          <w:szCs w:val="20"/>
        </w:rPr>
      </w:pPr>
      <w:r w:rsidRPr="007D7D9F">
        <w:rPr>
          <w:color w:val="000000"/>
          <w:sz w:val="20"/>
          <w:szCs w:val="20"/>
        </w:rPr>
        <w:t>2. Leer, comprender y estudiar los recursos de aprendizaje correspondientes, siguiendo las indicaciones de la Guía de Aprendizaje.</w:t>
      </w:r>
    </w:p>
    <w:p w14:paraId="0456A9EB" w14:textId="30556689" w:rsidR="004311F1" w:rsidRPr="007D7D9F" w:rsidRDefault="00C070BC">
      <w:pPr>
        <w:pBdr>
          <w:top w:val="nil"/>
          <w:left w:val="nil"/>
          <w:bottom w:val="nil"/>
          <w:right w:val="nil"/>
          <w:between w:val="nil"/>
        </w:pBdr>
        <w:spacing w:before="80"/>
        <w:jc w:val="both"/>
        <w:rPr>
          <w:color w:val="000000"/>
          <w:sz w:val="20"/>
          <w:szCs w:val="20"/>
        </w:rPr>
      </w:pPr>
      <w:r w:rsidRPr="007D7D9F">
        <w:rPr>
          <w:color w:val="000000"/>
          <w:sz w:val="20"/>
          <w:szCs w:val="20"/>
        </w:rPr>
        <w:t>3. Iniciar la resolución de la P</w:t>
      </w:r>
      <w:r w:rsidR="00E908CA" w:rsidRPr="007D7D9F">
        <w:rPr>
          <w:color w:val="000000"/>
          <w:sz w:val="20"/>
          <w:szCs w:val="20"/>
        </w:rPr>
        <w:t>E</w:t>
      </w:r>
      <w:r w:rsidRPr="007D7D9F">
        <w:rPr>
          <w:color w:val="000000"/>
          <w:sz w:val="20"/>
          <w:szCs w:val="20"/>
        </w:rPr>
        <w:t>C a partir:</w:t>
      </w:r>
    </w:p>
    <w:p w14:paraId="0BC155B2" w14:textId="77777777" w:rsidR="004311F1" w:rsidRPr="007D7D9F" w:rsidRDefault="00C070BC">
      <w:pPr>
        <w:pBdr>
          <w:top w:val="nil"/>
          <w:left w:val="nil"/>
          <w:bottom w:val="nil"/>
          <w:right w:val="nil"/>
          <w:between w:val="nil"/>
        </w:pBdr>
        <w:spacing w:before="80"/>
        <w:ind w:left="567"/>
        <w:jc w:val="both"/>
        <w:rPr>
          <w:color w:val="000000"/>
          <w:sz w:val="20"/>
          <w:szCs w:val="20"/>
        </w:rPr>
      </w:pPr>
      <w:r w:rsidRPr="007D7D9F">
        <w:rPr>
          <w:color w:val="000000"/>
          <w:sz w:val="20"/>
          <w:szCs w:val="20"/>
        </w:rPr>
        <w:t>a. De lo que se habrá aprendido en los recursos de aprendizaje.</w:t>
      </w:r>
    </w:p>
    <w:p w14:paraId="13013F6B" w14:textId="77777777" w:rsidR="004311F1" w:rsidRPr="007D7D9F" w:rsidRDefault="00C070BC">
      <w:pPr>
        <w:pBdr>
          <w:top w:val="nil"/>
          <w:left w:val="nil"/>
          <w:bottom w:val="nil"/>
          <w:right w:val="nil"/>
          <w:between w:val="nil"/>
        </w:pBdr>
        <w:spacing w:before="80"/>
        <w:ind w:left="567"/>
        <w:jc w:val="both"/>
        <w:rPr>
          <w:color w:val="000000"/>
          <w:sz w:val="20"/>
          <w:szCs w:val="20"/>
        </w:rPr>
      </w:pPr>
      <w:r w:rsidRPr="007D7D9F">
        <w:rPr>
          <w:color w:val="000000"/>
          <w:sz w:val="20"/>
          <w:szCs w:val="20"/>
        </w:rPr>
        <w:t>b. De las posibles indicaciones que dé el profesor vía Anuncios.</w:t>
      </w:r>
    </w:p>
    <w:p w14:paraId="31EAB6BA" w14:textId="023B6926" w:rsidR="004311F1" w:rsidRPr="007D7D9F" w:rsidRDefault="00C070BC">
      <w:pPr>
        <w:pBdr>
          <w:top w:val="nil"/>
          <w:left w:val="nil"/>
          <w:bottom w:val="nil"/>
          <w:right w:val="nil"/>
          <w:between w:val="nil"/>
        </w:pBdr>
        <w:spacing w:before="80"/>
        <w:ind w:left="567"/>
        <w:jc w:val="both"/>
        <w:rPr>
          <w:color w:val="000000"/>
          <w:sz w:val="20"/>
          <w:szCs w:val="20"/>
        </w:rPr>
      </w:pPr>
      <w:r w:rsidRPr="007D7D9F">
        <w:rPr>
          <w:color w:val="000000"/>
          <w:sz w:val="20"/>
          <w:szCs w:val="20"/>
        </w:rPr>
        <w:t xml:space="preserve">c. De aquella información adicional </w:t>
      </w:r>
      <w:r w:rsidR="00120F2E" w:rsidRPr="007D7D9F">
        <w:rPr>
          <w:color w:val="000000"/>
          <w:sz w:val="20"/>
          <w:szCs w:val="20"/>
        </w:rPr>
        <w:t xml:space="preserve">que el estudiante deba obtener </w:t>
      </w:r>
      <w:r w:rsidRPr="007D7D9F">
        <w:rPr>
          <w:color w:val="000000"/>
          <w:sz w:val="20"/>
          <w:szCs w:val="20"/>
        </w:rPr>
        <w:t>a partir de la bibliografía o de otras fuentes que acceda por su cuenta.</w:t>
      </w:r>
    </w:p>
    <w:p w14:paraId="1470C2A8" w14:textId="77777777" w:rsidR="004311F1" w:rsidRPr="007D7D9F" w:rsidRDefault="00C070BC">
      <w:pPr>
        <w:pBdr>
          <w:top w:val="nil"/>
          <w:left w:val="nil"/>
          <w:bottom w:val="nil"/>
          <w:right w:val="nil"/>
          <w:between w:val="nil"/>
        </w:pBdr>
        <w:spacing w:before="80"/>
        <w:jc w:val="both"/>
        <w:rPr>
          <w:color w:val="000000"/>
          <w:sz w:val="20"/>
          <w:szCs w:val="20"/>
        </w:rPr>
      </w:pPr>
      <w:r w:rsidRPr="007D7D9F">
        <w:rPr>
          <w:color w:val="000000"/>
          <w:sz w:val="20"/>
          <w:szCs w:val="20"/>
        </w:rPr>
        <w:t>4. Compartir dudas o sugerencias mediante el foro y / o el buzón del profesor.</w:t>
      </w:r>
    </w:p>
    <w:p w14:paraId="44E86CA4" w14:textId="77777777" w:rsidR="004311F1" w:rsidRPr="007D7D9F" w:rsidRDefault="004311F1">
      <w:pPr>
        <w:pBdr>
          <w:top w:val="nil"/>
          <w:left w:val="nil"/>
          <w:bottom w:val="nil"/>
          <w:right w:val="nil"/>
          <w:between w:val="nil"/>
        </w:pBdr>
        <w:spacing w:before="80"/>
        <w:jc w:val="both"/>
        <w:rPr>
          <w:color w:val="000000"/>
          <w:sz w:val="20"/>
          <w:szCs w:val="20"/>
        </w:rPr>
      </w:pPr>
    </w:p>
    <w:p w14:paraId="239C9F9B" w14:textId="77777777" w:rsidR="004311F1" w:rsidRPr="007D7D9F" w:rsidRDefault="00C070BC">
      <w:pPr>
        <w:pBdr>
          <w:top w:val="nil"/>
          <w:left w:val="nil"/>
          <w:bottom w:val="nil"/>
          <w:right w:val="nil"/>
          <w:between w:val="nil"/>
        </w:pBdr>
        <w:spacing w:before="80" w:after="80"/>
        <w:jc w:val="both"/>
        <w:rPr>
          <w:b/>
          <w:color w:val="0051BA"/>
        </w:rPr>
      </w:pPr>
      <w:r w:rsidRPr="007D7D9F">
        <w:rPr>
          <w:b/>
          <w:color w:val="0051BA"/>
        </w:rPr>
        <w:t>Recursos</w:t>
      </w:r>
    </w:p>
    <w:p w14:paraId="4AA3B07C" w14:textId="77777777" w:rsidR="004311F1" w:rsidRPr="007D7D9F" w:rsidRDefault="00C070BC">
      <w:pPr>
        <w:pBdr>
          <w:top w:val="nil"/>
          <w:left w:val="nil"/>
          <w:bottom w:val="nil"/>
          <w:right w:val="nil"/>
          <w:between w:val="nil"/>
        </w:pBdr>
        <w:spacing w:before="80"/>
        <w:jc w:val="both"/>
        <w:rPr>
          <w:b/>
          <w:color w:val="0051BA"/>
          <w:sz w:val="20"/>
          <w:szCs w:val="20"/>
        </w:rPr>
      </w:pPr>
      <w:r w:rsidRPr="007D7D9F">
        <w:rPr>
          <w:color w:val="000000"/>
          <w:sz w:val="20"/>
          <w:szCs w:val="20"/>
        </w:rPr>
        <w:t xml:space="preserve">Los recursos básicos para desarrollar esta PEC son los recursos de aprendizaje asociados al Reto 4 que se encuentran en el aula. La utilización de recursos complementarios puede ser necesaria en función de las necesidades del estudiante. En la Guía de Aprendizaje y en el espacio del aula </w:t>
      </w:r>
      <w:r w:rsidRPr="007D7D9F">
        <w:rPr>
          <w:i/>
          <w:color w:val="000000"/>
          <w:sz w:val="20"/>
          <w:szCs w:val="20"/>
        </w:rPr>
        <w:t>Contenidos</w:t>
      </w:r>
      <w:r w:rsidRPr="007D7D9F">
        <w:rPr>
          <w:color w:val="000000"/>
          <w:sz w:val="20"/>
          <w:szCs w:val="20"/>
        </w:rPr>
        <w:t xml:space="preserve"> el estudiante encontrará el acceso a la bibliografía recomendada, a otras fuentes de información y herramientas de soporte adicional. En el caso de utilizar fuentes externas es imprescindible referenciarlas adecuadamente.</w:t>
      </w:r>
    </w:p>
    <w:p w14:paraId="04B66136" w14:textId="77777777" w:rsidR="004311F1" w:rsidRPr="007D7D9F" w:rsidRDefault="004311F1">
      <w:pPr>
        <w:pBdr>
          <w:top w:val="nil"/>
          <w:left w:val="nil"/>
          <w:bottom w:val="nil"/>
          <w:right w:val="nil"/>
          <w:between w:val="nil"/>
        </w:pBdr>
        <w:spacing w:before="80"/>
        <w:jc w:val="both"/>
        <w:rPr>
          <w:color w:val="000000"/>
          <w:sz w:val="20"/>
          <w:szCs w:val="20"/>
        </w:rPr>
      </w:pPr>
    </w:p>
    <w:p w14:paraId="63BC1820" w14:textId="77777777" w:rsidR="004311F1" w:rsidRPr="007D7D9F" w:rsidRDefault="004311F1">
      <w:pPr>
        <w:pBdr>
          <w:top w:val="nil"/>
          <w:left w:val="nil"/>
          <w:bottom w:val="nil"/>
          <w:right w:val="nil"/>
          <w:between w:val="nil"/>
        </w:pBdr>
        <w:spacing w:before="80" w:after="80"/>
        <w:jc w:val="both"/>
        <w:rPr>
          <w:b/>
          <w:color w:val="0051BA"/>
          <w:sz w:val="20"/>
          <w:szCs w:val="20"/>
        </w:rPr>
      </w:pPr>
    </w:p>
    <w:p w14:paraId="41F676B7" w14:textId="77777777" w:rsidR="004311F1" w:rsidRPr="007D7D9F" w:rsidRDefault="00C070BC">
      <w:pPr>
        <w:pBdr>
          <w:top w:val="nil"/>
          <w:left w:val="nil"/>
          <w:bottom w:val="nil"/>
          <w:right w:val="nil"/>
          <w:between w:val="nil"/>
        </w:pBdr>
        <w:spacing w:before="80" w:after="80"/>
        <w:jc w:val="both"/>
        <w:rPr>
          <w:b/>
          <w:color w:val="0051BA"/>
        </w:rPr>
      </w:pPr>
      <w:r w:rsidRPr="007D7D9F">
        <w:rPr>
          <w:b/>
          <w:color w:val="0051BA"/>
        </w:rPr>
        <w:lastRenderedPageBreak/>
        <w:t>Criterios de valoración</w:t>
      </w:r>
    </w:p>
    <w:p w14:paraId="27352452" w14:textId="77777777" w:rsidR="004311F1" w:rsidRPr="007D7D9F" w:rsidRDefault="00C070BC">
      <w:pPr>
        <w:pBdr>
          <w:top w:val="nil"/>
          <w:left w:val="nil"/>
          <w:bottom w:val="nil"/>
          <w:right w:val="nil"/>
          <w:between w:val="nil"/>
        </w:pBdr>
        <w:spacing w:before="80"/>
        <w:jc w:val="both"/>
        <w:rPr>
          <w:color w:val="000000"/>
          <w:sz w:val="20"/>
          <w:szCs w:val="20"/>
        </w:rPr>
      </w:pPr>
      <w:r w:rsidRPr="007D7D9F">
        <w:rPr>
          <w:color w:val="000000"/>
          <w:sz w:val="20"/>
          <w:szCs w:val="20"/>
        </w:rPr>
        <w:t>La puntuación de cada pregunta se indica en cada enunciado. Se valorará principalmente la corrección de las respuestas, la capacidad de razonamiento o de justificación, y la capacidad de síntesis, así como la consecución de los objetivos y competencias de la asignatura con relación a esta PEC; pero también la corrección formal de las respuestas y, si aplica, su claridad discursiva o de desarrollo.</w:t>
      </w:r>
    </w:p>
    <w:p w14:paraId="69A6F24F" w14:textId="77777777" w:rsidR="00E908CA" w:rsidRPr="007D7D9F" w:rsidRDefault="00E908CA">
      <w:pPr>
        <w:pBdr>
          <w:top w:val="nil"/>
          <w:left w:val="nil"/>
          <w:bottom w:val="nil"/>
          <w:right w:val="nil"/>
          <w:between w:val="nil"/>
        </w:pBdr>
        <w:spacing w:before="80"/>
        <w:jc w:val="both"/>
        <w:rPr>
          <w:color w:val="000000"/>
          <w:sz w:val="20"/>
          <w:szCs w:val="20"/>
        </w:rPr>
      </w:pPr>
    </w:p>
    <w:p w14:paraId="3CBF2F76" w14:textId="77777777" w:rsidR="004311F1" w:rsidRPr="007D7D9F" w:rsidRDefault="00C070BC">
      <w:pPr>
        <w:pBdr>
          <w:top w:val="nil"/>
          <w:left w:val="nil"/>
          <w:bottom w:val="nil"/>
          <w:right w:val="nil"/>
          <w:between w:val="nil"/>
        </w:pBdr>
        <w:spacing w:before="80" w:after="80"/>
        <w:jc w:val="both"/>
        <w:rPr>
          <w:b/>
          <w:color w:val="0051BA"/>
        </w:rPr>
      </w:pPr>
      <w:r w:rsidRPr="007D7D9F">
        <w:rPr>
          <w:b/>
          <w:color w:val="0051BA"/>
        </w:rPr>
        <w:t>Formato y fecha de entrega</w:t>
      </w:r>
    </w:p>
    <w:p w14:paraId="0D8C9B43" w14:textId="77777777" w:rsidR="004311F1" w:rsidRPr="007D7D9F" w:rsidRDefault="00C070BC">
      <w:pPr>
        <w:pBdr>
          <w:top w:val="nil"/>
          <w:left w:val="nil"/>
          <w:bottom w:val="nil"/>
          <w:right w:val="nil"/>
          <w:between w:val="nil"/>
        </w:pBdr>
        <w:jc w:val="both"/>
        <w:rPr>
          <w:color w:val="000000"/>
          <w:sz w:val="20"/>
          <w:szCs w:val="20"/>
        </w:rPr>
      </w:pPr>
      <w:r w:rsidRPr="007D7D9F">
        <w:rPr>
          <w:color w:val="000000"/>
          <w:sz w:val="20"/>
          <w:szCs w:val="20"/>
        </w:rPr>
        <w:t>La entrega de las respuestas debe realizarse en la pestaña del aula denominada Entrega de Actividades, en un fichero o conjunto de ficheros .</w:t>
      </w:r>
      <w:proofErr w:type="spellStart"/>
      <w:r w:rsidRPr="007D7D9F">
        <w:rPr>
          <w:color w:val="000000"/>
          <w:sz w:val="20"/>
          <w:szCs w:val="20"/>
        </w:rPr>
        <w:t>pdf</w:t>
      </w:r>
      <w:proofErr w:type="spellEnd"/>
      <w:r w:rsidRPr="007D7D9F">
        <w:rPr>
          <w:color w:val="000000"/>
          <w:sz w:val="20"/>
          <w:szCs w:val="20"/>
        </w:rPr>
        <w:t>, .</w:t>
      </w:r>
      <w:proofErr w:type="spellStart"/>
      <w:r w:rsidRPr="007D7D9F">
        <w:rPr>
          <w:color w:val="000000"/>
          <w:sz w:val="20"/>
          <w:szCs w:val="20"/>
        </w:rPr>
        <w:t>doc</w:t>
      </w:r>
      <w:proofErr w:type="spellEnd"/>
      <w:r w:rsidRPr="007D7D9F">
        <w:rPr>
          <w:color w:val="000000"/>
          <w:sz w:val="20"/>
          <w:szCs w:val="20"/>
        </w:rPr>
        <w:t>, .</w:t>
      </w:r>
      <w:proofErr w:type="spellStart"/>
      <w:r w:rsidRPr="007D7D9F">
        <w:rPr>
          <w:color w:val="000000"/>
          <w:sz w:val="20"/>
          <w:szCs w:val="20"/>
        </w:rPr>
        <w:t>rtf</w:t>
      </w:r>
      <w:proofErr w:type="spellEnd"/>
      <w:r w:rsidRPr="007D7D9F">
        <w:rPr>
          <w:color w:val="000000"/>
          <w:sz w:val="20"/>
          <w:szCs w:val="20"/>
        </w:rPr>
        <w:t xml:space="preserve">, </w:t>
      </w:r>
      <w:proofErr w:type="gramStart"/>
      <w:r w:rsidRPr="007D7D9F">
        <w:rPr>
          <w:color w:val="000000"/>
          <w:sz w:val="20"/>
          <w:szCs w:val="20"/>
        </w:rPr>
        <w:t>o .</w:t>
      </w:r>
      <w:proofErr w:type="spellStart"/>
      <w:r w:rsidRPr="007D7D9F">
        <w:rPr>
          <w:color w:val="000000"/>
          <w:sz w:val="20"/>
          <w:szCs w:val="20"/>
        </w:rPr>
        <w:t>odt</w:t>
      </w:r>
      <w:proofErr w:type="spellEnd"/>
      <w:proofErr w:type="gramEnd"/>
      <w:r w:rsidRPr="007D7D9F">
        <w:rPr>
          <w:color w:val="000000"/>
          <w:sz w:val="20"/>
          <w:szCs w:val="20"/>
        </w:rPr>
        <w:t>. No es necesario que dicho archivo contenga los enunciados. Al pie de página escribís vuestro nombre completo y el número total de páginas que contiene la respuesta.</w:t>
      </w:r>
    </w:p>
    <w:p w14:paraId="662D0133" w14:textId="77777777" w:rsidR="004311F1" w:rsidRPr="007D7D9F" w:rsidRDefault="004311F1">
      <w:pPr>
        <w:pBdr>
          <w:top w:val="nil"/>
          <w:left w:val="nil"/>
          <w:bottom w:val="nil"/>
          <w:right w:val="nil"/>
          <w:between w:val="nil"/>
        </w:pBdr>
        <w:jc w:val="both"/>
        <w:rPr>
          <w:color w:val="000000"/>
          <w:sz w:val="20"/>
          <w:szCs w:val="20"/>
        </w:rPr>
      </w:pPr>
    </w:p>
    <w:p w14:paraId="6793F3A4" w14:textId="77777777" w:rsidR="004311F1" w:rsidRPr="007D7D9F" w:rsidRDefault="00C070BC">
      <w:pPr>
        <w:pBdr>
          <w:top w:val="nil"/>
          <w:left w:val="nil"/>
          <w:bottom w:val="nil"/>
          <w:right w:val="nil"/>
          <w:between w:val="nil"/>
        </w:pBdr>
        <w:jc w:val="both"/>
        <w:rPr>
          <w:color w:val="000000"/>
          <w:sz w:val="20"/>
          <w:szCs w:val="20"/>
        </w:rPr>
      </w:pPr>
      <w:r w:rsidRPr="007D7D9F">
        <w:rPr>
          <w:color w:val="000000"/>
          <w:sz w:val="20"/>
          <w:szCs w:val="20"/>
        </w:rPr>
        <w:t>El nombre del fichero es irrelevante porque el Registro de Evaluación Continuada lo asigna automáticamente.</w:t>
      </w:r>
    </w:p>
    <w:p w14:paraId="31F6CCEB" w14:textId="77777777" w:rsidR="004311F1" w:rsidRPr="007D7D9F" w:rsidRDefault="004311F1">
      <w:pPr>
        <w:pBdr>
          <w:top w:val="nil"/>
          <w:left w:val="nil"/>
          <w:bottom w:val="nil"/>
          <w:right w:val="nil"/>
          <w:between w:val="nil"/>
        </w:pBdr>
        <w:spacing w:before="80"/>
        <w:jc w:val="both"/>
        <w:rPr>
          <w:color w:val="000000"/>
          <w:sz w:val="20"/>
          <w:szCs w:val="20"/>
        </w:rPr>
      </w:pPr>
    </w:p>
    <w:p w14:paraId="64203440" w14:textId="3455B029" w:rsidR="004311F1" w:rsidRPr="007D7D9F" w:rsidRDefault="00C070BC">
      <w:pPr>
        <w:pBdr>
          <w:top w:val="nil"/>
          <w:left w:val="nil"/>
          <w:bottom w:val="nil"/>
          <w:right w:val="nil"/>
          <w:between w:val="nil"/>
        </w:pBdr>
        <w:spacing w:before="80"/>
        <w:jc w:val="both"/>
        <w:rPr>
          <w:b/>
          <w:color w:val="000000"/>
          <w:sz w:val="20"/>
          <w:szCs w:val="20"/>
        </w:rPr>
      </w:pPr>
      <w:r w:rsidRPr="007D7D9F">
        <w:rPr>
          <w:b/>
          <w:color w:val="000000"/>
          <w:sz w:val="20"/>
          <w:szCs w:val="20"/>
        </w:rPr>
        <w:t>La fecha límite de e</w:t>
      </w:r>
      <w:r w:rsidR="00697A81">
        <w:rPr>
          <w:b/>
          <w:color w:val="000000"/>
          <w:sz w:val="20"/>
          <w:szCs w:val="20"/>
        </w:rPr>
        <w:t>ntrega son las 24 horas del día 27</w:t>
      </w:r>
      <w:r w:rsidR="00243245" w:rsidRPr="007D7D9F">
        <w:rPr>
          <w:b/>
          <w:color w:val="000000"/>
          <w:sz w:val="20"/>
          <w:szCs w:val="20"/>
        </w:rPr>
        <w:t xml:space="preserve"> de diciembre</w:t>
      </w:r>
      <w:r w:rsidR="00E908CA" w:rsidRPr="007D7D9F">
        <w:rPr>
          <w:b/>
          <w:color w:val="000000"/>
          <w:sz w:val="20"/>
          <w:szCs w:val="20"/>
        </w:rPr>
        <w:t xml:space="preserve"> de 2024</w:t>
      </w:r>
      <w:r w:rsidRPr="007D7D9F">
        <w:rPr>
          <w:b/>
          <w:color w:val="000000"/>
          <w:sz w:val="20"/>
          <w:szCs w:val="20"/>
        </w:rPr>
        <w:t xml:space="preserve">. </w:t>
      </w:r>
    </w:p>
    <w:p w14:paraId="42817622" w14:textId="3A6A84ED" w:rsidR="004311F1" w:rsidRPr="007D7D9F" w:rsidRDefault="00C070BC">
      <w:pPr>
        <w:pBdr>
          <w:top w:val="nil"/>
          <w:left w:val="nil"/>
          <w:bottom w:val="nil"/>
          <w:right w:val="nil"/>
          <w:between w:val="nil"/>
        </w:pBdr>
        <w:spacing w:before="80"/>
        <w:jc w:val="both"/>
        <w:rPr>
          <w:color w:val="000000"/>
          <w:sz w:val="20"/>
          <w:szCs w:val="20"/>
        </w:rPr>
      </w:pPr>
      <w:r w:rsidRPr="007D7D9F">
        <w:rPr>
          <w:color w:val="000000"/>
          <w:sz w:val="20"/>
          <w:szCs w:val="20"/>
        </w:rPr>
        <w:t xml:space="preserve">Las soluciones de la PEC4 aparecerán en el aula el día </w:t>
      </w:r>
      <w:r w:rsidR="00243245" w:rsidRPr="007D7D9F">
        <w:rPr>
          <w:color w:val="000000"/>
          <w:sz w:val="20"/>
          <w:szCs w:val="20"/>
        </w:rPr>
        <w:t>30 de diciembre</w:t>
      </w:r>
      <w:r w:rsidRPr="007D7D9F">
        <w:rPr>
          <w:color w:val="000000"/>
          <w:sz w:val="20"/>
          <w:szCs w:val="20"/>
        </w:rPr>
        <w:t xml:space="preserve"> de 2024.</w:t>
      </w:r>
    </w:p>
    <w:p w14:paraId="7B9DCBFE" w14:textId="77777777" w:rsidR="004311F1" w:rsidRPr="007D7D9F" w:rsidRDefault="004311F1">
      <w:pPr>
        <w:pBdr>
          <w:top w:val="nil"/>
          <w:left w:val="nil"/>
          <w:bottom w:val="nil"/>
          <w:right w:val="nil"/>
          <w:between w:val="nil"/>
        </w:pBdr>
        <w:spacing w:before="80"/>
        <w:jc w:val="both"/>
        <w:rPr>
          <w:color w:val="FF0000"/>
          <w:sz w:val="20"/>
          <w:szCs w:val="20"/>
        </w:rPr>
      </w:pPr>
    </w:p>
    <w:p w14:paraId="6FA7C0B6" w14:textId="77777777" w:rsidR="004311F1" w:rsidRPr="007D7D9F" w:rsidRDefault="00C070BC">
      <w:pPr>
        <w:pBdr>
          <w:top w:val="nil"/>
          <w:left w:val="nil"/>
          <w:bottom w:val="nil"/>
          <w:right w:val="nil"/>
          <w:between w:val="nil"/>
        </w:pBdr>
        <w:spacing w:before="80" w:after="80"/>
        <w:jc w:val="both"/>
        <w:rPr>
          <w:b/>
          <w:color w:val="0051BA"/>
        </w:rPr>
      </w:pPr>
      <w:r w:rsidRPr="007D7D9F">
        <w:rPr>
          <w:b/>
          <w:color w:val="0051BA"/>
        </w:rPr>
        <w:t xml:space="preserve">Enunciado de la PEC </w:t>
      </w:r>
    </w:p>
    <w:p w14:paraId="1199069F" w14:textId="77777777" w:rsidR="004311F1" w:rsidRPr="007D7D9F" w:rsidRDefault="004311F1">
      <w:pPr>
        <w:pBdr>
          <w:top w:val="nil"/>
          <w:left w:val="nil"/>
          <w:bottom w:val="nil"/>
          <w:right w:val="nil"/>
          <w:between w:val="nil"/>
        </w:pBdr>
        <w:spacing w:before="80" w:after="80"/>
        <w:jc w:val="both"/>
        <w:rPr>
          <w:b/>
          <w:color w:val="000000"/>
          <w:sz w:val="20"/>
          <w:szCs w:val="20"/>
        </w:rPr>
      </w:pPr>
    </w:p>
    <w:tbl>
      <w:tblPr>
        <w:tblStyle w:val="a"/>
        <w:tblW w:w="962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29"/>
      </w:tblGrid>
      <w:tr w:rsidR="004311F1" w:rsidRPr="007D7D9F" w14:paraId="2AEF94B1" w14:textId="77777777">
        <w:tc>
          <w:tcPr>
            <w:tcW w:w="9629" w:type="dxa"/>
          </w:tcPr>
          <w:p w14:paraId="369FC905" w14:textId="77777777" w:rsidR="004311F1" w:rsidRPr="007D7D9F" w:rsidRDefault="00C070BC">
            <w:pPr>
              <w:pBdr>
                <w:top w:val="nil"/>
                <w:left w:val="nil"/>
                <w:bottom w:val="nil"/>
                <w:right w:val="nil"/>
                <w:between w:val="nil"/>
              </w:pBdr>
              <w:jc w:val="both"/>
              <w:rPr>
                <w:rFonts w:ascii="Arial" w:eastAsia="Arial" w:hAnsi="Arial" w:cs="Arial"/>
                <w:sz w:val="18"/>
                <w:szCs w:val="18"/>
              </w:rPr>
            </w:pPr>
            <w:r w:rsidRPr="007D7D9F">
              <w:rPr>
                <w:rFonts w:ascii="Arial" w:eastAsia="Arial" w:hAnsi="Arial" w:cs="Arial"/>
                <w:sz w:val="18"/>
                <w:szCs w:val="18"/>
              </w:rPr>
              <w:t xml:space="preserve">Recuerda que la capacidad de razonamiento y de síntesis se tendrán en cuenta en la valoración de las cuestiones planteadas. </w:t>
            </w:r>
          </w:p>
        </w:tc>
      </w:tr>
    </w:tbl>
    <w:p w14:paraId="442815E7" w14:textId="77777777" w:rsidR="004311F1" w:rsidRPr="007D7D9F" w:rsidRDefault="004311F1">
      <w:pPr>
        <w:pBdr>
          <w:top w:val="nil"/>
          <w:left w:val="nil"/>
          <w:bottom w:val="nil"/>
          <w:right w:val="nil"/>
          <w:between w:val="nil"/>
        </w:pBdr>
        <w:jc w:val="both"/>
        <w:rPr>
          <w:color w:val="000000"/>
          <w:sz w:val="20"/>
          <w:szCs w:val="20"/>
        </w:rPr>
      </w:pPr>
    </w:p>
    <w:p w14:paraId="50DD2352" w14:textId="77777777" w:rsidR="004311F1" w:rsidRPr="007D7D9F" w:rsidRDefault="004311F1">
      <w:pPr>
        <w:pBdr>
          <w:top w:val="nil"/>
          <w:left w:val="nil"/>
          <w:bottom w:val="nil"/>
          <w:right w:val="nil"/>
          <w:between w:val="nil"/>
        </w:pBdr>
        <w:jc w:val="both"/>
        <w:rPr>
          <w:color w:val="FF0000"/>
          <w:sz w:val="20"/>
          <w:szCs w:val="20"/>
          <w:highlight w:val="white"/>
        </w:rPr>
      </w:pPr>
    </w:p>
    <w:p w14:paraId="1760A471" w14:textId="5E53CFF3" w:rsidR="005B2BBD" w:rsidRPr="007D7D9F" w:rsidRDefault="005B2BBD" w:rsidP="005B2BBD">
      <w:pPr>
        <w:spacing w:before="79" w:after="79" w:line="240" w:lineRule="auto"/>
        <w:jc w:val="both"/>
        <w:rPr>
          <w:rFonts w:eastAsia="Times New Roman"/>
          <w:color w:val="auto"/>
          <w:sz w:val="24"/>
          <w:szCs w:val="24"/>
        </w:rPr>
      </w:pPr>
      <w:r w:rsidRPr="007D7D9F">
        <w:rPr>
          <w:b/>
          <w:bCs/>
          <w:color w:val="auto"/>
          <w:sz w:val="24"/>
          <w:szCs w:val="24"/>
          <w:u w:val="single"/>
        </w:rPr>
        <w:t xml:space="preserve">PREGUNTAS TEÓRICAS (3 puntos) </w:t>
      </w:r>
      <w:r w:rsidRPr="007D7D9F">
        <w:rPr>
          <w:b/>
          <w:color w:val="000000"/>
          <w:u w:val="single"/>
        </w:rPr>
        <w:t>No está permitido el uso de la IA.</w:t>
      </w:r>
    </w:p>
    <w:p w14:paraId="71913819" w14:textId="77777777" w:rsidR="005B2BBD" w:rsidRPr="007D7D9F" w:rsidRDefault="005B2BBD" w:rsidP="005B2BBD">
      <w:pPr>
        <w:spacing w:before="79" w:after="79" w:line="240" w:lineRule="auto"/>
        <w:jc w:val="both"/>
        <w:rPr>
          <w:rFonts w:eastAsia="Times New Roman"/>
          <w:b/>
          <w:bCs/>
          <w:color w:val="auto"/>
          <w:sz w:val="20"/>
          <w:szCs w:val="20"/>
          <w:u w:val="single"/>
          <w:shd w:val="clear" w:color="auto" w:fill="FFFFFF"/>
        </w:rPr>
      </w:pPr>
    </w:p>
    <w:p w14:paraId="67D4485B" w14:textId="00F20C13" w:rsidR="00E45AC8" w:rsidRPr="007D7D9F" w:rsidRDefault="00A541A7" w:rsidP="00E45AC8">
      <w:pPr>
        <w:spacing w:before="79" w:after="79" w:line="240" w:lineRule="auto"/>
        <w:jc w:val="both"/>
        <w:rPr>
          <w:b/>
          <w:color w:val="000000"/>
          <w:sz w:val="20"/>
          <w:szCs w:val="20"/>
          <w:u w:val="single"/>
        </w:rPr>
      </w:pPr>
      <w:r w:rsidRPr="007D7D9F">
        <w:rPr>
          <w:b/>
          <w:bCs/>
          <w:color w:val="auto"/>
          <w:sz w:val="20"/>
          <w:szCs w:val="20"/>
          <w:u w:val="single"/>
          <w:shd w:val="clear" w:color="auto" w:fill="FFFFFF"/>
        </w:rPr>
        <w:t>PREGUNTA 1 (3</w:t>
      </w:r>
      <w:r w:rsidR="00E45AC8" w:rsidRPr="007D7D9F">
        <w:rPr>
          <w:b/>
          <w:bCs/>
          <w:color w:val="auto"/>
          <w:sz w:val="20"/>
          <w:szCs w:val="20"/>
          <w:u w:val="single"/>
          <w:shd w:val="clear" w:color="auto" w:fill="FFFFFF"/>
        </w:rPr>
        <w:t xml:space="preserve"> punto</w:t>
      </w:r>
      <w:r w:rsidRPr="007D7D9F">
        <w:rPr>
          <w:b/>
          <w:bCs/>
          <w:color w:val="auto"/>
          <w:sz w:val="20"/>
          <w:szCs w:val="20"/>
          <w:u w:val="single"/>
          <w:shd w:val="clear" w:color="auto" w:fill="FFFFFF"/>
        </w:rPr>
        <w:t>s</w:t>
      </w:r>
      <w:r w:rsidR="00E45AC8" w:rsidRPr="007D7D9F">
        <w:rPr>
          <w:b/>
          <w:bCs/>
          <w:color w:val="auto"/>
          <w:sz w:val="20"/>
          <w:szCs w:val="20"/>
          <w:u w:val="single"/>
          <w:shd w:val="clear" w:color="auto" w:fill="FFFFFF"/>
        </w:rPr>
        <w:t xml:space="preserve">) </w:t>
      </w:r>
      <w:r w:rsidR="00E45AC8" w:rsidRPr="007D7D9F">
        <w:rPr>
          <w:b/>
          <w:color w:val="000000"/>
          <w:sz w:val="20"/>
          <w:szCs w:val="20"/>
          <w:u w:val="single"/>
        </w:rPr>
        <w:t>No está permitido el uso de la IA.</w:t>
      </w:r>
    </w:p>
    <w:p w14:paraId="59FE458F" w14:textId="77777777" w:rsidR="00243245" w:rsidRPr="007D7D9F" w:rsidRDefault="00243245" w:rsidP="00E45AC8">
      <w:pPr>
        <w:jc w:val="both"/>
        <w:rPr>
          <w:rFonts w:eastAsia="Times New Roman"/>
          <w:color w:val="auto"/>
          <w:sz w:val="20"/>
          <w:szCs w:val="20"/>
        </w:rPr>
      </w:pPr>
    </w:p>
    <w:p w14:paraId="2537C350" w14:textId="06A66718" w:rsidR="00243245" w:rsidRPr="007D7D9F" w:rsidRDefault="00243245" w:rsidP="00E45AC8">
      <w:pPr>
        <w:jc w:val="both"/>
        <w:rPr>
          <w:color w:val="auto"/>
          <w:sz w:val="20"/>
          <w:szCs w:val="20"/>
        </w:rPr>
      </w:pPr>
      <w:r w:rsidRPr="007D7D9F">
        <w:rPr>
          <w:color w:val="auto"/>
          <w:sz w:val="20"/>
          <w:szCs w:val="20"/>
        </w:rPr>
        <w:t xml:space="preserve">A partir de la información del enlace </w:t>
      </w:r>
      <w:hyperlink r:id="rId8" w:history="1">
        <w:r w:rsidRPr="007D7D9F">
          <w:rPr>
            <w:rStyle w:val="Hipervnculo"/>
            <w:sz w:val="20"/>
            <w:szCs w:val="20"/>
          </w:rPr>
          <w:t>https://www.incibe.es/incibe-cert/sectores-estrategicos/FAQNIS2</w:t>
        </w:r>
      </w:hyperlink>
      <w:r w:rsidRPr="007D7D9F">
        <w:rPr>
          <w:color w:val="auto"/>
          <w:sz w:val="20"/>
          <w:szCs w:val="20"/>
        </w:rPr>
        <w:t>, responde a las siguientes cuestiones sobre la nueva directiva europea NIS2 d</w:t>
      </w:r>
      <w:r w:rsidR="001A01F8" w:rsidRPr="007D7D9F">
        <w:rPr>
          <w:color w:val="auto"/>
          <w:sz w:val="20"/>
          <w:szCs w:val="20"/>
        </w:rPr>
        <w:t>e ciberseguridad:</w:t>
      </w:r>
      <w:r w:rsidRPr="007D7D9F">
        <w:rPr>
          <w:color w:val="auto"/>
          <w:sz w:val="20"/>
          <w:szCs w:val="20"/>
        </w:rPr>
        <w:t xml:space="preserve"> </w:t>
      </w:r>
    </w:p>
    <w:p w14:paraId="779019AE" w14:textId="77777777" w:rsidR="00243245" w:rsidRPr="007D7D9F" w:rsidRDefault="00243245" w:rsidP="00E45AC8">
      <w:pPr>
        <w:jc w:val="both"/>
        <w:rPr>
          <w:color w:val="auto"/>
          <w:sz w:val="20"/>
          <w:szCs w:val="20"/>
        </w:rPr>
      </w:pPr>
    </w:p>
    <w:p w14:paraId="648BD126" w14:textId="41428356" w:rsidR="00E45AC8" w:rsidRPr="007D7D9F" w:rsidRDefault="00243245" w:rsidP="00E45AC8">
      <w:pPr>
        <w:jc w:val="both"/>
        <w:rPr>
          <w:color w:val="auto"/>
          <w:sz w:val="20"/>
          <w:szCs w:val="20"/>
        </w:rPr>
      </w:pPr>
      <w:r w:rsidRPr="007D7D9F">
        <w:rPr>
          <w:color w:val="auto"/>
          <w:sz w:val="20"/>
          <w:szCs w:val="20"/>
        </w:rPr>
        <w:t>1.- ¿Qué es NIS2 y cuándo entra en vigor?</w:t>
      </w:r>
      <w:r w:rsidR="00983711" w:rsidRPr="007D7D9F">
        <w:rPr>
          <w:color w:val="auto"/>
          <w:sz w:val="20"/>
          <w:szCs w:val="20"/>
        </w:rPr>
        <w:t xml:space="preserve"> ¿El incumplimiento de NIS2 podría incurrir en sanciones?</w:t>
      </w:r>
      <w:r w:rsidRPr="007D7D9F">
        <w:rPr>
          <w:color w:val="auto"/>
          <w:sz w:val="20"/>
          <w:szCs w:val="20"/>
        </w:rPr>
        <w:t xml:space="preserve"> </w:t>
      </w:r>
      <w:r w:rsidR="00983711" w:rsidRPr="007D7D9F">
        <w:rPr>
          <w:color w:val="auto"/>
          <w:sz w:val="20"/>
          <w:szCs w:val="20"/>
        </w:rPr>
        <w:t>(0,6</w:t>
      </w:r>
      <w:r w:rsidR="00E45AC8" w:rsidRPr="007D7D9F">
        <w:rPr>
          <w:color w:val="auto"/>
          <w:sz w:val="20"/>
          <w:szCs w:val="20"/>
        </w:rPr>
        <w:t xml:space="preserve"> puntos)</w:t>
      </w:r>
    </w:p>
    <w:p w14:paraId="61F61812" w14:textId="77777777" w:rsidR="00243245" w:rsidRPr="007D7D9F" w:rsidRDefault="00243245" w:rsidP="00243245">
      <w:pPr>
        <w:spacing w:before="79" w:after="79" w:line="240" w:lineRule="auto"/>
        <w:jc w:val="both"/>
        <w:rPr>
          <w:color w:val="0070C0"/>
          <w:sz w:val="20"/>
          <w:szCs w:val="20"/>
        </w:rPr>
      </w:pPr>
      <w:r w:rsidRPr="007D7D9F">
        <w:rPr>
          <w:color w:val="0070C0"/>
          <w:sz w:val="20"/>
          <w:szCs w:val="20"/>
        </w:rPr>
        <w:t>La continua evolución de las amenazas cibernéticas ha dado origen a nuevos desafíos, poniendo de manifiesto ciertas limitaciones que dificultan abordar de manera eficaz los retos actuales y emergentes en el ámbito de la ciberseguridad. Esta realidad ha impulsado la necesidad de revisar y actualizar la legislación europea vigente en materia de ciberseguridad. En este contexto, la Directiva NIS1 de 2016 (UE 2016/1148), a pesar de haber sido un pilar esencial, estableciendo un marco normativo de medidas destinadas a garantizar un alto nivel de seguridad de las redes y sistemas de información en la Unión Europea, ha ido quedando obsoleta con el tiempo, resultando imperativo la pronta elaboración de un nuevo texto normativo que abordase de manera integral todas las amenazas emergentes en el ámbito de la ciberseguridad.</w:t>
      </w:r>
    </w:p>
    <w:p w14:paraId="416BD65F" w14:textId="45A6F04D" w:rsidR="00E45AC8" w:rsidRPr="007D7D9F" w:rsidRDefault="00243245" w:rsidP="00243245">
      <w:pPr>
        <w:spacing w:before="79" w:after="79" w:line="240" w:lineRule="auto"/>
        <w:jc w:val="both"/>
        <w:rPr>
          <w:color w:val="auto"/>
          <w:sz w:val="20"/>
          <w:szCs w:val="20"/>
        </w:rPr>
      </w:pPr>
      <w:r w:rsidRPr="007D7D9F">
        <w:rPr>
          <w:b/>
          <w:color w:val="0070C0"/>
          <w:sz w:val="20"/>
          <w:szCs w:val="20"/>
        </w:rPr>
        <w:t xml:space="preserve">La Directiva NIS2 (Directiva (UE) 2022/2555) surge como respuesta a esa necesidad de actualización y fortalecimiento de las medidas establecidas en la Directiva NIS1, erigiéndose como un marco normativo estratégico para abordar los retos actuales en materia de ciberseguridad en el marco de la Unión Europea. </w:t>
      </w:r>
      <w:r w:rsidRPr="007D7D9F">
        <w:rPr>
          <w:color w:val="0070C0"/>
          <w:sz w:val="20"/>
          <w:szCs w:val="20"/>
        </w:rPr>
        <w:t xml:space="preserve">Es por ello por lo que se procede a la actualización y derogación de la Directiva NIS1, cuya trasposición en nuestro ordenamiento jurídico se materializó mediante el Real Decreto-Ley 12/2018, de 7 de </w:t>
      </w:r>
      <w:r w:rsidRPr="007D7D9F">
        <w:rPr>
          <w:color w:val="0070C0"/>
          <w:sz w:val="20"/>
          <w:szCs w:val="20"/>
        </w:rPr>
        <w:lastRenderedPageBreak/>
        <w:t>septiembre, de seguridad de las redes y sistemas de información y su normativa de desarrollo, el Real Decreto 43/2021, de 26 de enero, por el que se desarrolla el Real Decreto-ley 12/2018, de 7 de septiembre</w:t>
      </w:r>
      <w:r w:rsidRPr="007D7D9F">
        <w:rPr>
          <w:color w:val="auto"/>
          <w:sz w:val="20"/>
          <w:szCs w:val="20"/>
        </w:rPr>
        <w:t>.</w:t>
      </w:r>
    </w:p>
    <w:p w14:paraId="476DC39F" w14:textId="11CD517F" w:rsidR="00243245" w:rsidRPr="007D7D9F" w:rsidRDefault="00243245" w:rsidP="00243245">
      <w:pPr>
        <w:spacing w:before="79" w:after="79" w:line="240" w:lineRule="auto"/>
        <w:jc w:val="both"/>
        <w:rPr>
          <w:color w:val="0070C0"/>
          <w:sz w:val="20"/>
          <w:szCs w:val="20"/>
        </w:rPr>
      </w:pPr>
      <w:r w:rsidRPr="007D7D9F">
        <w:rPr>
          <w:b/>
          <w:color w:val="0070C0"/>
          <w:sz w:val="20"/>
          <w:szCs w:val="20"/>
        </w:rPr>
        <w:t>La Directiva NIS 2 fue aprobada formalmente en noviembre de 2022, publicándose en el Diario Oficial de la UE (DOUE) el 27 de diciembre de 2022, y entró en vigor el 16 de enero de 2023</w:t>
      </w:r>
      <w:r w:rsidRPr="007D7D9F">
        <w:rPr>
          <w:color w:val="0070C0"/>
          <w:sz w:val="20"/>
          <w:szCs w:val="20"/>
        </w:rPr>
        <w:t>, 20 días después de su publicación en el DOUE.</w:t>
      </w:r>
    </w:p>
    <w:p w14:paraId="305DA126" w14:textId="6F6606B0" w:rsidR="00243245" w:rsidRPr="007D7D9F" w:rsidRDefault="00243245" w:rsidP="00243245">
      <w:pPr>
        <w:spacing w:before="79" w:after="79" w:line="240" w:lineRule="auto"/>
        <w:jc w:val="both"/>
        <w:rPr>
          <w:color w:val="0070C0"/>
          <w:sz w:val="20"/>
          <w:szCs w:val="20"/>
        </w:rPr>
      </w:pPr>
      <w:r w:rsidRPr="007D7D9F">
        <w:rPr>
          <w:color w:val="0070C0"/>
          <w:sz w:val="20"/>
          <w:szCs w:val="20"/>
        </w:rPr>
        <w:t>Los Estados miembros deberán adoptar y publicar las medidas necesarias para dar cumplimiento a lo establecido en la Directiva antes del 17 de octubre de 2024, comunicando de manera inmediata el texto de dichas disposiciones, las cuales resultarán de aplicación a partir del 18 de octubre de 2024.</w:t>
      </w:r>
    </w:p>
    <w:p w14:paraId="381B7E8E" w14:textId="514EACCF" w:rsidR="00983711" w:rsidRPr="007D7D9F" w:rsidRDefault="00983711" w:rsidP="00243245">
      <w:pPr>
        <w:spacing w:before="79" w:after="79" w:line="240" w:lineRule="auto"/>
        <w:jc w:val="both"/>
        <w:rPr>
          <w:b/>
          <w:color w:val="0070C0"/>
          <w:sz w:val="20"/>
          <w:szCs w:val="20"/>
        </w:rPr>
      </w:pPr>
      <w:r w:rsidRPr="007D7D9F">
        <w:rPr>
          <w:b/>
          <w:color w:val="0070C0"/>
          <w:sz w:val="20"/>
          <w:szCs w:val="20"/>
        </w:rPr>
        <w:t>Por otra parte, la Directiva NIS2 endurece las sanciones en caso de incumplimientos.</w:t>
      </w:r>
    </w:p>
    <w:p w14:paraId="5163E9ED" w14:textId="77777777" w:rsidR="00243245" w:rsidRPr="007D7D9F" w:rsidRDefault="00243245" w:rsidP="00243245">
      <w:pPr>
        <w:spacing w:before="79" w:after="79" w:line="240" w:lineRule="auto"/>
        <w:jc w:val="both"/>
        <w:rPr>
          <w:rFonts w:eastAsia="Times New Roman"/>
          <w:b/>
          <w:bCs/>
          <w:color w:val="auto"/>
          <w:sz w:val="20"/>
          <w:szCs w:val="20"/>
          <w:u w:val="single"/>
          <w:shd w:val="clear" w:color="auto" w:fill="FFFFFF"/>
        </w:rPr>
      </w:pPr>
    </w:p>
    <w:p w14:paraId="15E07A4D" w14:textId="1A0FF5C1" w:rsidR="00E45AC8" w:rsidRPr="007D7D9F" w:rsidRDefault="00E45AC8" w:rsidP="00E45AC8">
      <w:pPr>
        <w:jc w:val="both"/>
        <w:rPr>
          <w:color w:val="auto"/>
          <w:sz w:val="20"/>
          <w:szCs w:val="20"/>
        </w:rPr>
      </w:pPr>
      <w:r w:rsidRPr="007D7D9F">
        <w:rPr>
          <w:color w:val="auto"/>
          <w:sz w:val="20"/>
          <w:szCs w:val="20"/>
        </w:rPr>
        <w:t>2. ¿</w:t>
      </w:r>
      <w:r w:rsidR="001A01F8" w:rsidRPr="007D7D9F">
        <w:rPr>
          <w:color w:val="auto"/>
          <w:sz w:val="20"/>
          <w:szCs w:val="20"/>
        </w:rPr>
        <w:t xml:space="preserve">Aplicaría </w:t>
      </w:r>
      <w:r w:rsidR="007D7D9F" w:rsidRPr="007D7D9F">
        <w:rPr>
          <w:color w:val="auto"/>
          <w:sz w:val="20"/>
          <w:szCs w:val="20"/>
        </w:rPr>
        <w:t xml:space="preserve">NIS2 </w:t>
      </w:r>
      <w:r w:rsidR="001A01F8" w:rsidRPr="007D7D9F">
        <w:rPr>
          <w:color w:val="auto"/>
          <w:sz w:val="20"/>
          <w:szCs w:val="20"/>
        </w:rPr>
        <w:t xml:space="preserve">a una empresa Data Center con servicios de </w:t>
      </w:r>
      <w:proofErr w:type="spellStart"/>
      <w:r w:rsidR="001A01F8" w:rsidRPr="007D7D9F">
        <w:rPr>
          <w:color w:val="auto"/>
          <w:sz w:val="20"/>
          <w:szCs w:val="20"/>
        </w:rPr>
        <w:t>IaaS</w:t>
      </w:r>
      <w:proofErr w:type="spellEnd"/>
      <w:r w:rsidR="001A01F8" w:rsidRPr="007D7D9F">
        <w:rPr>
          <w:color w:val="auto"/>
          <w:sz w:val="20"/>
          <w:szCs w:val="20"/>
        </w:rPr>
        <w:t xml:space="preserve"> formada por 60 personas con una facturación de 65 millones de euros</w:t>
      </w:r>
      <w:r w:rsidR="00983711" w:rsidRPr="007D7D9F">
        <w:rPr>
          <w:color w:val="auto"/>
          <w:sz w:val="20"/>
          <w:szCs w:val="20"/>
        </w:rPr>
        <w:t>? (0.6</w:t>
      </w:r>
      <w:r w:rsidRPr="007D7D9F">
        <w:rPr>
          <w:color w:val="auto"/>
          <w:sz w:val="20"/>
          <w:szCs w:val="20"/>
        </w:rPr>
        <w:t xml:space="preserve"> puntos)</w:t>
      </w:r>
    </w:p>
    <w:p w14:paraId="79F58822" w14:textId="75876C23" w:rsidR="00243245" w:rsidRPr="007D7D9F" w:rsidRDefault="00243245" w:rsidP="00243245">
      <w:pPr>
        <w:spacing w:before="79" w:after="79" w:line="240" w:lineRule="auto"/>
        <w:jc w:val="both"/>
        <w:rPr>
          <w:color w:val="0070C0"/>
          <w:sz w:val="20"/>
          <w:szCs w:val="20"/>
        </w:rPr>
      </w:pPr>
      <w:r w:rsidRPr="007D7D9F">
        <w:rPr>
          <w:color w:val="0070C0"/>
          <w:sz w:val="20"/>
          <w:szCs w:val="20"/>
        </w:rPr>
        <w:t>La directiva aplica a medianas y grandes empresas, ya sean públicas o privadas, de los sectores de alta criticidad y otros sectores críticos indicados en sus anexos I y II, respectivamente, que presten sus servicios o lleven a cabo sus actividades en la Unión Europea.</w:t>
      </w:r>
    </w:p>
    <w:p w14:paraId="20DBAFB3" w14:textId="77777777" w:rsidR="00243245" w:rsidRPr="007D7D9F" w:rsidRDefault="00243245" w:rsidP="00243245">
      <w:pPr>
        <w:spacing w:before="79" w:after="79" w:line="240" w:lineRule="auto"/>
        <w:jc w:val="both"/>
        <w:rPr>
          <w:color w:val="0070C0"/>
          <w:sz w:val="20"/>
          <w:szCs w:val="20"/>
        </w:rPr>
      </w:pPr>
      <w:r w:rsidRPr="007D7D9F">
        <w:rPr>
          <w:color w:val="0070C0"/>
          <w:sz w:val="20"/>
          <w:szCs w:val="20"/>
        </w:rPr>
        <w:t>De cara a valorar si una empresa es considerada como microempresa, pequeña, mediana o gran empresa, se debe atender a lo expuesto en la Recomendación 2003/361/CE que cita la NIS2, y que define dichas categorías de la siguiente manera:</w:t>
      </w:r>
    </w:p>
    <w:p w14:paraId="667EFF78" w14:textId="77777777" w:rsidR="00243245" w:rsidRPr="007D7D9F" w:rsidRDefault="00243245" w:rsidP="00243245">
      <w:pPr>
        <w:pStyle w:val="Prrafodelista"/>
        <w:numPr>
          <w:ilvl w:val="0"/>
          <w:numId w:val="22"/>
        </w:numPr>
        <w:spacing w:before="79" w:after="79" w:line="240" w:lineRule="auto"/>
        <w:jc w:val="both"/>
        <w:rPr>
          <w:color w:val="0070C0"/>
          <w:lang w:val="es-ES_tradnl"/>
        </w:rPr>
      </w:pPr>
      <w:r w:rsidRPr="007D7D9F">
        <w:rPr>
          <w:color w:val="0070C0"/>
          <w:lang w:val="es-ES_tradnl"/>
        </w:rPr>
        <w:t>Microempresa: empresa que ocupa a menos de 10 personas y cuyo volumen de negocios anual o cuyo balance general anual no supera los 2 millones de euros.</w:t>
      </w:r>
    </w:p>
    <w:p w14:paraId="311B926F" w14:textId="77777777" w:rsidR="00243245" w:rsidRPr="007D7D9F" w:rsidRDefault="00243245" w:rsidP="00243245">
      <w:pPr>
        <w:pStyle w:val="Prrafodelista"/>
        <w:numPr>
          <w:ilvl w:val="0"/>
          <w:numId w:val="22"/>
        </w:numPr>
        <w:spacing w:before="79" w:after="79" w:line="240" w:lineRule="auto"/>
        <w:jc w:val="both"/>
        <w:rPr>
          <w:color w:val="0070C0"/>
          <w:lang w:val="es-ES_tradnl"/>
        </w:rPr>
      </w:pPr>
      <w:r w:rsidRPr="007D7D9F">
        <w:rPr>
          <w:color w:val="0070C0"/>
          <w:lang w:val="es-ES_tradnl"/>
        </w:rPr>
        <w:t>Pequeña empresa: empresa que ocupa a menos de 50 personas y cuyo volumen de negocios anual o cuyo balance general anual no supera los 10 millones de euros.</w:t>
      </w:r>
    </w:p>
    <w:p w14:paraId="09CD7F20" w14:textId="77777777" w:rsidR="00243245" w:rsidRPr="007D7D9F" w:rsidRDefault="00243245" w:rsidP="00243245">
      <w:pPr>
        <w:pStyle w:val="Prrafodelista"/>
        <w:numPr>
          <w:ilvl w:val="0"/>
          <w:numId w:val="22"/>
        </w:numPr>
        <w:spacing w:before="79" w:after="79" w:line="240" w:lineRule="auto"/>
        <w:jc w:val="both"/>
        <w:rPr>
          <w:color w:val="0070C0"/>
          <w:lang w:val="es-ES_tradnl"/>
        </w:rPr>
      </w:pPr>
      <w:r w:rsidRPr="007D7D9F">
        <w:rPr>
          <w:color w:val="0070C0"/>
          <w:lang w:val="es-ES_tradnl"/>
        </w:rPr>
        <w:t>Mediana empresa: empresa que ocupa entre 50 y 250 personas y cuyo volumen de negocios anual no excede de 50 millones de euros o cuyo balance general anual no excede de 43 millones de euros.</w:t>
      </w:r>
    </w:p>
    <w:p w14:paraId="2B929716" w14:textId="77777777" w:rsidR="00243245" w:rsidRPr="007D7D9F" w:rsidRDefault="00243245" w:rsidP="00243245">
      <w:pPr>
        <w:pStyle w:val="Prrafodelista"/>
        <w:numPr>
          <w:ilvl w:val="0"/>
          <w:numId w:val="22"/>
        </w:numPr>
        <w:spacing w:before="79" w:after="79" w:line="240" w:lineRule="auto"/>
        <w:jc w:val="both"/>
        <w:rPr>
          <w:color w:val="0070C0"/>
          <w:lang w:val="es-ES_tradnl"/>
        </w:rPr>
      </w:pPr>
      <w:r w:rsidRPr="007D7D9F">
        <w:rPr>
          <w:color w:val="0070C0"/>
          <w:lang w:val="es-ES_tradnl"/>
        </w:rPr>
        <w:t>Gran empresa: empresa que ocupa más de 250 personas y cuyo volumen de negocios anual o cuyo balance general anual sea superior a 43 millones de euros.</w:t>
      </w:r>
    </w:p>
    <w:p w14:paraId="272C4C25" w14:textId="77777777" w:rsidR="001A01F8" w:rsidRPr="007D7D9F" w:rsidRDefault="001A01F8" w:rsidP="00243245">
      <w:pPr>
        <w:spacing w:before="79" w:after="79" w:line="240" w:lineRule="auto"/>
        <w:jc w:val="both"/>
        <w:rPr>
          <w:color w:val="0070C0"/>
          <w:sz w:val="20"/>
          <w:szCs w:val="20"/>
        </w:rPr>
      </w:pPr>
      <w:r w:rsidRPr="007D7D9F">
        <w:rPr>
          <w:color w:val="0070C0"/>
          <w:sz w:val="20"/>
          <w:szCs w:val="20"/>
        </w:rPr>
        <w:t>En NIS2 se amplían las entidades del sector de infraestructura digital, incluyendo proveedores de redes de servicios de computación en la nube.</w:t>
      </w:r>
    </w:p>
    <w:p w14:paraId="1B2704DF" w14:textId="6C554DEB" w:rsidR="001A01F8" w:rsidRPr="007D7D9F" w:rsidRDefault="001A01F8" w:rsidP="00243245">
      <w:pPr>
        <w:spacing w:before="79" w:after="79" w:line="240" w:lineRule="auto"/>
        <w:jc w:val="both"/>
        <w:rPr>
          <w:b/>
          <w:color w:val="0070C0"/>
          <w:sz w:val="20"/>
          <w:szCs w:val="20"/>
        </w:rPr>
      </w:pPr>
      <w:r w:rsidRPr="007D7D9F">
        <w:rPr>
          <w:b/>
          <w:color w:val="0070C0"/>
          <w:sz w:val="20"/>
          <w:szCs w:val="20"/>
        </w:rPr>
        <w:t xml:space="preserve">En nuestro caso podría aplicar porque se trataría de una empresa mediana perteneciente al sector de infraestructura digital, que incluye proveedores de redes de servicios de computación en la nube. </w:t>
      </w:r>
    </w:p>
    <w:p w14:paraId="1F9B2D0E" w14:textId="2BDEE5D8" w:rsidR="0009302A" w:rsidRPr="007D7D9F" w:rsidRDefault="0009302A" w:rsidP="00243245">
      <w:pPr>
        <w:spacing w:before="79" w:after="79" w:line="240" w:lineRule="auto"/>
        <w:jc w:val="both"/>
        <w:rPr>
          <w:b/>
          <w:color w:val="0070C0"/>
          <w:sz w:val="20"/>
          <w:szCs w:val="20"/>
        </w:rPr>
      </w:pPr>
    </w:p>
    <w:p w14:paraId="17958C46" w14:textId="4DA2BE89" w:rsidR="0009302A" w:rsidRPr="007D7D9F" w:rsidRDefault="007D7D9F" w:rsidP="005B2BBD">
      <w:pPr>
        <w:spacing w:before="79" w:after="79" w:line="240" w:lineRule="auto"/>
        <w:jc w:val="both"/>
        <w:rPr>
          <w:color w:val="auto"/>
          <w:sz w:val="20"/>
          <w:szCs w:val="20"/>
        </w:rPr>
      </w:pPr>
      <w:r>
        <w:rPr>
          <w:color w:val="auto"/>
          <w:sz w:val="20"/>
          <w:szCs w:val="20"/>
        </w:rPr>
        <w:t>3</w:t>
      </w:r>
      <w:r w:rsidR="0009302A" w:rsidRPr="007D7D9F">
        <w:rPr>
          <w:color w:val="auto"/>
          <w:sz w:val="20"/>
          <w:szCs w:val="20"/>
        </w:rPr>
        <w:t>.- ¿La aplicación de la Directiva NIS2 es la misma para las entidades esenciales y para las entidades importantes?</w:t>
      </w:r>
      <w:r w:rsidR="00EF76C0" w:rsidRPr="007D7D9F">
        <w:t xml:space="preserve"> </w:t>
      </w:r>
      <w:r w:rsidR="00EF76C0" w:rsidRPr="007D7D9F">
        <w:rPr>
          <w:color w:val="auto"/>
          <w:sz w:val="20"/>
          <w:szCs w:val="20"/>
        </w:rPr>
        <w:t>(0.6 puntos)</w:t>
      </w:r>
    </w:p>
    <w:p w14:paraId="5BCD3F8D" w14:textId="1B2DECBD" w:rsidR="0009302A" w:rsidRPr="007D7D9F" w:rsidRDefault="0009302A" w:rsidP="0009302A">
      <w:pPr>
        <w:spacing w:before="79" w:after="79" w:line="240" w:lineRule="auto"/>
        <w:jc w:val="both"/>
        <w:rPr>
          <w:color w:val="0070C0"/>
          <w:sz w:val="20"/>
          <w:szCs w:val="20"/>
        </w:rPr>
      </w:pPr>
      <w:r w:rsidRPr="007D7D9F">
        <w:rPr>
          <w:color w:val="0070C0"/>
          <w:sz w:val="20"/>
          <w:szCs w:val="20"/>
        </w:rPr>
        <w:t xml:space="preserve">La Directiva NIS2, a efectos de cumplimiento de las medidas de gestión de riesgos, distingue entre entidades esenciales e importantes, en función del grado de criticidad de sus sectores o del tipo de servicio que prestan, así como de su tamaño. </w:t>
      </w:r>
    </w:p>
    <w:p w14:paraId="1EFF55BA" w14:textId="77777777" w:rsidR="0009302A" w:rsidRPr="007D7D9F" w:rsidRDefault="0009302A" w:rsidP="0009302A">
      <w:pPr>
        <w:spacing w:before="79" w:after="79" w:line="240" w:lineRule="auto"/>
        <w:jc w:val="both"/>
        <w:rPr>
          <w:color w:val="0070C0"/>
          <w:sz w:val="20"/>
          <w:szCs w:val="20"/>
        </w:rPr>
      </w:pPr>
      <w:r w:rsidRPr="007D7D9F">
        <w:rPr>
          <w:color w:val="0070C0"/>
          <w:sz w:val="20"/>
          <w:szCs w:val="20"/>
        </w:rPr>
        <w:t>Se consideran entidades esenciales:</w:t>
      </w:r>
    </w:p>
    <w:p w14:paraId="44FD9DD2" w14:textId="77777777" w:rsidR="0009302A" w:rsidRPr="007D7D9F" w:rsidRDefault="0009302A" w:rsidP="0009302A">
      <w:pPr>
        <w:pStyle w:val="Prrafodelista"/>
        <w:numPr>
          <w:ilvl w:val="0"/>
          <w:numId w:val="24"/>
        </w:numPr>
        <w:spacing w:before="79" w:after="79" w:line="240" w:lineRule="auto"/>
        <w:jc w:val="both"/>
        <w:rPr>
          <w:color w:val="0070C0"/>
          <w:lang w:val="es-ES_tradnl"/>
        </w:rPr>
      </w:pPr>
      <w:r w:rsidRPr="007D7D9F">
        <w:rPr>
          <w:color w:val="0070C0"/>
          <w:lang w:val="es-ES_tradnl"/>
        </w:rPr>
        <w:t>Grandes empresas de los sectores de alta criticidad del anexo I.</w:t>
      </w:r>
    </w:p>
    <w:p w14:paraId="509C57AE" w14:textId="77777777" w:rsidR="0009302A" w:rsidRPr="007D7D9F" w:rsidRDefault="0009302A" w:rsidP="0009302A">
      <w:pPr>
        <w:pStyle w:val="Prrafodelista"/>
        <w:numPr>
          <w:ilvl w:val="0"/>
          <w:numId w:val="24"/>
        </w:numPr>
        <w:spacing w:before="79" w:after="79" w:line="240" w:lineRule="auto"/>
        <w:jc w:val="both"/>
        <w:rPr>
          <w:color w:val="0070C0"/>
          <w:lang w:val="es-ES_tradnl"/>
        </w:rPr>
      </w:pPr>
      <w:r w:rsidRPr="007D7D9F">
        <w:rPr>
          <w:color w:val="0070C0"/>
          <w:lang w:val="es-ES_tradnl"/>
        </w:rPr>
        <w:t>Independientemente de su tamaño, los prestadores cualificados de servicios de confianza y registros de nombres de dominio de primer nivel y los proveedores de servicios de DNS.</w:t>
      </w:r>
    </w:p>
    <w:p w14:paraId="18DC989D" w14:textId="77777777" w:rsidR="0009302A" w:rsidRPr="007D7D9F" w:rsidRDefault="0009302A" w:rsidP="0009302A">
      <w:pPr>
        <w:pStyle w:val="Prrafodelista"/>
        <w:numPr>
          <w:ilvl w:val="0"/>
          <w:numId w:val="24"/>
        </w:numPr>
        <w:spacing w:before="79" w:after="79" w:line="240" w:lineRule="auto"/>
        <w:jc w:val="both"/>
        <w:rPr>
          <w:color w:val="0070C0"/>
          <w:lang w:val="es-ES_tradnl"/>
        </w:rPr>
      </w:pPr>
      <w:r w:rsidRPr="007D7D9F">
        <w:rPr>
          <w:color w:val="0070C0"/>
          <w:lang w:val="es-ES_tradnl"/>
        </w:rPr>
        <w:t>Medianas empresas proveedoras de redes públicas de comunicaciones electrónicas o de servicios de comunicaciones electrónicas disponibles para el público.</w:t>
      </w:r>
    </w:p>
    <w:p w14:paraId="4D1608DB" w14:textId="78BD6A4B" w:rsidR="00983711" w:rsidRDefault="0009302A" w:rsidP="0009302A">
      <w:pPr>
        <w:spacing w:before="79" w:after="79" w:line="240" w:lineRule="auto"/>
        <w:jc w:val="both"/>
        <w:rPr>
          <w:color w:val="0070C0"/>
          <w:sz w:val="20"/>
          <w:szCs w:val="20"/>
        </w:rPr>
      </w:pPr>
      <w:r w:rsidRPr="007D7D9F">
        <w:rPr>
          <w:color w:val="0070C0"/>
          <w:sz w:val="20"/>
          <w:szCs w:val="20"/>
        </w:rPr>
        <w:t>Se consideran entidades importantes todas aquellas de uno de los tipos mencionados en los anexos I o II que no puedan considerarse entidades esenciales.</w:t>
      </w:r>
    </w:p>
    <w:p w14:paraId="15A3BA35" w14:textId="49F1E05D" w:rsidR="007D7D9F" w:rsidRDefault="007D7D9F" w:rsidP="0009302A">
      <w:pPr>
        <w:spacing w:before="79" w:after="79" w:line="240" w:lineRule="auto"/>
        <w:jc w:val="both"/>
        <w:rPr>
          <w:color w:val="0070C0"/>
          <w:sz w:val="20"/>
          <w:szCs w:val="20"/>
        </w:rPr>
      </w:pPr>
    </w:p>
    <w:p w14:paraId="54DC0A27" w14:textId="6B54724E" w:rsidR="007D7D9F" w:rsidRPr="007D7D9F" w:rsidRDefault="007D7D9F" w:rsidP="007D7D9F">
      <w:pPr>
        <w:jc w:val="both"/>
        <w:rPr>
          <w:color w:val="auto"/>
          <w:sz w:val="20"/>
          <w:szCs w:val="20"/>
        </w:rPr>
      </w:pPr>
      <w:r>
        <w:rPr>
          <w:color w:val="auto"/>
          <w:sz w:val="20"/>
          <w:szCs w:val="20"/>
        </w:rPr>
        <w:t>4</w:t>
      </w:r>
      <w:r w:rsidRPr="007D7D9F">
        <w:rPr>
          <w:color w:val="auto"/>
          <w:sz w:val="20"/>
          <w:szCs w:val="20"/>
        </w:rPr>
        <w:t>. ¿Hay algún caso en el que a una pequeña empresa le aplicaría NIS2? (0.6 puntos)</w:t>
      </w:r>
    </w:p>
    <w:p w14:paraId="187E5941" w14:textId="77777777" w:rsidR="007D7D9F" w:rsidRPr="007D7D9F" w:rsidRDefault="007D7D9F" w:rsidP="007D7D9F">
      <w:pPr>
        <w:spacing w:before="79" w:after="79" w:line="240" w:lineRule="auto"/>
        <w:jc w:val="both"/>
        <w:rPr>
          <w:color w:val="0070C0"/>
          <w:sz w:val="20"/>
          <w:szCs w:val="20"/>
        </w:rPr>
      </w:pPr>
      <w:r w:rsidRPr="007D7D9F">
        <w:rPr>
          <w:color w:val="0070C0"/>
          <w:sz w:val="20"/>
          <w:szCs w:val="20"/>
        </w:rPr>
        <w:t>Un Estado miembro puede identificar a una entidad, independientemente de su tamaño, como esencial o importante cuando:</w:t>
      </w:r>
    </w:p>
    <w:p w14:paraId="4232D959" w14:textId="77777777" w:rsidR="007D7D9F" w:rsidRPr="007D7D9F" w:rsidRDefault="007D7D9F" w:rsidP="007D7D9F">
      <w:pPr>
        <w:pStyle w:val="Prrafodelista"/>
        <w:numPr>
          <w:ilvl w:val="0"/>
          <w:numId w:val="22"/>
        </w:numPr>
        <w:spacing w:before="79" w:after="79" w:line="240" w:lineRule="auto"/>
        <w:jc w:val="both"/>
        <w:rPr>
          <w:color w:val="0070C0"/>
          <w:lang w:val="es-ES_tradnl"/>
        </w:rPr>
      </w:pPr>
      <w:r w:rsidRPr="007D7D9F">
        <w:rPr>
          <w:color w:val="0070C0"/>
          <w:lang w:val="es-ES_tradnl"/>
        </w:rPr>
        <w:lastRenderedPageBreak/>
        <w:t>La entidad sea el único proveedor en un Estado miembro de un servicio esencial para el mantenimiento de actividades sociales o económicas críticas.</w:t>
      </w:r>
    </w:p>
    <w:p w14:paraId="33C8F0CB" w14:textId="77777777" w:rsidR="007D7D9F" w:rsidRPr="007D7D9F" w:rsidRDefault="007D7D9F" w:rsidP="007D7D9F">
      <w:pPr>
        <w:pStyle w:val="Prrafodelista"/>
        <w:numPr>
          <w:ilvl w:val="0"/>
          <w:numId w:val="22"/>
        </w:numPr>
        <w:spacing w:before="79" w:after="79" w:line="240" w:lineRule="auto"/>
        <w:jc w:val="both"/>
        <w:rPr>
          <w:color w:val="0070C0"/>
          <w:lang w:val="es-ES_tradnl"/>
        </w:rPr>
      </w:pPr>
      <w:r w:rsidRPr="007D7D9F">
        <w:rPr>
          <w:color w:val="0070C0"/>
          <w:lang w:val="es-ES_tradnl"/>
        </w:rPr>
        <w:t>Una perturbación del servicio prestado por la entidad pudiera tener repercusiones significativas sobre la seguridad pública, el orden público o la salud pública.</w:t>
      </w:r>
    </w:p>
    <w:p w14:paraId="3ECA5DD5" w14:textId="77777777" w:rsidR="007D7D9F" w:rsidRPr="007D7D9F" w:rsidRDefault="007D7D9F" w:rsidP="007D7D9F">
      <w:pPr>
        <w:pStyle w:val="Prrafodelista"/>
        <w:numPr>
          <w:ilvl w:val="0"/>
          <w:numId w:val="22"/>
        </w:numPr>
        <w:spacing w:before="79" w:after="79" w:line="240" w:lineRule="auto"/>
        <w:jc w:val="both"/>
        <w:rPr>
          <w:color w:val="0070C0"/>
          <w:lang w:val="es-ES_tradnl"/>
        </w:rPr>
      </w:pPr>
      <w:r w:rsidRPr="007D7D9F">
        <w:rPr>
          <w:color w:val="0070C0"/>
          <w:lang w:val="es-ES_tradnl"/>
        </w:rPr>
        <w:t>Una perturbación del servicio prestado por la entidad pudiera inducir riesgos sistémicos significativos, en particular para los sectores en los que tal perturbación podría tener repercusiones de carácter transfronterizo.</w:t>
      </w:r>
    </w:p>
    <w:p w14:paraId="747E9628" w14:textId="77777777" w:rsidR="007D7D9F" w:rsidRPr="007D7D9F" w:rsidRDefault="007D7D9F" w:rsidP="007D7D9F">
      <w:pPr>
        <w:spacing w:before="79" w:after="79" w:line="240" w:lineRule="auto"/>
        <w:jc w:val="both"/>
        <w:rPr>
          <w:b/>
          <w:color w:val="0070C0"/>
          <w:sz w:val="20"/>
          <w:szCs w:val="20"/>
        </w:rPr>
      </w:pPr>
      <w:r w:rsidRPr="007D7D9F">
        <w:rPr>
          <w:b/>
          <w:color w:val="0070C0"/>
          <w:sz w:val="20"/>
          <w:szCs w:val="20"/>
        </w:rPr>
        <w:t>Por tanto, una pequeña empresa podría tener que cumplir NIS2.</w:t>
      </w:r>
    </w:p>
    <w:p w14:paraId="5F3925F3" w14:textId="77777777" w:rsidR="007D7D9F" w:rsidRPr="007D7D9F" w:rsidRDefault="007D7D9F" w:rsidP="0009302A">
      <w:pPr>
        <w:spacing w:before="79" w:after="79" w:line="240" w:lineRule="auto"/>
        <w:jc w:val="both"/>
        <w:rPr>
          <w:color w:val="0070C0"/>
          <w:sz w:val="20"/>
          <w:szCs w:val="20"/>
        </w:rPr>
      </w:pPr>
    </w:p>
    <w:p w14:paraId="7C6D6C73" w14:textId="45D6CC91" w:rsidR="00EF76C0" w:rsidRPr="007D7D9F" w:rsidRDefault="00EF76C0" w:rsidP="00EF76C0">
      <w:pPr>
        <w:spacing w:before="79" w:after="79" w:line="240" w:lineRule="auto"/>
        <w:jc w:val="both"/>
        <w:rPr>
          <w:color w:val="auto"/>
          <w:sz w:val="20"/>
          <w:szCs w:val="20"/>
        </w:rPr>
      </w:pPr>
      <w:r w:rsidRPr="007D7D9F">
        <w:rPr>
          <w:color w:val="auto"/>
          <w:sz w:val="20"/>
          <w:szCs w:val="20"/>
        </w:rPr>
        <w:t>5.- ¿A qué está obligada una empresa que le afecta NIS2 (0,6 puntos)</w:t>
      </w:r>
    </w:p>
    <w:p w14:paraId="58DC52C8" w14:textId="6B5D33D3" w:rsidR="005B2BBD" w:rsidRPr="007D7D9F" w:rsidRDefault="00EF76C0">
      <w:pPr>
        <w:pBdr>
          <w:top w:val="nil"/>
          <w:left w:val="nil"/>
          <w:bottom w:val="nil"/>
          <w:right w:val="nil"/>
          <w:between w:val="nil"/>
        </w:pBdr>
        <w:jc w:val="both"/>
        <w:rPr>
          <w:b/>
          <w:color w:val="0070C0"/>
          <w:sz w:val="20"/>
          <w:szCs w:val="20"/>
        </w:rPr>
      </w:pPr>
      <w:r w:rsidRPr="007D7D9F">
        <w:rPr>
          <w:color w:val="0070C0"/>
          <w:sz w:val="20"/>
          <w:szCs w:val="20"/>
        </w:rPr>
        <w:t xml:space="preserve">Todas las entidades dentro del ámbito de aplicación de la directiva deberán aplicar las medidas para la </w:t>
      </w:r>
      <w:r w:rsidRPr="007D7D9F">
        <w:rPr>
          <w:b/>
          <w:color w:val="0070C0"/>
          <w:sz w:val="20"/>
          <w:szCs w:val="20"/>
        </w:rPr>
        <w:t>gestión de riesgos de ciberseguridad</w:t>
      </w:r>
      <w:r w:rsidRPr="007D7D9F">
        <w:rPr>
          <w:color w:val="0070C0"/>
          <w:sz w:val="20"/>
          <w:szCs w:val="20"/>
        </w:rPr>
        <w:t xml:space="preserve">, así como cumplir con las obligaciones de </w:t>
      </w:r>
      <w:r w:rsidRPr="007D7D9F">
        <w:rPr>
          <w:b/>
          <w:color w:val="0070C0"/>
          <w:sz w:val="20"/>
          <w:szCs w:val="20"/>
        </w:rPr>
        <w:t>notificación de incidentes de ciberseguridad.</w:t>
      </w:r>
    </w:p>
    <w:p w14:paraId="719A2541" w14:textId="77777777" w:rsidR="00EF76C0" w:rsidRPr="007D7D9F" w:rsidRDefault="00EF76C0">
      <w:pPr>
        <w:pBdr>
          <w:top w:val="nil"/>
          <w:left w:val="nil"/>
          <w:bottom w:val="nil"/>
          <w:right w:val="nil"/>
          <w:between w:val="nil"/>
        </w:pBdr>
        <w:jc w:val="both"/>
        <w:rPr>
          <w:color w:val="FF0000"/>
          <w:sz w:val="20"/>
          <w:szCs w:val="20"/>
          <w:highlight w:val="white"/>
        </w:rPr>
      </w:pPr>
    </w:p>
    <w:p w14:paraId="4EA0E9EA" w14:textId="3FE222B2" w:rsidR="004311F1" w:rsidRPr="007D7D9F" w:rsidRDefault="00C070BC">
      <w:pPr>
        <w:pBdr>
          <w:top w:val="nil"/>
          <w:left w:val="nil"/>
          <w:bottom w:val="nil"/>
          <w:right w:val="nil"/>
          <w:between w:val="nil"/>
        </w:pBdr>
        <w:spacing w:before="80" w:after="80"/>
        <w:jc w:val="both"/>
        <w:rPr>
          <w:b/>
          <w:color w:val="000000"/>
          <w:u w:val="single"/>
        </w:rPr>
      </w:pPr>
      <w:r w:rsidRPr="007D7D9F">
        <w:rPr>
          <w:b/>
          <w:color w:val="000000"/>
          <w:u w:val="single"/>
        </w:rPr>
        <w:t>PREGUNTAS TEST (2 puntos: 0,5 puntos / pregunta)</w:t>
      </w:r>
      <w:r w:rsidR="00E908CA" w:rsidRPr="007D7D9F">
        <w:rPr>
          <w:b/>
          <w:color w:val="000000"/>
          <w:u w:val="single"/>
        </w:rPr>
        <w:t xml:space="preserve"> No está permitido el uso de la IA.</w:t>
      </w:r>
    </w:p>
    <w:tbl>
      <w:tblPr>
        <w:tblStyle w:val="a0"/>
        <w:tblW w:w="97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6"/>
      </w:tblGrid>
      <w:tr w:rsidR="004311F1" w:rsidRPr="007D7D9F" w14:paraId="76C473FA" w14:textId="77777777">
        <w:tc>
          <w:tcPr>
            <w:tcW w:w="9776" w:type="dxa"/>
          </w:tcPr>
          <w:p w14:paraId="0E3A89C8" w14:textId="77777777" w:rsidR="004311F1" w:rsidRPr="007D7D9F" w:rsidRDefault="00C070BC">
            <w:pPr>
              <w:jc w:val="both"/>
              <w:rPr>
                <w:rFonts w:ascii="Arial" w:eastAsia="Arial" w:hAnsi="Arial" w:cs="Arial"/>
                <w:sz w:val="18"/>
                <w:szCs w:val="18"/>
              </w:rPr>
            </w:pPr>
            <w:r w:rsidRPr="007D7D9F">
              <w:rPr>
                <w:rFonts w:ascii="Arial" w:eastAsia="Arial" w:hAnsi="Arial" w:cs="Arial"/>
                <w:sz w:val="18"/>
                <w:szCs w:val="18"/>
              </w:rPr>
              <w:t>Este test está formado por 4 preguntas en las que sólo hay una respuesta correcta. Intenta entender los conceptos y aspectos que se plantean para una mejor comprensión del contenido de los recursos docentes. Utiliza la tabla adjunta para indicar las respuestas.</w:t>
            </w:r>
          </w:p>
        </w:tc>
      </w:tr>
    </w:tbl>
    <w:p w14:paraId="69A2321B" w14:textId="77777777" w:rsidR="004311F1" w:rsidRPr="007D7D9F" w:rsidRDefault="004311F1">
      <w:pPr>
        <w:jc w:val="both"/>
        <w:rPr>
          <w:color w:val="FF0000"/>
          <w:sz w:val="20"/>
          <w:szCs w:val="20"/>
        </w:rPr>
      </w:pPr>
    </w:p>
    <w:p w14:paraId="0E69326B" w14:textId="77777777" w:rsidR="004311F1" w:rsidRPr="007D7D9F" w:rsidRDefault="004311F1">
      <w:pPr>
        <w:jc w:val="both"/>
        <w:rPr>
          <w:color w:val="FF0000"/>
          <w:sz w:val="20"/>
          <w:szCs w:val="20"/>
        </w:rPr>
      </w:pPr>
    </w:p>
    <w:tbl>
      <w:tblPr>
        <w:tblStyle w:val="a1"/>
        <w:tblW w:w="488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1"/>
        <w:gridCol w:w="1222"/>
        <w:gridCol w:w="1223"/>
        <w:gridCol w:w="1223"/>
      </w:tblGrid>
      <w:tr w:rsidR="004311F1" w:rsidRPr="007D7D9F" w14:paraId="4C9113A1" w14:textId="77777777">
        <w:trPr>
          <w:jc w:val="center"/>
        </w:trPr>
        <w:tc>
          <w:tcPr>
            <w:tcW w:w="1221" w:type="dxa"/>
            <w:vAlign w:val="center"/>
          </w:tcPr>
          <w:p w14:paraId="74BFE8F7" w14:textId="77777777" w:rsidR="004311F1" w:rsidRPr="007D7D9F" w:rsidRDefault="00C070BC">
            <w:pPr>
              <w:jc w:val="center"/>
            </w:pPr>
            <w:r w:rsidRPr="007D7D9F">
              <w:t>1</w:t>
            </w:r>
          </w:p>
        </w:tc>
        <w:tc>
          <w:tcPr>
            <w:tcW w:w="1222" w:type="dxa"/>
            <w:vAlign w:val="center"/>
          </w:tcPr>
          <w:p w14:paraId="0159517B" w14:textId="77777777" w:rsidR="004311F1" w:rsidRPr="007D7D9F" w:rsidRDefault="00C070BC">
            <w:pPr>
              <w:jc w:val="center"/>
            </w:pPr>
            <w:r w:rsidRPr="007D7D9F">
              <w:t>2</w:t>
            </w:r>
          </w:p>
        </w:tc>
        <w:tc>
          <w:tcPr>
            <w:tcW w:w="1223" w:type="dxa"/>
            <w:vAlign w:val="center"/>
          </w:tcPr>
          <w:p w14:paraId="5A979800" w14:textId="77777777" w:rsidR="004311F1" w:rsidRPr="007D7D9F" w:rsidRDefault="00C070BC">
            <w:pPr>
              <w:jc w:val="center"/>
            </w:pPr>
            <w:r w:rsidRPr="007D7D9F">
              <w:t>3</w:t>
            </w:r>
          </w:p>
        </w:tc>
        <w:tc>
          <w:tcPr>
            <w:tcW w:w="1223" w:type="dxa"/>
            <w:vAlign w:val="center"/>
          </w:tcPr>
          <w:p w14:paraId="04AF1A50" w14:textId="77777777" w:rsidR="004311F1" w:rsidRPr="007D7D9F" w:rsidRDefault="00C070BC">
            <w:pPr>
              <w:jc w:val="center"/>
            </w:pPr>
            <w:r w:rsidRPr="007D7D9F">
              <w:t>4</w:t>
            </w:r>
          </w:p>
        </w:tc>
      </w:tr>
      <w:tr w:rsidR="004311F1" w:rsidRPr="007D7D9F" w14:paraId="6DF11829" w14:textId="77777777">
        <w:trPr>
          <w:jc w:val="center"/>
        </w:trPr>
        <w:tc>
          <w:tcPr>
            <w:tcW w:w="1221" w:type="dxa"/>
          </w:tcPr>
          <w:p w14:paraId="74AAD38A" w14:textId="4D09D52E" w:rsidR="004311F1" w:rsidRPr="007D7D9F" w:rsidRDefault="009605A6">
            <w:pPr>
              <w:spacing w:line="360" w:lineRule="auto"/>
              <w:jc w:val="center"/>
              <w:rPr>
                <w:b/>
                <w:color w:val="4472C4"/>
              </w:rPr>
            </w:pPr>
            <w:r w:rsidRPr="007D7D9F">
              <w:rPr>
                <w:b/>
                <w:color w:val="4472C4"/>
              </w:rPr>
              <w:t>D</w:t>
            </w:r>
          </w:p>
        </w:tc>
        <w:tc>
          <w:tcPr>
            <w:tcW w:w="1222" w:type="dxa"/>
          </w:tcPr>
          <w:p w14:paraId="58823CFB" w14:textId="7C669993" w:rsidR="004311F1" w:rsidRPr="007D7D9F" w:rsidRDefault="00C070BC">
            <w:pPr>
              <w:spacing w:line="360" w:lineRule="auto"/>
              <w:jc w:val="center"/>
              <w:rPr>
                <w:b/>
                <w:color w:val="4472C4"/>
              </w:rPr>
            </w:pPr>
            <w:r w:rsidRPr="007D7D9F">
              <w:rPr>
                <w:b/>
                <w:color w:val="4472C4"/>
              </w:rPr>
              <w:t>C</w:t>
            </w:r>
            <w:r w:rsidR="00D833DA">
              <w:rPr>
                <w:b/>
                <w:color w:val="4472C4"/>
              </w:rPr>
              <w:t>/G</w:t>
            </w:r>
            <w:bookmarkStart w:id="1" w:name="_GoBack"/>
            <w:bookmarkEnd w:id="1"/>
          </w:p>
        </w:tc>
        <w:tc>
          <w:tcPr>
            <w:tcW w:w="1223" w:type="dxa"/>
          </w:tcPr>
          <w:p w14:paraId="176A6019" w14:textId="3A48544E" w:rsidR="004311F1" w:rsidRPr="007D7D9F" w:rsidRDefault="009605A6">
            <w:pPr>
              <w:spacing w:line="360" w:lineRule="auto"/>
              <w:jc w:val="center"/>
              <w:rPr>
                <w:b/>
                <w:color w:val="4472C4"/>
              </w:rPr>
            </w:pPr>
            <w:r w:rsidRPr="007D7D9F">
              <w:rPr>
                <w:b/>
                <w:color w:val="4472C4"/>
              </w:rPr>
              <w:t>B</w:t>
            </w:r>
          </w:p>
        </w:tc>
        <w:tc>
          <w:tcPr>
            <w:tcW w:w="1223" w:type="dxa"/>
          </w:tcPr>
          <w:p w14:paraId="66F55CAC" w14:textId="37560E3C" w:rsidR="004311F1" w:rsidRPr="007D7D9F" w:rsidRDefault="00354BA8">
            <w:pPr>
              <w:spacing w:line="360" w:lineRule="auto"/>
              <w:jc w:val="center"/>
              <w:rPr>
                <w:b/>
                <w:color w:val="4472C4"/>
              </w:rPr>
            </w:pPr>
            <w:r>
              <w:rPr>
                <w:b/>
                <w:color w:val="4472C4"/>
              </w:rPr>
              <w:t>D</w:t>
            </w:r>
          </w:p>
        </w:tc>
      </w:tr>
    </w:tbl>
    <w:p w14:paraId="5538C964" w14:textId="77777777" w:rsidR="004311F1" w:rsidRPr="007D7D9F" w:rsidRDefault="004311F1">
      <w:pPr>
        <w:spacing w:after="120"/>
        <w:jc w:val="both"/>
      </w:pPr>
    </w:p>
    <w:p w14:paraId="7AA16105" w14:textId="4123DBBA" w:rsidR="00E908CA" w:rsidRPr="007D7D9F" w:rsidRDefault="00C07CF4" w:rsidP="00E908CA">
      <w:pPr>
        <w:pStyle w:val="Prrafodelista"/>
        <w:numPr>
          <w:ilvl w:val="0"/>
          <w:numId w:val="9"/>
        </w:numPr>
        <w:spacing w:after="160" w:line="259" w:lineRule="auto"/>
        <w:jc w:val="both"/>
        <w:rPr>
          <w:rFonts w:eastAsia="Calibri"/>
          <w:color w:val="auto"/>
          <w:lang w:val="es-ES_tradnl"/>
        </w:rPr>
      </w:pPr>
      <w:bookmarkStart w:id="2" w:name="_heading=h.2et92p0" w:colFirst="0" w:colLast="0"/>
      <w:bookmarkEnd w:id="2"/>
      <w:r w:rsidRPr="007D7D9F">
        <w:rPr>
          <w:color w:val="auto"/>
          <w:lang w:val="es-ES_tradnl"/>
        </w:rPr>
        <w:t>¿C</w:t>
      </w:r>
      <w:r w:rsidR="00E908CA" w:rsidRPr="007D7D9F">
        <w:rPr>
          <w:color w:val="auto"/>
          <w:lang w:val="es-ES_tradnl"/>
        </w:rPr>
        <w:t xml:space="preserve">uál de las siguientes afirmaciones </w:t>
      </w:r>
      <w:r w:rsidR="00E908CA" w:rsidRPr="007D7D9F">
        <w:rPr>
          <w:color w:val="auto"/>
          <w:u w:val="single"/>
          <w:lang w:val="es-ES_tradnl"/>
        </w:rPr>
        <w:t xml:space="preserve">es </w:t>
      </w:r>
      <w:r w:rsidRPr="007D7D9F">
        <w:rPr>
          <w:color w:val="auto"/>
          <w:u w:val="single"/>
          <w:lang w:val="es-ES_tradnl"/>
        </w:rPr>
        <w:t>falsa</w:t>
      </w:r>
      <w:r w:rsidRPr="007D7D9F">
        <w:rPr>
          <w:color w:val="auto"/>
          <w:lang w:val="es-ES_tradnl"/>
        </w:rPr>
        <w:t>?</w:t>
      </w:r>
      <w:r w:rsidR="00E908CA" w:rsidRPr="007D7D9F">
        <w:rPr>
          <w:color w:val="auto"/>
          <w:lang w:val="es-ES_tradnl"/>
        </w:rPr>
        <w:t>:</w:t>
      </w:r>
    </w:p>
    <w:p w14:paraId="0244B5A6" w14:textId="77777777" w:rsidR="00EF76C0" w:rsidRPr="007D7D9F" w:rsidRDefault="00EF76C0" w:rsidP="00C07CF4">
      <w:pPr>
        <w:pStyle w:val="Prrafodelista"/>
        <w:spacing w:after="160" w:line="259" w:lineRule="auto"/>
        <w:ind w:left="360"/>
        <w:jc w:val="both"/>
        <w:rPr>
          <w:rFonts w:eastAsia="Calibri"/>
          <w:color w:val="auto"/>
          <w:lang w:val="es-ES_tradnl"/>
        </w:rPr>
      </w:pPr>
    </w:p>
    <w:p w14:paraId="57D75C05" w14:textId="77777777" w:rsidR="00EF76C0" w:rsidRPr="00663192" w:rsidRDefault="00EF76C0" w:rsidP="00663192">
      <w:pPr>
        <w:numPr>
          <w:ilvl w:val="0"/>
          <w:numId w:val="8"/>
        </w:numPr>
        <w:pBdr>
          <w:top w:val="nil"/>
          <w:left w:val="nil"/>
          <w:bottom w:val="nil"/>
          <w:right w:val="nil"/>
          <w:between w:val="nil"/>
        </w:pBdr>
        <w:jc w:val="both"/>
        <w:rPr>
          <w:color w:val="00000A"/>
          <w:sz w:val="20"/>
          <w:szCs w:val="20"/>
        </w:rPr>
      </w:pPr>
      <w:r w:rsidRPr="00663192">
        <w:rPr>
          <w:color w:val="00000A"/>
          <w:sz w:val="20"/>
          <w:szCs w:val="20"/>
        </w:rPr>
        <w:t>El plan de continuidad de negocio es de carácter voluntario para las empresas.</w:t>
      </w:r>
    </w:p>
    <w:p w14:paraId="57C3CFFB" w14:textId="38D088FE" w:rsidR="00E908CA" w:rsidRPr="00663192" w:rsidRDefault="00EF76C0" w:rsidP="00663192">
      <w:pPr>
        <w:numPr>
          <w:ilvl w:val="0"/>
          <w:numId w:val="8"/>
        </w:numPr>
        <w:pBdr>
          <w:top w:val="nil"/>
          <w:left w:val="nil"/>
          <w:bottom w:val="nil"/>
          <w:right w:val="nil"/>
          <w:between w:val="nil"/>
        </w:pBdr>
        <w:jc w:val="both"/>
        <w:rPr>
          <w:color w:val="00000A"/>
          <w:sz w:val="20"/>
          <w:szCs w:val="20"/>
        </w:rPr>
      </w:pPr>
      <w:r w:rsidRPr="00663192">
        <w:rPr>
          <w:color w:val="00000A"/>
          <w:sz w:val="20"/>
          <w:szCs w:val="20"/>
        </w:rPr>
        <w:t xml:space="preserve">Es necesario que los responsables de la empresa y el personal técnico conozcan el </w:t>
      </w:r>
      <w:r w:rsidR="00663192" w:rsidRPr="00663192">
        <w:rPr>
          <w:color w:val="00000A"/>
          <w:sz w:val="20"/>
          <w:szCs w:val="20"/>
        </w:rPr>
        <w:t>plan de continuidad del negocio.</w:t>
      </w:r>
      <w:r w:rsidR="00E908CA" w:rsidRPr="00663192">
        <w:rPr>
          <w:color w:val="00000A"/>
          <w:sz w:val="20"/>
          <w:szCs w:val="20"/>
        </w:rPr>
        <w:t xml:space="preserve"> </w:t>
      </w:r>
    </w:p>
    <w:p w14:paraId="007B2A08" w14:textId="77777777" w:rsidR="00EF76C0" w:rsidRPr="00663192" w:rsidRDefault="00EF76C0" w:rsidP="00663192">
      <w:pPr>
        <w:numPr>
          <w:ilvl w:val="0"/>
          <w:numId w:val="8"/>
        </w:numPr>
        <w:pBdr>
          <w:top w:val="nil"/>
          <w:left w:val="nil"/>
          <w:bottom w:val="nil"/>
          <w:right w:val="nil"/>
          <w:between w:val="nil"/>
        </w:pBdr>
        <w:jc w:val="both"/>
        <w:rPr>
          <w:color w:val="00000A"/>
          <w:sz w:val="20"/>
          <w:szCs w:val="20"/>
        </w:rPr>
      </w:pPr>
      <w:r w:rsidRPr="00663192">
        <w:rPr>
          <w:color w:val="00000A"/>
          <w:sz w:val="20"/>
          <w:szCs w:val="20"/>
        </w:rPr>
        <w:t>El Plan de crisis documenta la respuesta a la contingencia. A partir de las estrategias de recuperación escogidas, se seleccionan e implementan las iniciativas necesarias.</w:t>
      </w:r>
    </w:p>
    <w:p w14:paraId="4141AAD5" w14:textId="26CF79AA" w:rsidR="00EF76C0" w:rsidRPr="00663192" w:rsidRDefault="00EF76C0" w:rsidP="00663192">
      <w:pPr>
        <w:numPr>
          <w:ilvl w:val="0"/>
          <w:numId w:val="8"/>
        </w:numPr>
        <w:pBdr>
          <w:top w:val="nil"/>
          <w:left w:val="nil"/>
          <w:bottom w:val="nil"/>
          <w:right w:val="nil"/>
          <w:between w:val="nil"/>
        </w:pBdr>
        <w:jc w:val="both"/>
        <w:rPr>
          <w:color w:val="0070C0"/>
          <w:sz w:val="20"/>
          <w:szCs w:val="20"/>
        </w:rPr>
      </w:pPr>
      <w:r w:rsidRPr="00663192">
        <w:rPr>
          <w:color w:val="0070C0"/>
          <w:sz w:val="20"/>
          <w:szCs w:val="20"/>
        </w:rPr>
        <w:t>Las cuatro fases principales de la gestión de las crisis y desastres son variación, recuperación, prevención y sanción.</w:t>
      </w:r>
    </w:p>
    <w:p w14:paraId="31706B9D" w14:textId="77777777" w:rsidR="00804E96" w:rsidRDefault="00804E96" w:rsidP="00804E96">
      <w:pPr>
        <w:spacing w:after="120" w:line="259" w:lineRule="auto"/>
        <w:ind w:left="720"/>
        <w:jc w:val="both"/>
        <w:rPr>
          <w:color w:val="0070C0"/>
          <w:sz w:val="20"/>
          <w:szCs w:val="20"/>
        </w:rPr>
      </w:pPr>
    </w:p>
    <w:p w14:paraId="3E08E333" w14:textId="677FEB3D" w:rsidR="004311F1" w:rsidRPr="00804E96" w:rsidRDefault="00804E96" w:rsidP="00804E96">
      <w:pPr>
        <w:spacing w:after="120" w:line="259" w:lineRule="auto"/>
        <w:ind w:left="720"/>
        <w:jc w:val="both"/>
        <w:rPr>
          <w:color w:val="0070C0"/>
          <w:sz w:val="20"/>
          <w:szCs w:val="20"/>
        </w:rPr>
      </w:pPr>
      <w:r w:rsidRPr="00804E96">
        <w:rPr>
          <w:color w:val="0070C0"/>
          <w:sz w:val="20"/>
          <w:szCs w:val="20"/>
        </w:rPr>
        <w:t>4.4</w:t>
      </w:r>
      <w:r w:rsidR="00C070BC" w:rsidRPr="00804E96">
        <w:rPr>
          <w:color w:val="0070C0"/>
          <w:sz w:val="20"/>
          <w:szCs w:val="20"/>
        </w:rPr>
        <w:t xml:space="preserve">) </w:t>
      </w:r>
      <w:r w:rsidRPr="00804E96">
        <w:rPr>
          <w:color w:val="0070C0"/>
          <w:sz w:val="20"/>
          <w:szCs w:val="20"/>
        </w:rPr>
        <w:t>INCIBE Plan de contingencia y continuidad de negocio.</w:t>
      </w:r>
    </w:p>
    <w:p w14:paraId="7600FA89" w14:textId="77777777" w:rsidR="004311F1" w:rsidRPr="007D7D9F" w:rsidRDefault="004311F1">
      <w:pPr>
        <w:spacing w:after="120" w:line="259" w:lineRule="auto"/>
        <w:jc w:val="both"/>
        <w:rPr>
          <w:color w:val="0051BA"/>
          <w:sz w:val="20"/>
          <w:szCs w:val="20"/>
        </w:rPr>
      </w:pPr>
    </w:p>
    <w:p w14:paraId="20B09772" w14:textId="77777777" w:rsidR="007D7D9F" w:rsidRPr="007D7D9F" w:rsidRDefault="007D7D9F" w:rsidP="007D7D9F">
      <w:pPr>
        <w:pStyle w:val="Prrafodelista"/>
        <w:numPr>
          <w:ilvl w:val="0"/>
          <w:numId w:val="9"/>
        </w:numPr>
        <w:spacing w:after="160" w:line="259" w:lineRule="auto"/>
        <w:jc w:val="both"/>
        <w:rPr>
          <w:rFonts w:eastAsia="Calibri"/>
          <w:color w:val="auto"/>
          <w:lang w:val="es-ES_tradnl"/>
        </w:rPr>
      </w:pPr>
      <w:r w:rsidRPr="007D7D9F">
        <w:rPr>
          <w:color w:val="auto"/>
          <w:lang w:val="es-ES_tradnl"/>
        </w:rPr>
        <w:t xml:space="preserve">¿Cuál de las siguientes afirmaciones </w:t>
      </w:r>
      <w:r w:rsidRPr="007D7D9F">
        <w:rPr>
          <w:color w:val="auto"/>
          <w:u w:val="single"/>
          <w:lang w:val="es-ES_tradnl"/>
        </w:rPr>
        <w:t>es falsa</w:t>
      </w:r>
      <w:r w:rsidRPr="007D7D9F">
        <w:rPr>
          <w:color w:val="auto"/>
          <w:lang w:val="es-ES_tradnl"/>
        </w:rPr>
        <w:t>?:</w:t>
      </w:r>
    </w:p>
    <w:p w14:paraId="20DAF807" w14:textId="352811B0" w:rsidR="00B33FE2" w:rsidRPr="007D7D9F" w:rsidRDefault="007D7D9F" w:rsidP="007D7D9F">
      <w:pPr>
        <w:numPr>
          <w:ilvl w:val="0"/>
          <w:numId w:val="8"/>
        </w:numPr>
        <w:pBdr>
          <w:top w:val="nil"/>
          <w:left w:val="nil"/>
          <w:bottom w:val="nil"/>
          <w:right w:val="nil"/>
          <w:between w:val="nil"/>
        </w:pBdr>
        <w:jc w:val="both"/>
        <w:rPr>
          <w:color w:val="00000A"/>
          <w:sz w:val="20"/>
          <w:szCs w:val="20"/>
          <w:highlight w:val="white"/>
        </w:rPr>
      </w:pPr>
      <w:r w:rsidRPr="007D7D9F">
        <w:rPr>
          <w:color w:val="00000A"/>
          <w:sz w:val="20"/>
          <w:szCs w:val="20"/>
        </w:rPr>
        <w:t>Los datos son hechos objetivos sobre acontecimientos, que no tienen un si</w:t>
      </w:r>
      <w:r w:rsidR="00697A81">
        <w:rPr>
          <w:color w:val="00000A"/>
          <w:sz w:val="20"/>
          <w:szCs w:val="20"/>
        </w:rPr>
        <w:t>gnificado inherente por sí mismos y que no han sido seleccionados ni procesado</w:t>
      </w:r>
      <w:r w:rsidRPr="007D7D9F">
        <w:rPr>
          <w:color w:val="00000A"/>
          <w:sz w:val="20"/>
          <w:szCs w:val="20"/>
        </w:rPr>
        <w:t>s.</w:t>
      </w:r>
      <w:r w:rsidR="00B33FE2" w:rsidRPr="007D7D9F">
        <w:rPr>
          <w:color w:val="00000A"/>
          <w:sz w:val="20"/>
          <w:szCs w:val="20"/>
          <w:highlight w:val="white"/>
        </w:rPr>
        <w:t xml:space="preserve"> </w:t>
      </w:r>
    </w:p>
    <w:p w14:paraId="0770DD89" w14:textId="77777777" w:rsidR="007D7D9F" w:rsidRPr="007D7D9F" w:rsidRDefault="007D7D9F" w:rsidP="007D7D9F">
      <w:pPr>
        <w:numPr>
          <w:ilvl w:val="0"/>
          <w:numId w:val="8"/>
        </w:numPr>
        <w:pBdr>
          <w:top w:val="nil"/>
          <w:left w:val="nil"/>
          <w:bottom w:val="nil"/>
          <w:right w:val="nil"/>
          <w:between w:val="nil"/>
        </w:pBdr>
        <w:jc w:val="both"/>
        <w:rPr>
          <w:color w:val="00000A"/>
          <w:sz w:val="20"/>
          <w:szCs w:val="20"/>
          <w:highlight w:val="white"/>
        </w:rPr>
      </w:pPr>
      <w:r w:rsidRPr="007D7D9F">
        <w:rPr>
          <w:color w:val="00000A"/>
          <w:sz w:val="20"/>
          <w:szCs w:val="20"/>
        </w:rPr>
        <w:t>Los activos intangibles como son los datos y la información, tienen como activos un potencial para aportar valor en un contexto organizativo, pero también son susceptibles</w:t>
      </w:r>
      <w:r>
        <w:rPr>
          <w:color w:val="00000A"/>
          <w:sz w:val="20"/>
          <w:szCs w:val="20"/>
        </w:rPr>
        <w:t xml:space="preserve"> de restar valor</w:t>
      </w:r>
      <w:r w:rsidR="00B33FE2" w:rsidRPr="007D7D9F">
        <w:rPr>
          <w:color w:val="00000A"/>
          <w:sz w:val="20"/>
          <w:szCs w:val="20"/>
          <w:highlight w:val="white"/>
        </w:rPr>
        <w:t xml:space="preserve">. </w:t>
      </w:r>
    </w:p>
    <w:p w14:paraId="2B9D5D6F" w14:textId="7D82367A" w:rsidR="00B33FE2" w:rsidRPr="007D7D9F" w:rsidRDefault="007D7D9F" w:rsidP="007D7D9F">
      <w:pPr>
        <w:numPr>
          <w:ilvl w:val="0"/>
          <w:numId w:val="8"/>
        </w:numPr>
        <w:pBdr>
          <w:top w:val="nil"/>
          <w:left w:val="nil"/>
          <w:bottom w:val="nil"/>
          <w:right w:val="nil"/>
          <w:between w:val="nil"/>
        </w:pBdr>
        <w:jc w:val="both"/>
        <w:rPr>
          <w:color w:val="00000A"/>
          <w:sz w:val="20"/>
          <w:szCs w:val="20"/>
          <w:highlight w:val="white"/>
        </w:rPr>
      </w:pPr>
      <w:r w:rsidRPr="007D7D9F">
        <w:rPr>
          <w:color w:val="0070C0"/>
          <w:sz w:val="20"/>
          <w:szCs w:val="20"/>
        </w:rPr>
        <w:t>Los datos no son demasiado útiles en la toma de decisiones, ya que la toma de decisiones es más efectiva y rápida cuanto menor es el nivel de datos.</w:t>
      </w:r>
    </w:p>
    <w:p w14:paraId="045672DD" w14:textId="78F10AA9" w:rsidR="00B33FE2" w:rsidRPr="007D7D9F" w:rsidRDefault="00B33FE2" w:rsidP="007D7D9F">
      <w:pPr>
        <w:numPr>
          <w:ilvl w:val="0"/>
          <w:numId w:val="8"/>
        </w:numPr>
        <w:pBdr>
          <w:top w:val="nil"/>
          <w:left w:val="nil"/>
          <w:bottom w:val="nil"/>
          <w:right w:val="nil"/>
          <w:between w:val="nil"/>
        </w:pBdr>
        <w:jc w:val="both"/>
        <w:rPr>
          <w:color w:val="00000A"/>
          <w:sz w:val="20"/>
          <w:szCs w:val="20"/>
          <w:highlight w:val="white"/>
        </w:rPr>
      </w:pPr>
      <w:r w:rsidRPr="007D7D9F">
        <w:rPr>
          <w:color w:val="00000A"/>
          <w:sz w:val="20"/>
          <w:szCs w:val="20"/>
          <w:highlight w:val="white"/>
        </w:rPr>
        <w:t>U</w:t>
      </w:r>
      <w:r w:rsidR="007D7D9F">
        <w:rPr>
          <w:color w:val="00000A"/>
          <w:sz w:val="20"/>
          <w:szCs w:val="20"/>
        </w:rPr>
        <w:t>na</w:t>
      </w:r>
      <w:r w:rsidR="007D7D9F" w:rsidRPr="007D7D9F">
        <w:rPr>
          <w:color w:val="00000A"/>
          <w:sz w:val="20"/>
          <w:szCs w:val="20"/>
        </w:rPr>
        <w:t xml:space="preserve"> gobernanza inteligente se basa en el uso de grandes cantidades de datos que la administración pública genera y recaba en el desarrollo de sus actividades y en sus relaciones con la ciudadanía y las empresas</w:t>
      </w:r>
      <w:r w:rsidR="007D7D9F">
        <w:rPr>
          <w:color w:val="00000A"/>
          <w:sz w:val="20"/>
          <w:szCs w:val="20"/>
        </w:rPr>
        <w:t>.</w:t>
      </w:r>
    </w:p>
    <w:p w14:paraId="03813FBC" w14:textId="77777777" w:rsidR="00B33FE2" w:rsidRPr="007D7D9F" w:rsidRDefault="00B33FE2" w:rsidP="00B33FE2">
      <w:pPr>
        <w:ind w:left="720"/>
        <w:jc w:val="both"/>
        <w:rPr>
          <w:color w:val="000000"/>
          <w:sz w:val="20"/>
          <w:szCs w:val="20"/>
          <w:shd w:val="clear" w:color="auto" w:fill="FFFFFF"/>
          <w:lang w:eastAsia="en-US"/>
        </w:rPr>
      </w:pPr>
    </w:p>
    <w:p w14:paraId="020C8EE2" w14:textId="47628259" w:rsidR="00B33FE2" w:rsidRDefault="00804E96">
      <w:pPr>
        <w:ind w:left="720"/>
        <w:jc w:val="both"/>
        <w:rPr>
          <w:color w:val="0051BA"/>
          <w:sz w:val="20"/>
          <w:szCs w:val="20"/>
        </w:rPr>
      </w:pPr>
      <w:r w:rsidRPr="00804E96">
        <w:rPr>
          <w:color w:val="0051BA"/>
          <w:sz w:val="20"/>
          <w:szCs w:val="20"/>
        </w:rPr>
        <w:t>4.1) Datos, organizaciones y resiliencia.</w:t>
      </w:r>
    </w:p>
    <w:p w14:paraId="292F7410" w14:textId="77777777" w:rsidR="00804E96" w:rsidRPr="007D7D9F" w:rsidRDefault="00804E96">
      <w:pPr>
        <w:ind w:left="720"/>
        <w:jc w:val="both"/>
        <w:rPr>
          <w:color w:val="0051BA"/>
          <w:sz w:val="20"/>
          <w:szCs w:val="20"/>
          <w:highlight w:val="white"/>
        </w:rPr>
      </w:pPr>
    </w:p>
    <w:p w14:paraId="49F593C1" w14:textId="2BB96DE3" w:rsidR="004311F1" w:rsidRPr="007D7D9F" w:rsidRDefault="0055367C" w:rsidP="00E908CA">
      <w:pPr>
        <w:numPr>
          <w:ilvl w:val="0"/>
          <w:numId w:val="9"/>
        </w:numPr>
        <w:pBdr>
          <w:top w:val="nil"/>
          <w:left w:val="nil"/>
          <w:bottom w:val="nil"/>
          <w:right w:val="nil"/>
          <w:between w:val="nil"/>
        </w:pBdr>
        <w:spacing w:after="200"/>
        <w:ind w:left="426"/>
        <w:jc w:val="both"/>
        <w:rPr>
          <w:color w:val="00000A"/>
          <w:sz w:val="20"/>
          <w:szCs w:val="20"/>
          <w:highlight w:val="white"/>
        </w:rPr>
      </w:pPr>
      <w:r>
        <w:rPr>
          <w:color w:val="00000A"/>
          <w:sz w:val="20"/>
          <w:szCs w:val="20"/>
          <w:highlight w:val="white"/>
        </w:rPr>
        <w:t>Respecto a los cuadros de mando</w:t>
      </w:r>
      <w:r w:rsidR="00C070BC" w:rsidRPr="007D7D9F">
        <w:rPr>
          <w:color w:val="00000A"/>
          <w:sz w:val="20"/>
          <w:szCs w:val="20"/>
          <w:highlight w:val="white"/>
        </w:rPr>
        <w:t>:</w:t>
      </w:r>
    </w:p>
    <w:p w14:paraId="3A85CC35" w14:textId="6E06D2D6" w:rsidR="004311F1" w:rsidRPr="007D7D9F" w:rsidRDefault="0055367C" w:rsidP="0055367C">
      <w:pPr>
        <w:numPr>
          <w:ilvl w:val="0"/>
          <w:numId w:val="12"/>
        </w:numPr>
        <w:pBdr>
          <w:top w:val="nil"/>
          <w:left w:val="nil"/>
          <w:bottom w:val="nil"/>
          <w:right w:val="nil"/>
          <w:between w:val="nil"/>
        </w:pBdr>
        <w:jc w:val="both"/>
        <w:rPr>
          <w:color w:val="00000A"/>
          <w:sz w:val="20"/>
          <w:szCs w:val="20"/>
          <w:highlight w:val="white"/>
        </w:rPr>
      </w:pPr>
      <w:r w:rsidRPr="0055367C">
        <w:rPr>
          <w:color w:val="00000A"/>
          <w:sz w:val="20"/>
          <w:szCs w:val="20"/>
        </w:rPr>
        <w:t>Los cuadros de mando y la inteligencia de negocio han</w:t>
      </w:r>
      <w:r w:rsidR="00804E96">
        <w:rPr>
          <w:color w:val="00000A"/>
          <w:sz w:val="20"/>
          <w:szCs w:val="20"/>
        </w:rPr>
        <w:t xml:space="preserve"> de ofrecer</w:t>
      </w:r>
      <w:r w:rsidRPr="0055367C">
        <w:rPr>
          <w:color w:val="00000A"/>
          <w:sz w:val="20"/>
          <w:szCs w:val="20"/>
        </w:rPr>
        <w:t xml:space="preserve"> una visión sesgada y subjetiva de la información importante de una empresa</w:t>
      </w:r>
      <w:r w:rsidR="00C070BC" w:rsidRPr="007D7D9F">
        <w:rPr>
          <w:color w:val="00000A"/>
          <w:sz w:val="20"/>
          <w:szCs w:val="20"/>
          <w:highlight w:val="white"/>
        </w:rPr>
        <w:t>.</w:t>
      </w:r>
    </w:p>
    <w:p w14:paraId="3DB3BF2A" w14:textId="77777777" w:rsidR="0055367C" w:rsidRPr="0055367C" w:rsidRDefault="0055367C" w:rsidP="0055367C">
      <w:pPr>
        <w:numPr>
          <w:ilvl w:val="0"/>
          <w:numId w:val="12"/>
        </w:numPr>
        <w:pBdr>
          <w:top w:val="nil"/>
          <w:left w:val="nil"/>
          <w:bottom w:val="nil"/>
          <w:right w:val="nil"/>
          <w:between w:val="nil"/>
        </w:pBdr>
        <w:jc w:val="both"/>
        <w:rPr>
          <w:color w:val="0070C0"/>
          <w:sz w:val="20"/>
          <w:szCs w:val="20"/>
          <w:highlight w:val="white"/>
        </w:rPr>
      </w:pPr>
      <w:r w:rsidRPr="0055367C">
        <w:rPr>
          <w:color w:val="0070C0"/>
          <w:sz w:val="20"/>
          <w:szCs w:val="20"/>
        </w:rPr>
        <w:t>Un cuadro de mando es una representación resumida del nivel de cumplimiento de varios indicadores o métricas clave para la estrategia de una organización. Esto permite a los directivos de la organización supervisar el rendimiento en relación con dichos indicadores y tomar decisiones adecuadas para mejorar dicho rendimiento.</w:t>
      </w:r>
    </w:p>
    <w:p w14:paraId="39F7E54C" w14:textId="4166EDF4" w:rsidR="004311F1" w:rsidRPr="007D7D9F" w:rsidRDefault="0055367C" w:rsidP="0055367C">
      <w:pPr>
        <w:numPr>
          <w:ilvl w:val="0"/>
          <w:numId w:val="12"/>
        </w:numPr>
        <w:pBdr>
          <w:top w:val="nil"/>
          <w:left w:val="nil"/>
          <w:bottom w:val="nil"/>
          <w:right w:val="nil"/>
          <w:between w:val="nil"/>
        </w:pBdr>
        <w:jc w:val="both"/>
        <w:rPr>
          <w:color w:val="00000A"/>
          <w:sz w:val="20"/>
          <w:szCs w:val="20"/>
          <w:highlight w:val="white"/>
        </w:rPr>
      </w:pPr>
      <w:r>
        <w:rPr>
          <w:color w:val="00000A"/>
          <w:sz w:val="20"/>
          <w:szCs w:val="20"/>
          <w:highlight w:val="white"/>
        </w:rPr>
        <w:t>Los cuadros de mando son gestionados siempre por la Dirección General de la empresa.</w:t>
      </w:r>
    </w:p>
    <w:p w14:paraId="6B63C957" w14:textId="77777777" w:rsidR="004311F1" w:rsidRPr="007D7D9F" w:rsidRDefault="00C070BC" w:rsidP="00B33FE2">
      <w:pPr>
        <w:numPr>
          <w:ilvl w:val="0"/>
          <w:numId w:val="12"/>
        </w:numPr>
        <w:pBdr>
          <w:top w:val="nil"/>
          <w:left w:val="nil"/>
          <w:bottom w:val="nil"/>
          <w:right w:val="nil"/>
          <w:between w:val="nil"/>
        </w:pBdr>
        <w:jc w:val="both"/>
        <w:rPr>
          <w:color w:val="00000A"/>
          <w:sz w:val="20"/>
          <w:szCs w:val="20"/>
          <w:highlight w:val="white"/>
        </w:rPr>
      </w:pPr>
      <w:r w:rsidRPr="007D7D9F">
        <w:rPr>
          <w:color w:val="00000A"/>
          <w:sz w:val="20"/>
          <w:szCs w:val="20"/>
          <w:highlight w:val="white"/>
        </w:rPr>
        <w:t>Todas las respuestas anteriores son correctas.</w:t>
      </w:r>
    </w:p>
    <w:p w14:paraId="61CC1173" w14:textId="77777777" w:rsidR="009605A6" w:rsidRPr="007D7D9F" w:rsidRDefault="009605A6" w:rsidP="009605A6">
      <w:pPr>
        <w:pBdr>
          <w:top w:val="nil"/>
          <w:left w:val="nil"/>
          <w:bottom w:val="nil"/>
          <w:right w:val="nil"/>
          <w:between w:val="nil"/>
        </w:pBdr>
        <w:jc w:val="both"/>
        <w:rPr>
          <w:color w:val="00000A"/>
          <w:sz w:val="20"/>
          <w:szCs w:val="20"/>
          <w:highlight w:val="white"/>
        </w:rPr>
      </w:pPr>
    </w:p>
    <w:p w14:paraId="4D06D9C0" w14:textId="77777777" w:rsidR="00804E96" w:rsidRDefault="00804E96" w:rsidP="00804E96">
      <w:pPr>
        <w:ind w:left="720"/>
        <w:jc w:val="both"/>
        <w:rPr>
          <w:color w:val="0051BA"/>
          <w:sz w:val="20"/>
          <w:szCs w:val="20"/>
        </w:rPr>
      </w:pPr>
      <w:r w:rsidRPr="00804E96">
        <w:rPr>
          <w:color w:val="0051BA"/>
          <w:sz w:val="20"/>
          <w:szCs w:val="20"/>
        </w:rPr>
        <w:t>4.1) Datos, organizaciones y resiliencia.</w:t>
      </w:r>
    </w:p>
    <w:p w14:paraId="41A15062" w14:textId="77777777" w:rsidR="004311F1" w:rsidRPr="007D7D9F" w:rsidRDefault="004311F1">
      <w:pPr>
        <w:pBdr>
          <w:top w:val="nil"/>
          <w:left w:val="nil"/>
          <w:bottom w:val="nil"/>
          <w:right w:val="nil"/>
          <w:between w:val="nil"/>
        </w:pBdr>
        <w:ind w:left="720"/>
        <w:jc w:val="both"/>
        <w:rPr>
          <w:color w:val="0051BA"/>
          <w:sz w:val="20"/>
          <w:szCs w:val="20"/>
        </w:rPr>
      </w:pPr>
    </w:p>
    <w:p w14:paraId="2B0537CB" w14:textId="342359D1" w:rsidR="009605A6" w:rsidRPr="007D7D9F" w:rsidRDefault="0055367C" w:rsidP="009605A6">
      <w:pPr>
        <w:numPr>
          <w:ilvl w:val="0"/>
          <w:numId w:val="9"/>
        </w:numPr>
        <w:pBdr>
          <w:top w:val="nil"/>
          <w:left w:val="nil"/>
          <w:bottom w:val="nil"/>
          <w:right w:val="nil"/>
          <w:between w:val="nil"/>
        </w:pBdr>
        <w:spacing w:after="200"/>
        <w:ind w:left="426"/>
        <w:jc w:val="both"/>
        <w:rPr>
          <w:color w:val="00000A"/>
          <w:sz w:val="20"/>
          <w:szCs w:val="20"/>
          <w:highlight w:val="white"/>
        </w:rPr>
      </w:pPr>
      <w:r>
        <w:rPr>
          <w:color w:val="00000A"/>
          <w:sz w:val="20"/>
          <w:szCs w:val="20"/>
          <w:highlight w:val="white"/>
        </w:rPr>
        <w:t>Sobre el concepto de resiliencia:</w:t>
      </w:r>
    </w:p>
    <w:p w14:paraId="6B561380" w14:textId="77777777" w:rsidR="0055367C" w:rsidRPr="0055367C" w:rsidRDefault="0055367C" w:rsidP="0055367C">
      <w:pPr>
        <w:numPr>
          <w:ilvl w:val="0"/>
          <w:numId w:val="13"/>
        </w:numPr>
        <w:pBdr>
          <w:top w:val="nil"/>
          <w:left w:val="nil"/>
          <w:bottom w:val="nil"/>
          <w:right w:val="nil"/>
          <w:between w:val="nil"/>
        </w:pBdr>
        <w:jc w:val="both"/>
        <w:rPr>
          <w:color w:val="00000A"/>
          <w:sz w:val="20"/>
          <w:szCs w:val="20"/>
          <w:highlight w:val="white"/>
        </w:rPr>
      </w:pPr>
      <w:r w:rsidRPr="0055367C">
        <w:rPr>
          <w:color w:val="00000A"/>
          <w:sz w:val="20"/>
          <w:szCs w:val="20"/>
        </w:rPr>
        <w:t>La resiliencia permite a las empresas flexibilidad.</w:t>
      </w:r>
    </w:p>
    <w:p w14:paraId="7A265B2C" w14:textId="39D5E7D6" w:rsidR="009605A6" w:rsidRPr="0055367C" w:rsidRDefault="0055367C" w:rsidP="0055367C">
      <w:pPr>
        <w:numPr>
          <w:ilvl w:val="0"/>
          <w:numId w:val="13"/>
        </w:numPr>
        <w:pBdr>
          <w:top w:val="nil"/>
          <w:left w:val="nil"/>
          <w:bottom w:val="nil"/>
          <w:right w:val="nil"/>
          <w:between w:val="nil"/>
        </w:pBdr>
        <w:jc w:val="both"/>
        <w:rPr>
          <w:color w:val="00000A"/>
          <w:sz w:val="20"/>
          <w:szCs w:val="20"/>
        </w:rPr>
      </w:pPr>
      <w:r w:rsidRPr="0055367C">
        <w:rPr>
          <w:color w:val="00000A"/>
          <w:sz w:val="20"/>
          <w:szCs w:val="20"/>
        </w:rPr>
        <w:t xml:space="preserve">La resiliencia según </w:t>
      </w:r>
      <w:proofErr w:type="spellStart"/>
      <w:r w:rsidRPr="0055367C">
        <w:rPr>
          <w:color w:val="00000A"/>
          <w:sz w:val="20"/>
          <w:szCs w:val="20"/>
        </w:rPr>
        <w:t>Denyer</w:t>
      </w:r>
      <w:proofErr w:type="spellEnd"/>
      <w:r w:rsidRPr="0055367C">
        <w:rPr>
          <w:color w:val="00000A"/>
          <w:sz w:val="20"/>
          <w:szCs w:val="20"/>
        </w:rPr>
        <w:t xml:space="preserve"> es: «La capacidad de una organización para anticiparse, prepararse, responder y adaptarse al cambio incremental y a las disrupciones bruscas para sobrevivir y prosperar».</w:t>
      </w:r>
      <w:r w:rsidR="009605A6" w:rsidRPr="0055367C">
        <w:rPr>
          <w:color w:val="00000A"/>
          <w:sz w:val="20"/>
          <w:szCs w:val="20"/>
        </w:rPr>
        <w:t xml:space="preserve"> </w:t>
      </w:r>
    </w:p>
    <w:p w14:paraId="0C32F8DC" w14:textId="5A4F2A30" w:rsidR="0055367C" w:rsidRDefault="00340DC4" w:rsidP="00340DC4">
      <w:pPr>
        <w:numPr>
          <w:ilvl w:val="0"/>
          <w:numId w:val="13"/>
        </w:numPr>
        <w:pBdr>
          <w:top w:val="nil"/>
          <w:left w:val="nil"/>
          <w:bottom w:val="nil"/>
          <w:right w:val="nil"/>
          <w:between w:val="nil"/>
        </w:pBdr>
        <w:jc w:val="both"/>
        <w:rPr>
          <w:color w:val="00000A"/>
          <w:sz w:val="20"/>
          <w:szCs w:val="20"/>
        </w:rPr>
      </w:pPr>
      <w:r w:rsidRPr="00340DC4">
        <w:rPr>
          <w:color w:val="00000A"/>
          <w:sz w:val="20"/>
          <w:szCs w:val="20"/>
        </w:rPr>
        <w:t>Una cultura organizacional que valore a los empleados y potencie la formación en las competencias de adaptación al cambio, innov</w:t>
      </w:r>
      <w:r w:rsidR="00804E96">
        <w:rPr>
          <w:color w:val="00000A"/>
          <w:sz w:val="20"/>
          <w:szCs w:val="20"/>
        </w:rPr>
        <w:t>ación, flexibilidad y autonomía, puede favorecer la resiliencia</w:t>
      </w:r>
    </w:p>
    <w:p w14:paraId="4D3C49F8" w14:textId="7B6FD45D" w:rsidR="0055367C" w:rsidRPr="0055367C" w:rsidRDefault="0055367C" w:rsidP="0055367C">
      <w:pPr>
        <w:numPr>
          <w:ilvl w:val="0"/>
          <w:numId w:val="13"/>
        </w:numPr>
        <w:pBdr>
          <w:top w:val="nil"/>
          <w:left w:val="nil"/>
          <w:bottom w:val="nil"/>
          <w:right w:val="nil"/>
          <w:between w:val="nil"/>
        </w:pBdr>
        <w:jc w:val="both"/>
        <w:rPr>
          <w:color w:val="0070C0"/>
          <w:sz w:val="20"/>
          <w:szCs w:val="20"/>
        </w:rPr>
      </w:pPr>
      <w:r w:rsidRPr="0055367C">
        <w:rPr>
          <w:color w:val="0070C0"/>
          <w:sz w:val="20"/>
          <w:szCs w:val="20"/>
        </w:rPr>
        <w:t>Todas las resp</w:t>
      </w:r>
      <w:r w:rsidRPr="0055367C">
        <w:rPr>
          <w:color w:val="0070C0"/>
          <w:sz w:val="20"/>
          <w:szCs w:val="20"/>
          <w:highlight w:val="white"/>
        </w:rPr>
        <w:t>uestas anteriores son correctas.</w:t>
      </w:r>
    </w:p>
    <w:p w14:paraId="3F8640B8" w14:textId="77777777" w:rsidR="009605A6" w:rsidRPr="007D7D9F" w:rsidRDefault="009605A6" w:rsidP="009605A6">
      <w:pPr>
        <w:pBdr>
          <w:top w:val="nil"/>
          <w:left w:val="nil"/>
          <w:bottom w:val="nil"/>
          <w:right w:val="nil"/>
          <w:between w:val="nil"/>
        </w:pBdr>
        <w:spacing w:after="200"/>
        <w:ind w:left="720"/>
        <w:jc w:val="both"/>
        <w:rPr>
          <w:color w:val="000000"/>
          <w:sz w:val="20"/>
          <w:szCs w:val="20"/>
        </w:rPr>
      </w:pPr>
    </w:p>
    <w:p w14:paraId="371196EA" w14:textId="4C247EF1" w:rsidR="0055367C" w:rsidRPr="0055367C" w:rsidRDefault="0055367C" w:rsidP="0055367C">
      <w:pPr>
        <w:spacing w:after="120" w:line="259" w:lineRule="auto"/>
        <w:ind w:firstLine="720"/>
        <w:jc w:val="both"/>
        <w:rPr>
          <w:color w:val="0070C0"/>
          <w:sz w:val="20"/>
          <w:szCs w:val="20"/>
        </w:rPr>
      </w:pPr>
      <w:r w:rsidRPr="0055367C">
        <w:rPr>
          <w:color w:val="0070C0"/>
          <w:sz w:val="20"/>
          <w:szCs w:val="20"/>
        </w:rPr>
        <w:t>4.1) Datos, organizaciones y resiliencia.</w:t>
      </w:r>
    </w:p>
    <w:p w14:paraId="550DC36A" w14:textId="77777777" w:rsidR="009605A6" w:rsidRPr="007D7D9F" w:rsidRDefault="009605A6">
      <w:pPr>
        <w:pBdr>
          <w:top w:val="nil"/>
          <w:left w:val="nil"/>
          <w:bottom w:val="nil"/>
          <w:right w:val="nil"/>
          <w:between w:val="nil"/>
        </w:pBdr>
        <w:spacing w:after="200"/>
        <w:ind w:left="720"/>
        <w:jc w:val="both"/>
        <w:rPr>
          <w:color w:val="000000"/>
          <w:sz w:val="20"/>
          <w:szCs w:val="20"/>
        </w:rPr>
      </w:pPr>
    </w:p>
    <w:p w14:paraId="70F3A2EC" w14:textId="77777777" w:rsidR="00340038" w:rsidRDefault="00340038">
      <w:pPr>
        <w:rPr>
          <w:b/>
          <w:color w:val="000000"/>
          <w:u w:val="single"/>
        </w:rPr>
      </w:pPr>
      <w:r>
        <w:rPr>
          <w:b/>
          <w:color w:val="000000"/>
          <w:u w:val="single"/>
        </w:rPr>
        <w:br w:type="page"/>
      </w:r>
    </w:p>
    <w:p w14:paraId="6249D09D" w14:textId="650AF8B2" w:rsidR="004311F1" w:rsidRPr="007D7D9F" w:rsidRDefault="00C070BC">
      <w:pPr>
        <w:spacing w:after="160" w:line="259" w:lineRule="auto"/>
        <w:jc w:val="both"/>
        <w:rPr>
          <w:color w:val="000000"/>
        </w:rPr>
      </w:pPr>
      <w:r w:rsidRPr="007D7D9F">
        <w:rPr>
          <w:b/>
          <w:color w:val="000000"/>
          <w:u w:val="single"/>
        </w:rPr>
        <w:lastRenderedPageBreak/>
        <w:t>EJERCICIO PRÁCTICO (</w:t>
      </w:r>
      <w:r w:rsidR="005B2BBD" w:rsidRPr="007D7D9F">
        <w:rPr>
          <w:b/>
          <w:color w:val="000000"/>
          <w:u w:val="single"/>
        </w:rPr>
        <w:t>5</w:t>
      </w:r>
      <w:r w:rsidRPr="007D7D9F">
        <w:rPr>
          <w:b/>
          <w:color w:val="000000"/>
          <w:u w:val="single"/>
        </w:rPr>
        <w:t xml:space="preserve"> puntos) </w:t>
      </w:r>
      <w:r w:rsidR="00E908CA" w:rsidRPr="007D7D9F">
        <w:rPr>
          <w:b/>
          <w:color w:val="000000"/>
          <w:u w:val="single"/>
        </w:rPr>
        <w:t>No está permitido el uso de la IA.</w:t>
      </w:r>
    </w:p>
    <w:p w14:paraId="44D4F811" w14:textId="77777777" w:rsidR="004311F1" w:rsidRPr="007D7D9F" w:rsidRDefault="004311F1">
      <w:pPr>
        <w:jc w:val="both"/>
        <w:rPr>
          <w:color w:val="000000"/>
          <w:sz w:val="20"/>
          <w:szCs w:val="20"/>
        </w:rPr>
      </w:pPr>
    </w:p>
    <w:p w14:paraId="6773C598" w14:textId="6B80DCA0" w:rsidR="00340038" w:rsidRPr="007D7D9F" w:rsidRDefault="007010E0" w:rsidP="00340038">
      <w:pPr>
        <w:pBdr>
          <w:top w:val="nil"/>
          <w:left w:val="nil"/>
          <w:bottom w:val="nil"/>
          <w:right w:val="nil"/>
          <w:between w:val="nil"/>
        </w:pBdr>
        <w:spacing w:before="79" w:after="79" w:line="240" w:lineRule="auto"/>
        <w:jc w:val="both"/>
        <w:rPr>
          <w:color w:val="000000"/>
          <w:sz w:val="20"/>
          <w:szCs w:val="20"/>
        </w:rPr>
      </w:pPr>
      <w:bookmarkStart w:id="3" w:name="_Hlk166122800"/>
      <w:r w:rsidRPr="007D7D9F">
        <w:rPr>
          <w:color w:val="000000"/>
          <w:sz w:val="20"/>
          <w:szCs w:val="20"/>
        </w:rPr>
        <w:t>1.</w:t>
      </w:r>
      <w:r w:rsidR="00340038">
        <w:rPr>
          <w:color w:val="000000"/>
          <w:sz w:val="20"/>
          <w:szCs w:val="20"/>
        </w:rPr>
        <w:t>Re</w:t>
      </w:r>
      <w:r w:rsidR="00982C7F">
        <w:rPr>
          <w:color w:val="000000"/>
          <w:sz w:val="20"/>
          <w:szCs w:val="20"/>
        </w:rPr>
        <w:t>aliza el diagnóstico de tu empresa o entorno de trabajo que propone INCIBE desde el siguiente LINK:</w:t>
      </w:r>
    </w:p>
    <w:p w14:paraId="1B18C65A" w14:textId="00360769" w:rsidR="00982C7F" w:rsidRDefault="006F7CA2" w:rsidP="00D775F9">
      <w:pPr>
        <w:pBdr>
          <w:top w:val="nil"/>
          <w:left w:val="nil"/>
          <w:bottom w:val="nil"/>
          <w:right w:val="nil"/>
          <w:between w:val="nil"/>
        </w:pBdr>
        <w:spacing w:before="79" w:after="79" w:line="240" w:lineRule="auto"/>
        <w:jc w:val="both"/>
        <w:rPr>
          <w:color w:val="000000"/>
          <w:sz w:val="20"/>
          <w:szCs w:val="20"/>
        </w:rPr>
      </w:pPr>
      <w:hyperlink r:id="rId9" w:history="1">
        <w:r w:rsidR="00982C7F" w:rsidRPr="000E7083">
          <w:rPr>
            <w:rStyle w:val="Hipervnculo"/>
            <w:sz w:val="20"/>
            <w:szCs w:val="20"/>
          </w:rPr>
          <w:t>https://www.incibe.es/empresas/herramientas/conoces-tus-riesgos</w:t>
        </w:r>
      </w:hyperlink>
    </w:p>
    <w:p w14:paraId="5E8AD252" w14:textId="77777777" w:rsidR="00982C7F" w:rsidRDefault="00982C7F" w:rsidP="00D775F9">
      <w:pPr>
        <w:pBdr>
          <w:top w:val="nil"/>
          <w:left w:val="nil"/>
          <w:bottom w:val="nil"/>
          <w:right w:val="nil"/>
          <w:between w:val="nil"/>
        </w:pBdr>
        <w:spacing w:before="79" w:after="79" w:line="240" w:lineRule="auto"/>
        <w:jc w:val="both"/>
        <w:rPr>
          <w:color w:val="000000"/>
          <w:sz w:val="20"/>
          <w:szCs w:val="20"/>
        </w:rPr>
      </w:pPr>
    </w:p>
    <w:p w14:paraId="79DB4EF9" w14:textId="4FC89F0F" w:rsidR="00D775F9" w:rsidRPr="00982C7F" w:rsidRDefault="00340038" w:rsidP="00D775F9">
      <w:pPr>
        <w:pBdr>
          <w:top w:val="nil"/>
          <w:left w:val="nil"/>
          <w:bottom w:val="nil"/>
          <w:right w:val="nil"/>
          <w:between w:val="nil"/>
        </w:pBdr>
        <w:spacing w:before="79" w:after="79" w:line="240" w:lineRule="auto"/>
        <w:jc w:val="both"/>
        <w:rPr>
          <w:color w:val="0070C0"/>
          <w:sz w:val="20"/>
          <w:szCs w:val="20"/>
        </w:rPr>
      </w:pPr>
      <w:r w:rsidRPr="00982C7F">
        <w:rPr>
          <w:color w:val="0070C0"/>
          <w:sz w:val="20"/>
          <w:szCs w:val="20"/>
        </w:rPr>
        <w:t>Un posible resultado podría ser:</w:t>
      </w:r>
    </w:p>
    <w:p w14:paraId="6A2EBE2B" w14:textId="3B5385AD" w:rsidR="00340038" w:rsidRDefault="00340038" w:rsidP="00D775F9">
      <w:pPr>
        <w:pBdr>
          <w:top w:val="nil"/>
          <w:left w:val="nil"/>
          <w:bottom w:val="nil"/>
          <w:right w:val="nil"/>
          <w:between w:val="nil"/>
        </w:pBdr>
        <w:spacing w:before="79" w:after="79" w:line="240" w:lineRule="auto"/>
        <w:jc w:val="both"/>
        <w:rPr>
          <w:color w:val="00000A"/>
          <w:sz w:val="20"/>
          <w:szCs w:val="20"/>
        </w:rPr>
      </w:pPr>
    </w:p>
    <w:p w14:paraId="0E3C0BB4" w14:textId="469E3E52" w:rsidR="00340038" w:rsidRPr="007D7D9F" w:rsidRDefault="00340038" w:rsidP="00D775F9">
      <w:pPr>
        <w:pBdr>
          <w:top w:val="nil"/>
          <w:left w:val="nil"/>
          <w:bottom w:val="nil"/>
          <w:right w:val="nil"/>
          <w:between w:val="nil"/>
        </w:pBdr>
        <w:spacing w:before="79" w:after="79" w:line="240" w:lineRule="auto"/>
        <w:jc w:val="both"/>
        <w:rPr>
          <w:color w:val="00000A"/>
          <w:sz w:val="20"/>
          <w:szCs w:val="20"/>
        </w:rPr>
      </w:pPr>
      <w:r>
        <w:rPr>
          <w:noProof/>
          <w:lang w:val="ca-ES" w:eastAsia="ca-ES"/>
        </w:rPr>
        <w:drawing>
          <wp:inline distT="0" distB="0" distL="0" distR="0" wp14:anchorId="3FC9B71E" wp14:editId="46352733">
            <wp:extent cx="6122670" cy="1544955"/>
            <wp:effectExtent l="19050" t="19050" r="11430" b="171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670" cy="1544955"/>
                    </a:xfrm>
                    <a:prstGeom prst="rect">
                      <a:avLst/>
                    </a:prstGeom>
                    <a:ln>
                      <a:solidFill>
                        <a:schemeClr val="accent1"/>
                      </a:solidFill>
                    </a:ln>
                  </pic:spPr>
                </pic:pic>
              </a:graphicData>
            </a:graphic>
          </wp:inline>
        </w:drawing>
      </w:r>
    </w:p>
    <w:p w14:paraId="1B02D6DF" w14:textId="77777777" w:rsidR="007010E0" w:rsidRPr="007D7D9F" w:rsidRDefault="007010E0" w:rsidP="007010E0">
      <w:pPr>
        <w:pBdr>
          <w:top w:val="nil"/>
          <w:left w:val="nil"/>
          <w:bottom w:val="nil"/>
          <w:right w:val="nil"/>
          <w:between w:val="nil"/>
        </w:pBdr>
        <w:spacing w:before="79" w:after="79" w:line="240" w:lineRule="auto"/>
        <w:jc w:val="both"/>
        <w:rPr>
          <w:color w:val="000000"/>
          <w:sz w:val="20"/>
          <w:szCs w:val="20"/>
          <w:highlight w:val="white"/>
        </w:rPr>
      </w:pPr>
    </w:p>
    <w:p w14:paraId="43A61402" w14:textId="65011AB9" w:rsidR="007010E0" w:rsidRPr="007D7D9F" w:rsidRDefault="00DB5BC5" w:rsidP="00DB5BC5">
      <w:pPr>
        <w:pBdr>
          <w:top w:val="nil"/>
          <w:left w:val="nil"/>
          <w:bottom w:val="nil"/>
          <w:right w:val="nil"/>
          <w:between w:val="nil"/>
        </w:pBdr>
        <w:spacing w:before="79" w:after="79" w:line="240" w:lineRule="auto"/>
        <w:jc w:val="both"/>
        <w:rPr>
          <w:color w:val="000000"/>
          <w:sz w:val="20"/>
          <w:szCs w:val="20"/>
        </w:rPr>
      </w:pPr>
      <w:r w:rsidRPr="007D7D9F">
        <w:rPr>
          <w:color w:val="000000"/>
          <w:sz w:val="20"/>
          <w:szCs w:val="20"/>
        </w:rPr>
        <w:t>2</w:t>
      </w:r>
      <w:r w:rsidR="007010E0" w:rsidRPr="007D7D9F">
        <w:rPr>
          <w:color w:val="000000"/>
          <w:sz w:val="20"/>
          <w:szCs w:val="20"/>
        </w:rPr>
        <w:t xml:space="preserve">. </w:t>
      </w:r>
      <w:r w:rsidR="00340038">
        <w:rPr>
          <w:color w:val="000000"/>
          <w:sz w:val="20"/>
          <w:szCs w:val="20"/>
        </w:rPr>
        <w:t>El propio INCIBE propone medidas para reducir cada tipo de riesgo. ¿Cuáles te propone para cada elemento analizado?</w:t>
      </w:r>
    </w:p>
    <w:p w14:paraId="555A7581" w14:textId="77777777" w:rsidR="007010E0" w:rsidRPr="007D7D9F" w:rsidRDefault="007010E0" w:rsidP="007010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color w:val="000000"/>
          <w:sz w:val="20"/>
          <w:szCs w:val="20"/>
        </w:rPr>
      </w:pPr>
    </w:p>
    <w:p w14:paraId="0C6A57B8" w14:textId="76CA1C1E" w:rsidR="007010E0" w:rsidRPr="00982C7F" w:rsidRDefault="00340038" w:rsidP="007010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color w:val="0070C0"/>
          <w:sz w:val="20"/>
          <w:szCs w:val="20"/>
        </w:rPr>
      </w:pPr>
      <w:r w:rsidRPr="00982C7F">
        <w:rPr>
          <w:color w:val="0070C0"/>
          <w:sz w:val="20"/>
          <w:szCs w:val="20"/>
        </w:rPr>
        <w:t>Para el riesgo en PERSONAS:</w:t>
      </w:r>
    </w:p>
    <w:p w14:paraId="504148CD" w14:textId="11BE9BF2" w:rsidR="00340038" w:rsidRDefault="00340038" w:rsidP="007010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color w:val="000000"/>
          <w:sz w:val="20"/>
          <w:szCs w:val="20"/>
        </w:rPr>
      </w:pPr>
    </w:p>
    <w:p w14:paraId="58715586" w14:textId="234691E6" w:rsidR="00340038" w:rsidRPr="007D7D9F" w:rsidRDefault="00340038" w:rsidP="00982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color w:val="000000"/>
          <w:sz w:val="20"/>
          <w:szCs w:val="20"/>
        </w:rPr>
      </w:pPr>
      <w:r>
        <w:rPr>
          <w:noProof/>
          <w:lang w:val="ca-ES" w:eastAsia="ca-ES"/>
        </w:rPr>
        <w:drawing>
          <wp:inline distT="0" distB="0" distL="0" distR="0" wp14:anchorId="6557E84A" wp14:editId="73210D17">
            <wp:extent cx="3120390" cy="3120390"/>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0390" cy="3120390"/>
                    </a:xfrm>
                    <a:prstGeom prst="rect">
                      <a:avLst/>
                    </a:prstGeom>
                  </pic:spPr>
                </pic:pic>
              </a:graphicData>
            </a:graphic>
          </wp:inline>
        </w:drawing>
      </w:r>
    </w:p>
    <w:p w14:paraId="66B3D81A" w14:textId="77777777" w:rsidR="007010E0" w:rsidRPr="007D7D9F" w:rsidRDefault="007010E0" w:rsidP="007010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jc w:val="both"/>
        <w:rPr>
          <w:color w:val="000000"/>
          <w:sz w:val="20"/>
          <w:szCs w:val="20"/>
        </w:rPr>
      </w:pPr>
    </w:p>
    <w:p w14:paraId="319CD6A5" w14:textId="77777777" w:rsidR="00DB5BC5" w:rsidRPr="007D7D9F" w:rsidRDefault="00DB5BC5" w:rsidP="007010E0">
      <w:pPr>
        <w:ind w:left="720"/>
        <w:jc w:val="both"/>
        <w:rPr>
          <w:color w:val="000000"/>
          <w:sz w:val="20"/>
          <w:szCs w:val="20"/>
        </w:rPr>
      </w:pPr>
    </w:p>
    <w:bookmarkEnd w:id="3"/>
    <w:p w14:paraId="7DD9750E" w14:textId="16EEE889" w:rsidR="00DB5BC5" w:rsidRDefault="004C7F39" w:rsidP="004C7F39">
      <w:pPr>
        <w:jc w:val="both"/>
        <w:rPr>
          <w:color w:val="000000"/>
          <w:sz w:val="20"/>
          <w:szCs w:val="20"/>
        </w:rPr>
      </w:pPr>
      <w:r>
        <w:rPr>
          <w:color w:val="000000"/>
          <w:sz w:val="20"/>
          <w:szCs w:val="20"/>
        </w:rPr>
        <w:t>3,- A partir de las acciones propuestas por INCIBE elabora una Planificación de medidas de tratamiento de riesgos en PERSONAS:</w:t>
      </w:r>
    </w:p>
    <w:p w14:paraId="0E863415" w14:textId="7AE49E61" w:rsidR="004C7F39" w:rsidRDefault="004C7F39" w:rsidP="004C7F39">
      <w:pPr>
        <w:jc w:val="both"/>
        <w:rPr>
          <w:color w:val="000000"/>
          <w:sz w:val="20"/>
          <w:szCs w:val="20"/>
        </w:rPr>
      </w:pPr>
    </w:p>
    <w:p w14:paraId="2F9CEC72" w14:textId="7542D220" w:rsidR="004C7F39" w:rsidRDefault="004C7F39" w:rsidP="004C7F39">
      <w:pPr>
        <w:jc w:val="both"/>
        <w:rPr>
          <w:color w:val="000000"/>
          <w:sz w:val="20"/>
          <w:szCs w:val="20"/>
        </w:rPr>
      </w:pPr>
      <w:r>
        <w:rPr>
          <w:color w:val="000000"/>
          <w:sz w:val="20"/>
          <w:szCs w:val="20"/>
        </w:rPr>
        <w:lastRenderedPageBreak/>
        <w:t>Planificación de medidas PERSONAS:</w:t>
      </w:r>
    </w:p>
    <w:tbl>
      <w:tblPr>
        <w:tblStyle w:val="Tablaconcuadrcula"/>
        <w:tblW w:w="9776" w:type="dxa"/>
        <w:tblLook w:val="04A0" w:firstRow="1" w:lastRow="0" w:firstColumn="1" w:lastColumn="0" w:noHBand="0" w:noVBand="1"/>
      </w:tblPr>
      <w:tblGrid>
        <w:gridCol w:w="3397"/>
        <w:gridCol w:w="2694"/>
        <w:gridCol w:w="1701"/>
        <w:gridCol w:w="1984"/>
      </w:tblGrid>
      <w:tr w:rsidR="004C7F39" w14:paraId="7646F95C" w14:textId="77777777" w:rsidTr="004C7F39">
        <w:tc>
          <w:tcPr>
            <w:tcW w:w="3397" w:type="dxa"/>
          </w:tcPr>
          <w:p w14:paraId="702412D2" w14:textId="64ADB42E" w:rsidR="004C7F39" w:rsidRDefault="004C7F39" w:rsidP="004C7F39">
            <w:pPr>
              <w:jc w:val="both"/>
              <w:rPr>
                <w:color w:val="000000"/>
                <w:sz w:val="20"/>
                <w:szCs w:val="20"/>
              </w:rPr>
            </w:pPr>
            <w:r>
              <w:rPr>
                <w:color w:val="000000"/>
                <w:sz w:val="20"/>
                <w:szCs w:val="20"/>
              </w:rPr>
              <w:t xml:space="preserve">Medida </w:t>
            </w:r>
          </w:p>
        </w:tc>
        <w:tc>
          <w:tcPr>
            <w:tcW w:w="2694" w:type="dxa"/>
          </w:tcPr>
          <w:p w14:paraId="32F2E7AB" w14:textId="17BF8588" w:rsidR="004C7F39" w:rsidRDefault="004C7F39" w:rsidP="004C7F39">
            <w:pPr>
              <w:jc w:val="both"/>
              <w:rPr>
                <w:color w:val="000000"/>
                <w:sz w:val="20"/>
                <w:szCs w:val="20"/>
              </w:rPr>
            </w:pPr>
            <w:r>
              <w:rPr>
                <w:color w:val="000000"/>
                <w:sz w:val="20"/>
                <w:szCs w:val="20"/>
              </w:rPr>
              <w:t>Acciones</w:t>
            </w:r>
          </w:p>
        </w:tc>
        <w:tc>
          <w:tcPr>
            <w:tcW w:w="1701" w:type="dxa"/>
          </w:tcPr>
          <w:p w14:paraId="2BAE5BD2" w14:textId="174DFDC1" w:rsidR="004C7F39" w:rsidRDefault="004C7F39" w:rsidP="004C7F39">
            <w:pPr>
              <w:jc w:val="both"/>
              <w:rPr>
                <w:color w:val="000000"/>
                <w:sz w:val="20"/>
                <w:szCs w:val="20"/>
              </w:rPr>
            </w:pPr>
            <w:r>
              <w:rPr>
                <w:color w:val="000000"/>
                <w:sz w:val="20"/>
                <w:szCs w:val="20"/>
              </w:rPr>
              <w:t>Responsable</w:t>
            </w:r>
          </w:p>
        </w:tc>
        <w:tc>
          <w:tcPr>
            <w:tcW w:w="1984" w:type="dxa"/>
          </w:tcPr>
          <w:p w14:paraId="5B0552D1" w14:textId="189E700C" w:rsidR="004C7F39" w:rsidRDefault="004C7F39" w:rsidP="004C7F39">
            <w:pPr>
              <w:jc w:val="both"/>
              <w:rPr>
                <w:color w:val="000000"/>
                <w:sz w:val="20"/>
                <w:szCs w:val="20"/>
              </w:rPr>
            </w:pPr>
            <w:r>
              <w:rPr>
                <w:color w:val="000000"/>
                <w:sz w:val="20"/>
                <w:szCs w:val="20"/>
              </w:rPr>
              <w:t>Plazo</w:t>
            </w:r>
          </w:p>
        </w:tc>
      </w:tr>
      <w:tr w:rsidR="004C7F39" w14:paraId="3CF9B231" w14:textId="77777777" w:rsidTr="004C7F39">
        <w:tc>
          <w:tcPr>
            <w:tcW w:w="3397" w:type="dxa"/>
          </w:tcPr>
          <w:p w14:paraId="756D12AA" w14:textId="77777777" w:rsidR="004C7F39" w:rsidRDefault="004C7F39" w:rsidP="004C7F39">
            <w:pPr>
              <w:jc w:val="both"/>
              <w:rPr>
                <w:color w:val="000000"/>
                <w:sz w:val="20"/>
                <w:szCs w:val="20"/>
              </w:rPr>
            </w:pPr>
          </w:p>
        </w:tc>
        <w:tc>
          <w:tcPr>
            <w:tcW w:w="2694" w:type="dxa"/>
          </w:tcPr>
          <w:p w14:paraId="7471F1E6" w14:textId="77777777" w:rsidR="004C7F39" w:rsidRDefault="004C7F39" w:rsidP="004C7F39">
            <w:pPr>
              <w:jc w:val="both"/>
              <w:rPr>
                <w:color w:val="000000"/>
                <w:sz w:val="20"/>
                <w:szCs w:val="20"/>
              </w:rPr>
            </w:pPr>
          </w:p>
        </w:tc>
        <w:tc>
          <w:tcPr>
            <w:tcW w:w="1701" w:type="dxa"/>
          </w:tcPr>
          <w:p w14:paraId="525A055B" w14:textId="77777777" w:rsidR="004C7F39" w:rsidRDefault="004C7F39" w:rsidP="004C7F39">
            <w:pPr>
              <w:jc w:val="both"/>
              <w:rPr>
                <w:color w:val="000000"/>
                <w:sz w:val="20"/>
                <w:szCs w:val="20"/>
              </w:rPr>
            </w:pPr>
          </w:p>
        </w:tc>
        <w:tc>
          <w:tcPr>
            <w:tcW w:w="1984" w:type="dxa"/>
          </w:tcPr>
          <w:p w14:paraId="628C5730" w14:textId="77777777" w:rsidR="004C7F39" w:rsidRDefault="004C7F39" w:rsidP="004C7F39">
            <w:pPr>
              <w:jc w:val="both"/>
              <w:rPr>
                <w:color w:val="000000"/>
                <w:sz w:val="20"/>
                <w:szCs w:val="20"/>
              </w:rPr>
            </w:pPr>
          </w:p>
        </w:tc>
      </w:tr>
      <w:tr w:rsidR="004C7F39" w14:paraId="4E5D9780" w14:textId="77777777" w:rsidTr="004C7F39">
        <w:tc>
          <w:tcPr>
            <w:tcW w:w="3397" w:type="dxa"/>
          </w:tcPr>
          <w:p w14:paraId="754F4A3C" w14:textId="77777777" w:rsidR="004C7F39" w:rsidRDefault="004C7F39" w:rsidP="004C7F39">
            <w:pPr>
              <w:jc w:val="both"/>
              <w:rPr>
                <w:color w:val="000000"/>
                <w:sz w:val="20"/>
                <w:szCs w:val="20"/>
              </w:rPr>
            </w:pPr>
          </w:p>
        </w:tc>
        <w:tc>
          <w:tcPr>
            <w:tcW w:w="2694" w:type="dxa"/>
          </w:tcPr>
          <w:p w14:paraId="7DDFC339" w14:textId="77777777" w:rsidR="004C7F39" w:rsidRDefault="004C7F39" w:rsidP="004C7F39">
            <w:pPr>
              <w:jc w:val="both"/>
              <w:rPr>
                <w:color w:val="000000"/>
                <w:sz w:val="20"/>
                <w:szCs w:val="20"/>
              </w:rPr>
            </w:pPr>
          </w:p>
        </w:tc>
        <w:tc>
          <w:tcPr>
            <w:tcW w:w="1701" w:type="dxa"/>
          </w:tcPr>
          <w:p w14:paraId="0C516369" w14:textId="77777777" w:rsidR="004C7F39" w:rsidRDefault="004C7F39" w:rsidP="004C7F39">
            <w:pPr>
              <w:jc w:val="both"/>
              <w:rPr>
                <w:color w:val="000000"/>
                <w:sz w:val="20"/>
                <w:szCs w:val="20"/>
              </w:rPr>
            </w:pPr>
          </w:p>
        </w:tc>
        <w:tc>
          <w:tcPr>
            <w:tcW w:w="1984" w:type="dxa"/>
          </w:tcPr>
          <w:p w14:paraId="295F76CE" w14:textId="77777777" w:rsidR="004C7F39" w:rsidRDefault="004C7F39" w:rsidP="004C7F39">
            <w:pPr>
              <w:jc w:val="both"/>
              <w:rPr>
                <w:color w:val="000000"/>
                <w:sz w:val="20"/>
                <w:szCs w:val="20"/>
              </w:rPr>
            </w:pPr>
          </w:p>
        </w:tc>
      </w:tr>
      <w:tr w:rsidR="004C7F39" w14:paraId="3971DAAD" w14:textId="77777777" w:rsidTr="004C7F39">
        <w:tc>
          <w:tcPr>
            <w:tcW w:w="3397" w:type="dxa"/>
          </w:tcPr>
          <w:p w14:paraId="7EA72080" w14:textId="77777777" w:rsidR="004C7F39" w:rsidRDefault="004C7F39" w:rsidP="004C7F39">
            <w:pPr>
              <w:jc w:val="both"/>
              <w:rPr>
                <w:color w:val="000000"/>
                <w:sz w:val="20"/>
                <w:szCs w:val="20"/>
              </w:rPr>
            </w:pPr>
          </w:p>
        </w:tc>
        <w:tc>
          <w:tcPr>
            <w:tcW w:w="2694" w:type="dxa"/>
          </w:tcPr>
          <w:p w14:paraId="6C96C735" w14:textId="77777777" w:rsidR="004C7F39" w:rsidRDefault="004C7F39" w:rsidP="004C7F39">
            <w:pPr>
              <w:jc w:val="both"/>
              <w:rPr>
                <w:color w:val="000000"/>
                <w:sz w:val="20"/>
                <w:szCs w:val="20"/>
              </w:rPr>
            </w:pPr>
          </w:p>
        </w:tc>
        <w:tc>
          <w:tcPr>
            <w:tcW w:w="1701" w:type="dxa"/>
          </w:tcPr>
          <w:p w14:paraId="6F652E11" w14:textId="77777777" w:rsidR="004C7F39" w:rsidRDefault="004C7F39" w:rsidP="004C7F39">
            <w:pPr>
              <w:jc w:val="both"/>
              <w:rPr>
                <w:color w:val="000000"/>
                <w:sz w:val="20"/>
                <w:szCs w:val="20"/>
              </w:rPr>
            </w:pPr>
          </w:p>
        </w:tc>
        <w:tc>
          <w:tcPr>
            <w:tcW w:w="1984" w:type="dxa"/>
          </w:tcPr>
          <w:p w14:paraId="17A53F16" w14:textId="77777777" w:rsidR="004C7F39" w:rsidRDefault="004C7F39" w:rsidP="004C7F39">
            <w:pPr>
              <w:jc w:val="both"/>
              <w:rPr>
                <w:color w:val="000000"/>
                <w:sz w:val="20"/>
                <w:szCs w:val="20"/>
              </w:rPr>
            </w:pPr>
          </w:p>
        </w:tc>
      </w:tr>
      <w:tr w:rsidR="004C7F39" w14:paraId="17DD960E" w14:textId="77777777" w:rsidTr="004C7F39">
        <w:tc>
          <w:tcPr>
            <w:tcW w:w="3397" w:type="dxa"/>
          </w:tcPr>
          <w:p w14:paraId="075EF078" w14:textId="77777777" w:rsidR="004C7F39" w:rsidRDefault="004C7F39" w:rsidP="004C7F39">
            <w:pPr>
              <w:jc w:val="both"/>
              <w:rPr>
                <w:color w:val="000000"/>
                <w:sz w:val="20"/>
                <w:szCs w:val="20"/>
              </w:rPr>
            </w:pPr>
          </w:p>
        </w:tc>
        <w:tc>
          <w:tcPr>
            <w:tcW w:w="2694" w:type="dxa"/>
          </w:tcPr>
          <w:p w14:paraId="603BD2DB" w14:textId="77777777" w:rsidR="004C7F39" w:rsidRDefault="004C7F39" w:rsidP="004C7F39">
            <w:pPr>
              <w:jc w:val="both"/>
              <w:rPr>
                <w:color w:val="000000"/>
                <w:sz w:val="20"/>
                <w:szCs w:val="20"/>
              </w:rPr>
            </w:pPr>
          </w:p>
        </w:tc>
        <w:tc>
          <w:tcPr>
            <w:tcW w:w="1701" w:type="dxa"/>
          </w:tcPr>
          <w:p w14:paraId="7214FC4A" w14:textId="77777777" w:rsidR="004C7F39" w:rsidRDefault="004C7F39" w:rsidP="004C7F39">
            <w:pPr>
              <w:jc w:val="both"/>
              <w:rPr>
                <w:color w:val="000000"/>
                <w:sz w:val="20"/>
                <w:szCs w:val="20"/>
              </w:rPr>
            </w:pPr>
          </w:p>
        </w:tc>
        <w:tc>
          <w:tcPr>
            <w:tcW w:w="1984" w:type="dxa"/>
          </w:tcPr>
          <w:p w14:paraId="2A1F8FD5" w14:textId="77777777" w:rsidR="004C7F39" w:rsidRDefault="004C7F39" w:rsidP="004C7F39">
            <w:pPr>
              <w:jc w:val="both"/>
              <w:rPr>
                <w:color w:val="000000"/>
                <w:sz w:val="20"/>
                <w:szCs w:val="20"/>
              </w:rPr>
            </w:pPr>
          </w:p>
        </w:tc>
      </w:tr>
      <w:tr w:rsidR="004C7F39" w14:paraId="3E493F48" w14:textId="77777777" w:rsidTr="004C7F39">
        <w:tc>
          <w:tcPr>
            <w:tcW w:w="3397" w:type="dxa"/>
          </w:tcPr>
          <w:p w14:paraId="6046EAB3" w14:textId="77777777" w:rsidR="004C7F39" w:rsidRDefault="004C7F39" w:rsidP="004C7F39">
            <w:pPr>
              <w:jc w:val="both"/>
              <w:rPr>
                <w:color w:val="000000"/>
                <w:sz w:val="20"/>
                <w:szCs w:val="20"/>
              </w:rPr>
            </w:pPr>
          </w:p>
        </w:tc>
        <w:tc>
          <w:tcPr>
            <w:tcW w:w="2694" w:type="dxa"/>
          </w:tcPr>
          <w:p w14:paraId="1BA6B83C" w14:textId="77777777" w:rsidR="004C7F39" w:rsidRDefault="004C7F39" w:rsidP="004C7F39">
            <w:pPr>
              <w:jc w:val="both"/>
              <w:rPr>
                <w:color w:val="000000"/>
                <w:sz w:val="20"/>
                <w:szCs w:val="20"/>
              </w:rPr>
            </w:pPr>
          </w:p>
        </w:tc>
        <w:tc>
          <w:tcPr>
            <w:tcW w:w="1701" w:type="dxa"/>
          </w:tcPr>
          <w:p w14:paraId="65F69C27" w14:textId="77777777" w:rsidR="004C7F39" w:rsidRDefault="004C7F39" w:rsidP="004C7F39">
            <w:pPr>
              <w:jc w:val="both"/>
              <w:rPr>
                <w:color w:val="000000"/>
                <w:sz w:val="20"/>
                <w:szCs w:val="20"/>
              </w:rPr>
            </w:pPr>
          </w:p>
        </w:tc>
        <w:tc>
          <w:tcPr>
            <w:tcW w:w="1984" w:type="dxa"/>
          </w:tcPr>
          <w:p w14:paraId="40D17383" w14:textId="77777777" w:rsidR="004C7F39" w:rsidRDefault="004C7F39" w:rsidP="004C7F39">
            <w:pPr>
              <w:jc w:val="both"/>
              <w:rPr>
                <w:color w:val="000000"/>
                <w:sz w:val="20"/>
                <w:szCs w:val="20"/>
              </w:rPr>
            </w:pPr>
          </w:p>
        </w:tc>
      </w:tr>
      <w:tr w:rsidR="004C7F39" w14:paraId="1D3F3249" w14:textId="77777777" w:rsidTr="004C7F39">
        <w:tc>
          <w:tcPr>
            <w:tcW w:w="3397" w:type="dxa"/>
          </w:tcPr>
          <w:p w14:paraId="71E98BD5" w14:textId="77777777" w:rsidR="004C7F39" w:rsidRDefault="004C7F39" w:rsidP="004C7F39">
            <w:pPr>
              <w:jc w:val="both"/>
              <w:rPr>
                <w:color w:val="000000"/>
                <w:sz w:val="20"/>
                <w:szCs w:val="20"/>
              </w:rPr>
            </w:pPr>
          </w:p>
        </w:tc>
        <w:tc>
          <w:tcPr>
            <w:tcW w:w="2694" w:type="dxa"/>
          </w:tcPr>
          <w:p w14:paraId="27A64F3C" w14:textId="77777777" w:rsidR="004C7F39" w:rsidRDefault="004C7F39" w:rsidP="004C7F39">
            <w:pPr>
              <w:jc w:val="both"/>
              <w:rPr>
                <w:color w:val="000000"/>
                <w:sz w:val="20"/>
                <w:szCs w:val="20"/>
              </w:rPr>
            </w:pPr>
          </w:p>
        </w:tc>
        <w:tc>
          <w:tcPr>
            <w:tcW w:w="1701" w:type="dxa"/>
          </w:tcPr>
          <w:p w14:paraId="323A7728" w14:textId="77777777" w:rsidR="004C7F39" w:rsidRDefault="004C7F39" w:rsidP="004C7F39">
            <w:pPr>
              <w:jc w:val="both"/>
              <w:rPr>
                <w:color w:val="000000"/>
                <w:sz w:val="20"/>
                <w:szCs w:val="20"/>
              </w:rPr>
            </w:pPr>
          </w:p>
        </w:tc>
        <w:tc>
          <w:tcPr>
            <w:tcW w:w="1984" w:type="dxa"/>
          </w:tcPr>
          <w:p w14:paraId="07FA0284" w14:textId="77777777" w:rsidR="004C7F39" w:rsidRDefault="004C7F39" w:rsidP="004C7F39">
            <w:pPr>
              <w:jc w:val="both"/>
              <w:rPr>
                <w:color w:val="000000"/>
                <w:sz w:val="20"/>
                <w:szCs w:val="20"/>
              </w:rPr>
            </w:pPr>
          </w:p>
        </w:tc>
      </w:tr>
      <w:tr w:rsidR="004C7F39" w14:paraId="1B29F960" w14:textId="77777777" w:rsidTr="004C7F39">
        <w:tc>
          <w:tcPr>
            <w:tcW w:w="3397" w:type="dxa"/>
          </w:tcPr>
          <w:p w14:paraId="626C56D5" w14:textId="77777777" w:rsidR="004C7F39" w:rsidRDefault="004C7F39" w:rsidP="004C7F39">
            <w:pPr>
              <w:jc w:val="both"/>
              <w:rPr>
                <w:color w:val="000000"/>
                <w:sz w:val="20"/>
                <w:szCs w:val="20"/>
              </w:rPr>
            </w:pPr>
          </w:p>
        </w:tc>
        <w:tc>
          <w:tcPr>
            <w:tcW w:w="2694" w:type="dxa"/>
          </w:tcPr>
          <w:p w14:paraId="714C0E3B" w14:textId="77777777" w:rsidR="004C7F39" w:rsidRDefault="004C7F39" w:rsidP="004C7F39">
            <w:pPr>
              <w:jc w:val="both"/>
              <w:rPr>
                <w:color w:val="000000"/>
                <w:sz w:val="20"/>
                <w:szCs w:val="20"/>
              </w:rPr>
            </w:pPr>
          </w:p>
        </w:tc>
        <w:tc>
          <w:tcPr>
            <w:tcW w:w="1701" w:type="dxa"/>
          </w:tcPr>
          <w:p w14:paraId="0DCADA02" w14:textId="77777777" w:rsidR="004C7F39" w:rsidRDefault="004C7F39" w:rsidP="004C7F39">
            <w:pPr>
              <w:jc w:val="both"/>
              <w:rPr>
                <w:color w:val="000000"/>
                <w:sz w:val="20"/>
                <w:szCs w:val="20"/>
              </w:rPr>
            </w:pPr>
          </w:p>
        </w:tc>
        <w:tc>
          <w:tcPr>
            <w:tcW w:w="1984" w:type="dxa"/>
          </w:tcPr>
          <w:p w14:paraId="3A1A39D8" w14:textId="77777777" w:rsidR="004C7F39" w:rsidRDefault="004C7F39" w:rsidP="004C7F39">
            <w:pPr>
              <w:jc w:val="both"/>
              <w:rPr>
                <w:color w:val="000000"/>
                <w:sz w:val="20"/>
                <w:szCs w:val="20"/>
              </w:rPr>
            </w:pPr>
          </w:p>
        </w:tc>
      </w:tr>
    </w:tbl>
    <w:p w14:paraId="5731C914" w14:textId="12B1028F" w:rsidR="004C7F39" w:rsidRDefault="004C7F39" w:rsidP="004C7F39">
      <w:pPr>
        <w:jc w:val="both"/>
        <w:rPr>
          <w:color w:val="000000"/>
          <w:sz w:val="20"/>
          <w:szCs w:val="20"/>
        </w:rPr>
      </w:pPr>
    </w:p>
    <w:p w14:paraId="2BBBF25B" w14:textId="6300883D" w:rsidR="004C7F39" w:rsidRPr="004C7F39" w:rsidRDefault="004C7F39" w:rsidP="004C7F39">
      <w:pPr>
        <w:jc w:val="both"/>
        <w:rPr>
          <w:color w:val="0070C0"/>
          <w:sz w:val="20"/>
          <w:szCs w:val="20"/>
        </w:rPr>
      </w:pPr>
      <w:r w:rsidRPr="004C7F39">
        <w:rPr>
          <w:color w:val="0070C0"/>
          <w:sz w:val="20"/>
          <w:szCs w:val="20"/>
        </w:rPr>
        <w:t>Por ejemplo:</w:t>
      </w:r>
    </w:p>
    <w:p w14:paraId="55FC091B" w14:textId="77777777" w:rsidR="004C7F39" w:rsidRPr="004C7F39" w:rsidRDefault="004C7F39" w:rsidP="004C7F39">
      <w:pPr>
        <w:jc w:val="both"/>
        <w:rPr>
          <w:b/>
          <w:color w:val="0070C0"/>
          <w:sz w:val="20"/>
          <w:szCs w:val="20"/>
        </w:rPr>
      </w:pPr>
      <w:r w:rsidRPr="004C7F39">
        <w:rPr>
          <w:b/>
          <w:color w:val="0070C0"/>
          <w:sz w:val="20"/>
          <w:szCs w:val="20"/>
        </w:rPr>
        <w:t>Planificación de medidas PERSONAS:</w:t>
      </w:r>
    </w:p>
    <w:tbl>
      <w:tblPr>
        <w:tblStyle w:val="Tablaconcuadrcula"/>
        <w:tblW w:w="9776" w:type="dxa"/>
        <w:tblLook w:val="04A0" w:firstRow="1" w:lastRow="0" w:firstColumn="1" w:lastColumn="0" w:noHBand="0" w:noVBand="1"/>
      </w:tblPr>
      <w:tblGrid>
        <w:gridCol w:w="3397"/>
        <w:gridCol w:w="2694"/>
        <w:gridCol w:w="1701"/>
        <w:gridCol w:w="1984"/>
      </w:tblGrid>
      <w:tr w:rsidR="004C7F39" w:rsidRPr="004C7F39" w14:paraId="3753244A" w14:textId="77777777" w:rsidTr="008D673C">
        <w:tc>
          <w:tcPr>
            <w:tcW w:w="3397" w:type="dxa"/>
          </w:tcPr>
          <w:p w14:paraId="40F64134" w14:textId="77777777" w:rsidR="004C7F39" w:rsidRPr="004C7F39" w:rsidRDefault="004C7F39" w:rsidP="008D673C">
            <w:pPr>
              <w:jc w:val="both"/>
              <w:rPr>
                <w:b/>
                <w:color w:val="0070C0"/>
                <w:sz w:val="20"/>
                <w:szCs w:val="20"/>
              </w:rPr>
            </w:pPr>
            <w:r w:rsidRPr="004C7F39">
              <w:rPr>
                <w:b/>
                <w:color w:val="0070C0"/>
                <w:sz w:val="20"/>
                <w:szCs w:val="20"/>
              </w:rPr>
              <w:t xml:space="preserve">Medida </w:t>
            </w:r>
          </w:p>
        </w:tc>
        <w:tc>
          <w:tcPr>
            <w:tcW w:w="2694" w:type="dxa"/>
          </w:tcPr>
          <w:p w14:paraId="42302D0D" w14:textId="77777777" w:rsidR="004C7F39" w:rsidRPr="004C7F39" w:rsidRDefault="004C7F39" w:rsidP="008D673C">
            <w:pPr>
              <w:jc w:val="both"/>
              <w:rPr>
                <w:b/>
                <w:color w:val="0070C0"/>
                <w:sz w:val="20"/>
                <w:szCs w:val="20"/>
              </w:rPr>
            </w:pPr>
            <w:r w:rsidRPr="004C7F39">
              <w:rPr>
                <w:b/>
                <w:color w:val="0070C0"/>
                <w:sz w:val="20"/>
                <w:szCs w:val="20"/>
              </w:rPr>
              <w:t>Acciones</w:t>
            </w:r>
          </w:p>
        </w:tc>
        <w:tc>
          <w:tcPr>
            <w:tcW w:w="1701" w:type="dxa"/>
          </w:tcPr>
          <w:p w14:paraId="4D3D184D" w14:textId="77777777" w:rsidR="004C7F39" w:rsidRPr="004C7F39" w:rsidRDefault="004C7F39" w:rsidP="008D673C">
            <w:pPr>
              <w:jc w:val="both"/>
              <w:rPr>
                <w:b/>
                <w:color w:val="0070C0"/>
                <w:sz w:val="20"/>
                <w:szCs w:val="20"/>
              </w:rPr>
            </w:pPr>
            <w:r w:rsidRPr="004C7F39">
              <w:rPr>
                <w:b/>
                <w:color w:val="0070C0"/>
                <w:sz w:val="20"/>
                <w:szCs w:val="20"/>
              </w:rPr>
              <w:t>Responsable</w:t>
            </w:r>
          </w:p>
        </w:tc>
        <w:tc>
          <w:tcPr>
            <w:tcW w:w="1984" w:type="dxa"/>
          </w:tcPr>
          <w:p w14:paraId="3BDA0DE0" w14:textId="77777777" w:rsidR="004C7F39" w:rsidRPr="004C7F39" w:rsidRDefault="004C7F39" w:rsidP="008D673C">
            <w:pPr>
              <w:jc w:val="both"/>
              <w:rPr>
                <w:b/>
                <w:color w:val="0070C0"/>
                <w:sz w:val="20"/>
                <w:szCs w:val="20"/>
              </w:rPr>
            </w:pPr>
            <w:r w:rsidRPr="004C7F39">
              <w:rPr>
                <w:b/>
                <w:color w:val="0070C0"/>
                <w:sz w:val="20"/>
                <w:szCs w:val="20"/>
              </w:rPr>
              <w:t>Plazo</w:t>
            </w:r>
          </w:p>
        </w:tc>
      </w:tr>
      <w:tr w:rsidR="004C7F39" w:rsidRPr="004C7F39" w14:paraId="00B522D5" w14:textId="77777777" w:rsidTr="008D673C">
        <w:tc>
          <w:tcPr>
            <w:tcW w:w="3397" w:type="dxa"/>
          </w:tcPr>
          <w:p w14:paraId="0BA40387" w14:textId="0C55DF9A" w:rsidR="004C7F39" w:rsidRPr="004C7F39" w:rsidRDefault="004C7F39" w:rsidP="008D673C">
            <w:pPr>
              <w:jc w:val="both"/>
              <w:rPr>
                <w:b/>
                <w:color w:val="0070C0"/>
                <w:sz w:val="20"/>
                <w:szCs w:val="20"/>
              </w:rPr>
            </w:pPr>
            <w:r w:rsidRPr="004C7F39">
              <w:rPr>
                <w:b/>
                <w:color w:val="0070C0"/>
                <w:sz w:val="20"/>
                <w:szCs w:val="20"/>
              </w:rPr>
              <w:t>Formar a los empleados</w:t>
            </w:r>
          </w:p>
        </w:tc>
        <w:tc>
          <w:tcPr>
            <w:tcW w:w="2694" w:type="dxa"/>
          </w:tcPr>
          <w:p w14:paraId="2E2800F3" w14:textId="2ECE4632" w:rsidR="004C7F39" w:rsidRPr="004C7F39" w:rsidRDefault="004C7F39" w:rsidP="008D673C">
            <w:pPr>
              <w:jc w:val="both"/>
              <w:rPr>
                <w:color w:val="0070C0"/>
                <w:sz w:val="20"/>
                <w:szCs w:val="20"/>
              </w:rPr>
            </w:pPr>
            <w:r>
              <w:rPr>
                <w:color w:val="0070C0"/>
                <w:sz w:val="20"/>
                <w:szCs w:val="20"/>
              </w:rPr>
              <w:t>Realizar concienciación en ciberseguridad de 2 horas de duración cada tres meses con contenidos actualizados según alertas.</w:t>
            </w:r>
          </w:p>
        </w:tc>
        <w:tc>
          <w:tcPr>
            <w:tcW w:w="1701" w:type="dxa"/>
          </w:tcPr>
          <w:p w14:paraId="4FB938E0" w14:textId="5335CD95" w:rsidR="004C7F39" w:rsidRPr="004C7F39" w:rsidRDefault="004C7F39" w:rsidP="008D673C">
            <w:pPr>
              <w:jc w:val="both"/>
              <w:rPr>
                <w:color w:val="0070C0"/>
                <w:sz w:val="20"/>
                <w:szCs w:val="20"/>
              </w:rPr>
            </w:pPr>
            <w:r>
              <w:rPr>
                <w:color w:val="0070C0"/>
                <w:sz w:val="20"/>
                <w:szCs w:val="20"/>
              </w:rPr>
              <w:t>Responsable de seguridad de la información.</w:t>
            </w:r>
          </w:p>
        </w:tc>
        <w:tc>
          <w:tcPr>
            <w:tcW w:w="1984" w:type="dxa"/>
          </w:tcPr>
          <w:p w14:paraId="0FC7D7F9" w14:textId="7F18EE35" w:rsidR="004C7F39" w:rsidRPr="004C7F39" w:rsidRDefault="004C7F39" w:rsidP="008D673C">
            <w:pPr>
              <w:jc w:val="both"/>
              <w:rPr>
                <w:color w:val="0070C0"/>
                <w:sz w:val="20"/>
                <w:szCs w:val="20"/>
              </w:rPr>
            </w:pPr>
            <w:r>
              <w:rPr>
                <w:color w:val="0070C0"/>
                <w:sz w:val="20"/>
                <w:szCs w:val="20"/>
              </w:rPr>
              <w:t>31-12-25</w:t>
            </w:r>
          </w:p>
        </w:tc>
      </w:tr>
      <w:tr w:rsidR="004C7F39" w:rsidRPr="004C7F39" w14:paraId="5A0DFCAC" w14:textId="77777777" w:rsidTr="008D673C">
        <w:tc>
          <w:tcPr>
            <w:tcW w:w="3397" w:type="dxa"/>
          </w:tcPr>
          <w:p w14:paraId="400601C5" w14:textId="1F7D8DA1" w:rsidR="004C7F39" w:rsidRPr="004C7F39" w:rsidRDefault="004C7F39" w:rsidP="004C7F39">
            <w:pPr>
              <w:jc w:val="both"/>
              <w:rPr>
                <w:b/>
                <w:color w:val="0070C0"/>
                <w:sz w:val="20"/>
                <w:szCs w:val="20"/>
              </w:rPr>
            </w:pPr>
            <w:r>
              <w:rPr>
                <w:b/>
                <w:color w:val="0070C0"/>
                <w:sz w:val="20"/>
                <w:szCs w:val="20"/>
              </w:rPr>
              <w:t>Administración de c</w:t>
            </w:r>
            <w:r w:rsidRPr="004C7F39">
              <w:rPr>
                <w:b/>
                <w:color w:val="0070C0"/>
                <w:sz w:val="20"/>
                <w:szCs w:val="20"/>
              </w:rPr>
              <w:t>uentas de correo concentradas en una persona</w:t>
            </w:r>
          </w:p>
        </w:tc>
        <w:tc>
          <w:tcPr>
            <w:tcW w:w="2694" w:type="dxa"/>
          </w:tcPr>
          <w:p w14:paraId="417ECBD8" w14:textId="0AD560BD" w:rsidR="004C7F39" w:rsidRPr="004C7F39" w:rsidRDefault="004C7F39" w:rsidP="004C7F39">
            <w:pPr>
              <w:jc w:val="both"/>
              <w:rPr>
                <w:color w:val="0070C0"/>
                <w:sz w:val="20"/>
                <w:szCs w:val="20"/>
              </w:rPr>
            </w:pPr>
            <w:r>
              <w:rPr>
                <w:color w:val="0070C0"/>
                <w:sz w:val="20"/>
                <w:szCs w:val="20"/>
              </w:rPr>
              <w:t>Nombrar al Responsable de Seguridad de la información como administrador de las cuentas de correo y en su defecto al Director de la empresa.</w:t>
            </w:r>
          </w:p>
        </w:tc>
        <w:tc>
          <w:tcPr>
            <w:tcW w:w="1701" w:type="dxa"/>
          </w:tcPr>
          <w:p w14:paraId="385EE447" w14:textId="7DAF73B7" w:rsidR="004C7F39" w:rsidRPr="004C7F39" w:rsidRDefault="004C7F39" w:rsidP="004C7F39">
            <w:pPr>
              <w:jc w:val="both"/>
              <w:rPr>
                <w:color w:val="0070C0"/>
                <w:sz w:val="20"/>
                <w:szCs w:val="20"/>
              </w:rPr>
            </w:pPr>
            <w:r>
              <w:rPr>
                <w:color w:val="0070C0"/>
                <w:sz w:val="20"/>
                <w:szCs w:val="20"/>
              </w:rPr>
              <w:t>Dirección</w:t>
            </w:r>
          </w:p>
        </w:tc>
        <w:tc>
          <w:tcPr>
            <w:tcW w:w="1984" w:type="dxa"/>
          </w:tcPr>
          <w:p w14:paraId="2B684439" w14:textId="38DFDDED" w:rsidR="004C7F39" w:rsidRPr="004C7F39" w:rsidRDefault="004C7F39" w:rsidP="004C7F39">
            <w:pPr>
              <w:jc w:val="both"/>
              <w:rPr>
                <w:color w:val="0070C0"/>
                <w:sz w:val="20"/>
                <w:szCs w:val="20"/>
              </w:rPr>
            </w:pPr>
            <w:r>
              <w:rPr>
                <w:color w:val="0070C0"/>
                <w:sz w:val="20"/>
                <w:szCs w:val="20"/>
              </w:rPr>
              <w:t>31-12-25</w:t>
            </w:r>
          </w:p>
        </w:tc>
      </w:tr>
      <w:tr w:rsidR="004C7F39" w:rsidRPr="004C7F39" w14:paraId="1CFE456C" w14:textId="77777777" w:rsidTr="008D673C">
        <w:tc>
          <w:tcPr>
            <w:tcW w:w="3397" w:type="dxa"/>
          </w:tcPr>
          <w:p w14:paraId="65A334A3" w14:textId="1E50D083" w:rsidR="004C7F39" w:rsidRPr="004C7F39" w:rsidRDefault="004C7F39" w:rsidP="004C7F39">
            <w:pPr>
              <w:jc w:val="both"/>
              <w:rPr>
                <w:b/>
                <w:color w:val="0070C0"/>
                <w:sz w:val="20"/>
                <w:szCs w:val="20"/>
              </w:rPr>
            </w:pPr>
            <w:r w:rsidRPr="004C7F39">
              <w:rPr>
                <w:b/>
                <w:color w:val="0070C0"/>
                <w:sz w:val="20"/>
                <w:szCs w:val="20"/>
              </w:rPr>
              <w:t>Actualizar contenido de la página web</w:t>
            </w:r>
          </w:p>
        </w:tc>
        <w:tc>
          <w:tcPr>
            <w:tcW w:w="2694" w:type="dxa"/>
          </w:tcPr>
          <w:p w14:paraId="41274F78" w14:textId="07535AA4" w:rsidR="004C7F39" w:rsidRPr="004C7F39" w:rsidRDefault="004C7F39" w:rsidP="004C7F39">
            <w:pPr>
              <w:jc w:val="both"/>
              <w:rPr>
                <w:color w:val="0070C0"/>
                <w:sz w:val="20"/>
                <w:szCs w:val="20"/>
              </w:rPr>
            </w:pPr>
            <w:r>
              <w:rPr>
                <w:color w:val="0070C0"/>
                <w:sz w:val="20"/>
                <w:szCs w:val="20"/>
              </w:rPr>
              <w:t>Actualizar el contenido de la página web y revisar su seguridad cada tres meses.</w:t>
            </w:r>
          </w:p>
        </w:tc>
        <w:tc>
          <w:tcPr>
            <w:tcW w:w="1701" w:type="dxa"/>
          </w:tcPr>
          <w:p w14:paraId="41A44267" w14:textId="68931FD9" w:rsidR="004C7F39" w:rsidRDefault="004C7F39" w:rsidP="004C7F39">
            <w:pPr>
              <w:jc w:val="both"/>
              <w:rPr>
                <w:color w:val="0070C0"/>
                <w:sz w:val="20"/>
                <w:szCs w:val="20"/>
              </w:rPr>
            </w:pPr>
            <w:r>
              <w:rPr>
                <w:color w:val="0070C0"/>
                <w:sz w:val="20"/>
                <w:szCs w:val="20"/>
              </w:rPr>
              <w:t>Dirección MKT</w:t>
            </w:r>
          </w:p>
          <w:p w14:paraId="6F39A890" w14:textId="348234DE" w:rsidR="004C7F39" w:rsidRDefault="004C7F39" w:rsidP="004C7F39">
            <w:pPr>
              <w:jc w:val="both"/>
              <w:rPr>
                <w:color w:val="0070C0"/>
                <w:sz w:val="20"/>
                <w:szCs w:val="20"/>
              </w:rPr>
            </w:pPr>
            <w:r>
              <w:rPr>
                <w:color w:val="0070C0"/>
                <w:sz w:val="20"/>
                <w:szCs w:val="20"/>
              </w:rPr>
              <w:t>Responsable de seguridad de la información.</w:t>
            </w:r>
          </w:p>
          <w:p w14:paraId="1C208AE8" w14:textId="2F288C89" w:rsidR="004C7F39" w:rsidRPr="004C7F39" w:rsidRDefault="004C7F39" w:rsidP="004C7F39">
            <w:pPr>
              <w:jc w:val="both"/>
              <w:rPr>
                <w:color w:val="0070C0"/>
                <w:sz w:val="20"/>
                <w:szCs w:val="20"/>
              </w:rPr>
            </w:pPr>
          </w:p>
        </w:tc>
        <w:tc>
          <w:tcPr>
            <w:tcW w:w="1984" w:type="dxa"/>
          </w:tcPr>
          <w:p w14:paraId="277DB7BB" w14:textId="7C07B772" w:rsidR="004C7F39" w:rsidRPr="004C7F39" w:rsidRDefault="004C7F39" w:rsidP="004C7F39">
            <w:pPr>
              <w:jc w:val="both"/>
              <w:rPr>
                <w:color w:val="0070C0"/>
                <w:sz w:val="20"/>
                <w:szCs w:val="20"/>
              </w:rPr>
            </w:pPr>
            <w:r>
              <w:rPr>
                <w:color w:val="0070C0"/>
                <w:sz w:val="20"/>
                <w:szCs w:val="20"/>
              </w:rPr>
              <w:t>31-12-2025</w:t>
            </w:r>
          </w:p>
        </w:tc>
      </w:tr>
      <w:tr w:rsidR="004C7F39" w:rsidRPr="004C7F39" w14:paraId="5E3AE9F9" w14:textId="77777777" w:rsidTr="008D673C">
        <w:tc>
          <w:tcPr>
            <w:tcW w:w="3397" w:type="dxa"/>
          </w:tcPr>
          <w:p w14:paraId="61B9F475" w14:textId="72EAA8D4" w:rsidR="004C7F39" w:rsidRPr="004C7F39" w:rsidRDefault="004C7F39" w:rsidP="004C7F39">
            <w:pPr>
              <w:jc w:val="both"/>
              <w:rPr>
                <w:b/>
                <w:color w:val="0070C0"/>
                <w:sz w:val="20"/>
                <w:szCs w:val="20"/>
              </w:rPr>
            </w:pPr>
            <w:r w:rsidRPr="004C7F39">
              <w:rPr>
                <w:b/>
                <w:color w:val="0070C0"/>
                <w:sz w:val="20"/>
                <w:szCs w:val="20"/>
              </w:rPr>
              <w:t>Planificar las copias de seguridad.</w:t>
            </w:r>
          </w:p>
        </w:tc>
        <w:tc>
          <w:tcPr>
            <w:tcW w:w="2694" w:type="dxa"/>
          </w:tcPr>
          <w:p w14:paraId="35E41D7F" w14:textId="1E9E591E" w:rsidR="004C7F39" w:rsidRPr="004C7F39" w:rsidRDefault="004C7F39" w:rsidP="004C7F39">
            <w:pPr>
              <w:jc w:val="both"/>
              <w:rPr>
                <w:color w:val="0070C0"/>
                <w:sz w:val="20"/>
                <w:szCs w:val="20"/>
              </w:rPr>
            </w:pPr>
            <w:r>
              <w:rPr>
                <w:color w:val="0070C0"/>
                <w:sz w:val="20"/>
                <w:szCs w:val="20"/>
              </w:rPr>
              <w:t>Disponer de tres copias de seguridad en dos medios distintos y como mínimo uno de ellos externo.</w:t>
            </w:r>
          </w:p>
        </w:tc>
        <w:tc>
          <w:tcPr>
            <w:tcW w:w="1701" w:type="dxa"/>
          </w:tcPr>
          <w:p w14:paraId="0B4C67AF" w14:textId="2FC6E411" w:rsidR="004C7F39" w:rsidRPr="004C7F39" w:rsidRDefault="004C7F39" w:rsidP="004C7F39">
            <w:pPr>
              <w:jc w:val="both"/>
              <w:rPr>
                <w:color w:val="0070C0"/>
                <w:sz w:val="20"/>
                <w:szCs w:val="20"/>
              </w:rPr>
            </w:pPr>
            <w:r>
              <w:rPr>
                <w:color w:val="0070C0"/>
                <w:sz w:val="20"/>
                <w:szCs w:val="20"/>
              </w:rPr>
              <w:t>Director de sistemas</w:t>
            </w:r>
          </w:p>
        </w:tc>
        <w:tc>
          <w:tcPr>
            <w:tcW w:w="1984" w:type="dxa"/>
          </w:tcPr>
          <w:p w14:paraId="0D325030" w14:textId="4F10DE0F" w:rsidR="004C7F39" w:rsidRPr="004C7F39" w:rsidRDefault="004C7F39" w:rsidP="004C7F39">
            <w:pPr>
              <w:jc w:val="both"/>
              <w:rPr>
                <w:color w:val="0070C0"/>
                <w:sz w:val="20"/>
                <w:szCs w:val="20"/>
              </w:rPr>
            </w:pPr>
            <w:r>
              <w:rPr>
                <w:color w:val="0070C0"/>
                <w:sz w:val="20"/>
                <w:szCs w:val="20"/>
              </w:rPr>
              <w:t>31-12-2025</w:t>
            </w:r>
          </w:p>
        </w:tc>
      </w:tr>
    </w:tbl>
    <w:p w14:paraId="26776627" w14:textId="77777777" w:rsidR="004C7F39" w:rsidRPr="007D7D9F" w:rsidRDefault="004C7F39" w:rsidP="004C7F39">
      <w:pPr>
        <w:jc w:val="both"/>
        <w:rPr>
          <w:color w:val="000000"/>
          <w:sz w:val="20"/>
          <w:szCs w:val="20"/>
        </w:rPr>
      </w:pPr>
    </w:p>
    <w:sectPr w:rsidR="004C7F39" w:rsidRPr="007D7D9F">
      <w:headerReference w:type="default" r:id="rId12"/>
      <w:footerReference w:type="default" r:id="rId13"/>
      <w:pgSz w:w="11906" w:h="16838"/>
      <w:pgMar w:top="680" w:right="1274" w:bottom="1440" w:left="990" w:header="0" w:footer="3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B2163" w14:textId="77777777" w:rsidR="006F7CA2" w:rsidRDefault="006F7CA2">
      <w:pPr>
        <w:spacing w:line="240" w:lineRule="auto"/>
      </w:pPr>
      <w:r>
        <w:separator/>
      </w:r>
    </w:p>
  </w:endnote>
  <w:endnote w:type="continuationSeparator" w:id="0">
    <w:p w14:paraId="179EFBA8" w14:textId="77777777" w:rsidR="006F7CA2" w:rsidRDefault="006F7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5C7C2" w14:textId="77777777" w:rsidR="004311F1" w:rsidRDefault="004311F1">
    <w:pPr>
      <w:spacing w:line="240" w:lineRule="auto"/>
      <w:ind w:left="-83"/>
      <w:jc w:val="center"/>
    </w:pPr>
  </w:p>
  <w:tbl>
    <w:tblPr>
      <w:tblStyle w:val="a8"/>
      <w:tblW w:w="10125" w:type="dxa"/>
      <w:tblInd w:w="1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250"/>
      <w:gridCol w:w="1845"/>
      <w:gridCol w:w="3030"/>
    </w:tblGrid>
    <w:tr w:rsidR="004311F1" w14:paraId="74049030" w14:textId="77777777">
      <w:tc>
        <w:tcPr>
          <w:tcW w:w="5250" w:type="dxa"/>
          <w:tcBorders>
            <w:top w:val="single" w:sz="18" w:space="0" w:color="73EDFF"/>
            <w:left w:val="nil"/>
            <w:right w:val="single" w:sz="36" w:space="0" w:color="FFFFFF"/>
          </w:tcBorders>
          <w:tcMar>
            <w:top w:w="100" w:type="dxa"/>
            <w:left w:w="100" w:type="dxa"/>
            <w:bottom w:w="100" w:type="dxa"/>
            <w:right w:w="100" w:type="dxa"/>
          </w:tcMar>
        </w:tcPr>
        <w:p w14:paraId="787D1EA9" w14:textId="77777777" w:rsidR="004311F1" w:rsidRDefault="00C070BC">
          <w:pPr>
            <w:widowControl w:val="0"/>
            <w:ind w:left="-83"/>
          </w:pPr>
          <w:r>
            <w:rPr>
              <w:sz w:val="16"/>
              <w:szCs w:val="16"/>
            </w:rPr>
            <w:t>Administración y Gestión de Organizaciones · PEC 4</w:t>
          </w:r>
        </w:p>
        <w:p w14:paraId="730E3AA5" w14:textId="77777777" w:rsidR="004311F1" w:rsidRDefault="00C070BC">
          <w:pPr>
            <w:widowControl w:val="0"/>
            <w:ind w:left="-83"/>
          </w:pPr>
          <w:r>
            <w:rPr>
              <w:sz w:val="16"/>
              <w:szCs w:val="16"/>
            </w:rPr>
            <w:t>Estudios de Informática, Multimedia y Telecomunicación</w:t>
          </w:r>
        </w:p>
      </w:tc>
      <w:tc>
        <w:tcPr>
          <w:tcW w:w="1845" w:type="dxa"/>
          <w:tcBorders>
            <w:top w:val="single" w:sz="18" w:space="0" w:color="73EDFF"/>
            <w:left w:val="single" w:sz="36" w:space="0" w:color="FFFFFF"/>
            <w:right w:val="single" w:sz="36" w:space="0" w:color="FFFFFF"/>
          </w:tcBorders>
          <w:tcMar>
            <w:top w:w="100" w:type="dxa"/>
            <w:left w:w="100" w:type="dxa"/>
            <w:bottom w:w="100" w:type="dxa"/>
            <w:right w:w="100" w:type="dxa"/>
          </w:tcMar>
        </w:tcPr>
        <w:p w14:paraId="03ECB286" w14:textId="1BAC5156" w:rsidR="004311F1" w:rsidRDefault="00243245">
          <w:pPr>
            <w:widowControl w:val="0"/>
          </w:pPr>
          <w:r>
            <w:rPr>
              <w:sz w:val="16"/>
              <w:szCs w:val="16"/>
            </w:rPr>
            <w:t>Otoño</w:t>
          </w:r>
          <w:r w:rsidR="00AB4D11">
            <w:rPr>
              <w:sz w:val="16"/>
              <w:szCs w:val="16"/>
            </w:rPr>
            <w:t xml:space="preserve"> 2024</w:t>
          </w:r>
        </w:p>
      </w:tc>
      <w:tc>
        <w:tcPr>
          <w:tcW w:w="3030" w:type="dxa"/>
          <w:tcBorders>
            <w:top w:val="single" w:sz="18" w:space="0" w:color="73EDFF"/>
            <w:left w:val="single" w:sz="36" w:space="0" w:color="FFFFFF"/>
            <w:right w:val="nil"/>
          </w:tcBorders>
          <w:tcMar>
            <w:top w:w="100" w:type="dxa"/>
            <w:left w:w="100" w:type="dxa"/>
            <w:bottom w:w="100" w:type="dxa"/>
            <w:right w:w="100" w:type="dxa"/>
          </w:tcMar>
        </w:tcPr>
        <w:p w14:paraId="2A89656B" w14:textId="43BC2E6D" w:rsidR="004311F1" w:rsidRDefault="00C070BC">
          <w:pPr>
            <w:widowControl w:val="0"/>
            <w:ind w:left="-83" w:right="-111"/>
            <w:jc w:val="right"/>
            <w:rPr>
              <w:sz w:val="16"/>
              <w:szCs w:val="16"/>
            </w:rPr>
          </w:pPr>
          <w:r>
            <w:rPr>
              <w:b/>
              <w:sz w:val="16"/>
              <w:szCs w:val="16"/>
            </w:rPr>
            <w:t xml:space="preserve"> </w:t>
          </w:r>
          <w:r>
            <w:rPr>
              <w:sz w:val="16"/>
              <w:szCs w:val="16"/>
            </w:rPr>
            <w:t xml:space="preserve">Pg. </w:t>
          </w:r>
          <w:r>
            <w:rPr>
              <w:sz w:val="16"/>
              <w:szCs w:val="16"/>
            </w:rPr>
            <w:fldChar w:fldCharType="begin"/>
          </w:r>
          <w:r>
            <w:rPr>
              <w:sz w:val="16"/>
              <w:szCs w:val="16"/>
            </w:rPr>
            <w:instrText>PAGE</w:instrText>
          </w:r>
          <w:r>
            <w:rPr>
              <w:sz w:val="16"/>
              <w:szCs w:val="16"/>
            </w:rPr>
            <w:fldChar w:fldCharType="separate"/>
          </w:r>
          <w:r w:rsidR="00D833DA">
            <w:rPr>
              <w:noProof/>
              <w:sz w:val="16"/>
              <w:szCs w:val="16"/>
            </w:rPr>
            <w:t>7</w:t>
          </w:r>
          <w:r>
            <w:rPr>
              <w:sz w:val="16"/>
              <w:szCs w:val="16"/>
            </w:rPr>
            <w:fldChar w:fldCharType="end"/>
          </w:r>
        </w:p>
      </w:tc>
    </w:tr>
  </w:tbl>
  <w:p w14:paraId="6E1C64DD" w14:textId="77777777" w:rsidR="004311F1" w:rsidRDefault="004311F1">
    <w:pPr>
      <w:jc w:val="right"/>
    </w:pPr>
  </w:p>
  <w:p w14:paraId="525673FC" w14:textId="77777777" w:rsidR="004311F1" w:rsidRDefault="004311F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FBF7A" w14:textId="77777777" w:rsidR="006F7CA2" w:rsidRDefault="006F7CA2">
      <w:pPr>
        <w:spacing w:line="240" w:lineRule="auto"/>
      </w:pPr>
      <w:r>
        <w:separator/>
      </w:r>
    </w:p>
  </w:footnote>
  <w:footnote w:type="continuationSeparator" w:id="0">
    <w:p w14:paraId="5D7B6DD8" w14:textId="77777777" w:rsidR="006F7CA2" w:rsidRDefault="006F7C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6BF56" w14:textId="77777777" w:rsidR="004311F1" w:rsidRDefault="00C070BC">
    <w:pPr>
      <w:spacing w:line="240" w:lineRule="auto"/>
    </w:pPr>
    <w:r>
      <w:rPr>
        <w:noProof/>
        <w:lang w:val="ca-ES" w:eastAsia="ca-ES"/>
      </w:rPr>
      <w:drawing>
        <wp:anchor distT="228600" distB="228600" distL="228600" distR="228600" simplePos="0" relativeHeight="251658240" behindDoc="0" locked="0" layoutInCell="1" hidden="0" allowOverlap="1" wp14:anchorId="6492CDFC" wp14:editId="6EF53554">
          <wp:simplePos x="0" y="0"/>
          <wp:positionH relativeFrom="column">
            <wp:posOffset>-276218</wp:posOffset>
          </wp:positionH>
          <wp:positionV relativeFrom="paragraph">
            <wp:posOffset>200030</wp:posOffset>
          </wp:positionV>
          <wp:extent cx="6496050" cy="628650"/>
          <wp:effectExtent l="0" t="0" r="0" b="0"/>
          <wp:wrapSquare wrapText="bothSides" distT="228600" distB="228600" distL="228600" distR="228600"/>
          <wp:docPr id="2"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r>
      <w:rPr>
        <w:noProof/>
        <w:lang w:val="ca-ES" w:eastAsia="ca-ES"/>
      </w:rPr>
      <mc:AlternateContent>
        <mc:Choice Requires="wps">
          <w:drawing>
            <wp:anchor distT="0" distB="0" distL="0" distR="0" simplePos="0" relativeHeight="251659264" behindDoc="0" locked="0" layoutInCell="1" hidden="0" allowOverlap="1" wp14:anchorId="500BD039" wp14:editId="70400C85">
              <wp:simplePos x="0" y="0"/>
              <wp:positionH relativeFrom="column">
                <wp:posOffset>-1269999</wp:posOffset>
              </wp:positionH>
              <wp:positionV relativeFrom="paragraph">
                <wp:posOffset>-50799</wp:posOffset>
              </wp:positionV>
              <wp:extent cx="7734300" cy="252730"/>
              <wp:effectExtent l="0" t="0" r="0" b="0"/>
              <wp:wrapTopAndBottom distT="0" distB="0"/>
              <wp:docPr id="1" name="Rectángulo 1"/>
              <wp:cNvGraphicFramePr/>
              <a:graphic xmlns:a="http://schemas.openxmlformats.org/drawingml/2006/main">
                <a:graphicData uri="http://schemas.microsoft.com/office/word/2010/wordprocessingShape">
                  <wps:wsp>
                    <wps:cNvSpPr/>
                    <wps:spPr>
                      <a:xfrm>
                        <a:off x="1497900" y="3672685"/>
                        <a:ext cx="7696200" cy="214630"/>
                      </a:xfrm>
                      <a:prstGeom prst="rect">
                        <a:avLst/>
                      </a:prstGeom>
                      <a:noFill/>
                      <a:ln>
                        <a:noFill/>
                      </a:ln>
                    </wps:spPr>
                    <wps:txbx>
                      <w:txbxContent>
                        <w:p w14:paraId="642D4725" w14:textId="77777777" w:rsidR="004311F1" w:rsidRDefault="004311F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00BD039" id="Rectángulo 1" o:spid="_x0000_s1026" style="position:absolute;margin-left:-100pt;margin-top:-4pt;width:609pt;height:19.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" filled="f" stroked="f">
              <v:textbox inset="2.53958mm,2.53958mm,2.53958mm,2.53958mm">
                <w:txbxContent>
                  <w:p w14:paraId="642D4725" w14:textId="77777777" w:rsidR="004311F1" w:rsidRDefault="004311F1">
                    <w:pPr>
                      <w:spacing w:line="240" w:lineRule="auto"/>
                      <w:textDirection w:val="btLr"/>
                    </w:pPr>
                  </w:p>
                </w:txbxContent>
              </v:textbox>
              <w10:wrap type="topAndBottom"/>
            </v:rect>
          </w:pict>
        </mc:Fallback>
      </mc:AlternateContent>
    </w:r>
  </w:p>
  <w:p w14:paraId="68C70674" w14:textId="77777777" w:rsidR="004311F1" w:rsidRDefault="004311F1">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322"/>
    <w:multiLevelType w:val="multilevel"/>
    <w:tmpl w:val="7B82B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2D4181"/>
    <w:multiLevelType w:val="hybridMultilevel"/>
    <w:tmpl w:val="F836CEE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293635F"/>
    <w:multiLevelType w:val="hybridMultilevel"/>
    <w:tmpl w:val="1780D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547C44"/>
    <w:multiLevelType w:val="multilevel"/>
    <w:tmpl w:val="13087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0B6C16"/>
    <w:multiLevelType w:val="hybridMultilevel"/>
    <w:tmpl w:val="C06811F8"/>
    <w:lvl w:ilvl="0" w:tplc="3612A5E2">
      <w:start w:val="1"/>
      <w:numFmt w:val="upperLetter"/>
      <w:lvlText w:val="%1."/>
      <w:lvlJc w:val="left"/>
      <w:pPr>
        <w:ind w:left="720" w:hanging="360"/>
      </w:pPr>
    </w:lvl>
    <w:lvl w:ilvl="1" w:tplc="6ADCD236" w:tentative="1">
      <w:start w:val="1"/>
      <w:numFmt w:val="lowerLetter"/>
      <w:lvlText w:val="%2."/>
      <w:lvlJc w:val="left"/>
      <w:pPr>
        <w:ind w:left="1440" w:hanging="360"/>
      </w:pPr>
    </w:lvl>
    <w:lvl w:ilvl="2" w:tplc="19926E36" w:tentative="1">
      <w:start w:val="1"/>
      <w:numFmt w:val="lowerRoman"/>
      <w:lvlText w:val="%3."/>
      <w:lvlJc w:val="right"/>
      <w:pPr>
        <w:ind w:left="2160" w:hanging="180"/>
      </w:pPr>
    </w:lvl>
    <w:lvl w:ilvl="3" w:tplc="7264D1C8" w:tentative="1">
      <w:start w:val="1"/>
      <w:numFmt w:val="decimal"/>
      <w:lvlText w:val="%4."/>
      <w:lvlJc w:val="left"/>
      <w:pPr>
        <w:ind w:left="2880" w:hanging="360"/>
      </w:pPr>
    </w:lvl>
    <w:lvl w:ilvl="4" w:tplc="80C22052" w:tentative="1">
      <w:start w:val="1"/>
      <w:numFmt w:val="lowerLetter"/>
      <w:lvlText w:val="%5."/>
      <w:lvlJc w:val="left"/>
      <w:pPr>
        <w:ind w:left="3600" w:hanging="360"/>
      </w:pPr>
    </w:lvl>
    <w:lvl w:ilvl="5" w:tplc="573E6F30" w:tentative="1">
      <w:start w:val="1"/>
      <w:numFmt w:val="lowerRoman"/>
      <w:lvlText w:val="%6."/>
      <w:lvlJc w:val="right"/>
      <w:pPr>
        <w:ind w:left="4320" w:hanging="180"/>
      </w:pPr>
    </w:lvl>
    <w:lvl w:ilvl="6" w:tplc="E534A786" w:tentative="1">
      <w:start w:val="1"/>
      <w:numFmt w:val="decimal"/>
      <w:lvlText w:val="%7."/>
      <w:lvlJc w:val="left"/>
      <w:pPr>
        <w:ind w:left="5040" w:hanging="360"/>
      </w:pPr>
    </w:lvl>
    <w:lvl w:ilvl="7" w:tplc="6D56F94A" w:tentative="1">
      <w:start w:val="1"/>
      <w:numFmt w:val="lowerLetter"/>
      <w:lvlText w:val="%8."/>
      <w:lvlJc w:val="left"/>
      <w:pPr>
        <w:ind w:left="5760" w:hanging="360"/>
      </w:pPr>
    </w:lvl>
    <w:lvl w:ilvl="8" w:tplc="172EA09A" w:tentative="1">
      <w:start w:val="1"/>
      <w:numFmt w:val="lowerRoman"/>
      <w:lvlText w:val="%9."/>
      <w:lvlJc w:val="right"/>
      <w:pPr>
        <w:ind w:left="6480" w:hanging="180"/>
      </w:pPr>
    </w:lvl>
  </w:abstractNum>
  <w:abstractNum w:abstractNumId="5" w15:restartNumberingAfterBreak="0">
    <w:nsid w:val="11A765FA"/>
    <w:multiLevelType w:val="multilevel"/>
    <w:tmpl w:val="FD3477DC"/>
    <w:lvl w:ilvl="0">
      <w:start w:val="1"/>
      <w:numFmt w:val="lowerLetter"/>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C11AA3"/>
    <w:multiLevelType w:val="multilevel"/>
    <w:tmpl w:val="08A02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8A4B6B"/>
    <w:multiLevelType w:val="multilevel"/>
    <w:tmpl w:val="F6D88440"/>
    <w:lvl w:ilvl="0">
      <w:start w:val="1"/>
      <w:numFmt w:val="lowerLetter"/>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E1141B"/>
    <w:multiLevelType w:val="hybridMultilevel"/>
    <w:tmpl w:val="D4DA4F42"/>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42438D"/>
    <w:multiLevelType w:val="multilevel"/>
    <w:tmpl w:val="539C0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5A60FC"/>
    <w:multiLevelType w:val="multilevel"/>
    <w:tmpl w:val="B9DA93D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49A7A0C"/>
    <w:multiLevelType w:val="multilevel"/>
    <w:tmpl w:val="83FCC6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0B361C"/>
    <w:multiLevelType w:val="hybridMultilevel"/>
    <w:tmpl w:val="D1D8038E"/>
    <w:lvl w:ilvl="0" w:tplc="B60EC3D6">
      <w:start w:val="1"/>
      <w:numFmt w:val="decimal"/>
      <w:lvlText w:val="%1."/>
      <w:lvlJc w:val="left"/>
      <w:pPr>
        <w:ind w:left="360" w:hanging="360"/>
      </w:pPr>
    </w:lvl>
    <w:lvl w:ilvl="1" w:tplc="B2921D9E">
      <w:start w:val="1"/>
      <w:numFmt w:val="upperLetter"/>
      <w:lvlText w:val="%2)"/>
      <w:lvlJc w:val="left"/>
      <w:pPr>
        <w:ind w:left="1080" w:hanging="360"/>
      </w:pPr>
      <w:rPr>
        <w:rFonts w:hint="default"/>
      </w:rPr>
    </w:lvl>
    <w:lvl w:ilvl="2" w:tplc="1980A5CE" w:tentative="1">
      <w:start w:val="1"/>
      <w:numFmt w:val="lowerRoman"/>
      <w:lvlText w:val="%3."/>
      <w:lvlJc w:val="right"/>
      <w:pPr>
        <w:ind w:left="1800" w:hanging="180"/>
      </w:pPr>
    </w:lvl>
    <w:lvl w:ilvl="3" w:tplc="68CE2FF6" w:tentative="1">
      <w:start w:val="1"/>
      <w:numFmt w:val="decimal"/>
      <w:lvlText w:val="%4."/>
      <w:lvlJc w:val="left"/>
      <w:pPr>
        <w:ind w:left="2520" w:hanging="360"/>
      </w:pPr>
    </w:lvl>
    <w:lvl w:ilvl="4" w:tplc="61E0644E" w:tentative="1">
      <w:start w:val="1"/>
      <w:numFmt w:val="lowerLetter"/>
      <w:lvlText w:val="%5."/>
      <w:lvlJc w:val="left"/>
      <w:pPr>
        <w:ind w:left="3240" w:hanging="360"/>
      </w:pPr>
    </w:lvl>
    <w:lvl w:ilvl="5" w:tplc="9976DD0E" w:tentative="1">
      <w:start w:val="1"/>
      <w:numFmt w:val="lowerRoman"/>
      <w:lvlText w:val="%6."/>
      <w:lvlJc w:val="right"/>
      <w:pPr>
        <w:ind w:left="3960" w:hanging="180"/>
      </w:pPr>
    </w:lvl>
    <w:lvl w:ilvl="6" w:tplc="ECC8609C" w:tentative="1">
      <w:start w:val="1"/>
      <w:numFmt w:val="decimal"/>
      <w:lvlText w:val="%7."/>
      <w:lvlJc w:val="left"/>
      <w:pPr>
        <w:ind w:left="4680" w:hanging="360"/>
      </w:pPr>
    </w:lvl>
    <w:lvl w:ilvl="7" w:tplc="A776E68A" w:tentative="1">
      <w:start w:val="1"/>
      <w:numFmt w:val="lowerLetter"/>
      <w:lvlText w:val="%8."/>
      <w:lvlJc w:val="left"/>
      <w:pPr>
        <w:ind w:left="5400" w:hanging="360"/>
      </w:pPr>
    </w:lvl>
    <w:lvl w:ilvl="8" w:tplc="BFE8CF68" w:tentative="1">
      <w:start w:val="1"/>
      <w:numFmt w:val="lowerRoman"/>
      <w:lvlText w:val="%9."/>
      <w:lvlJc w:val="right"/>
      <w:pPr>
        <w:ind w:left="6120" w:hanging="180"/>
      </w:pPr>
    </w:lvl>
  </w:abstractNum>
  <w:abstractNum w:abstractNumId="13" w15:restartNumberingAfterBreak="0">
    <w:nsid w:val="5135145F"/>
    <w:multiLevelType w:val="multilevel"/>
    <w:tmpl w:val="7F0098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5C07F3A"/>
    <w:multiLevelType w:val="multilevel"/>
    <w:tmpl w:val="49280AAC"/>
    <w:lvl w:ilvl="0">
      <w:start w:val="4"/>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56A25536"/>
    <w:multiLevelType w:val="multilevel"/>
    <w:tmpl w:val="5F26C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8C3722"/>
    <w:multiLevelType w:val="hybridMultilevel"/>
    <w:tmpl w:val="3AF8BCF4"/>
    <w:lvl w:ilvl="0" w:tplc="CFE28606">
      <w:numFmt w:val="bullet"/>
      <w:lvlText w:val="•"/>
      <w:lvlJc w:val="left"/>
      <w:pPr>
        <w:ind w:left="1080" w:hanging="720"/>
      </w:pPr>
      <w:rPr>
        <w:rFonts w:ascii="Arial" w:eastAsia="Arial"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61B11164"/>
    <w:multiLevelType w:val="hybridMultilevel"/>
    <w:tmpl w:val="CA66603A"/>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64637E06"/>
    <w:multiLevelType w:val="hybridMultilevel"/>
    <w:tmpl w:val="1A14BE1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6BC246D7"/>
    <w:multiLevelType w:val="multilevel"/>
    <w:tmpl w:val="D21C01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DDA06DF"/>
    <w:multiLevelType w:val="hybridMultilevel"/>
    <w:tmpl w:val="9244A41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70A110A5"/>
    <w:multiLevelType w:val="multilevel"/>
    <w:tmpl w:val="83FCC6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AA72B20"/>
    <w:multiLevelType w:val="multilevel"/>
    <w:tmpl w:val="83FCC6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0D4EC0"/>
    <w:multiLevelType w:val="multilevel"/>
    <w:tmpl w:val="BEC41530"/>
    <w:lvl w:ilvl="0">
      <w:start w:val="1"/>
      <w:numFmt w:val="decimal"/>
      <w:lvlText w:val="%1."/>
      <w:lvlJc w:val="left"/>
      <w:pPr>
        <w:ind w:left="2345" w:hanging="360"/>
      </w:pPr>
      <w:rPr>
        <w:color w:val="000000"/>
      </w:rPr>
    </w:lvl>
    <w:lvl w:ilvl="1">
      <w:start w:val="1"/>
      <w:numFmt w:val="lowerLetter"/>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24" w15:restartNumberingAfterBreak="0">
    <w:nsid w:val="7DE3514F"/>
    <w:multiLevelType w:val="hybridMultilevel"/>
    <w:tmpl w:val="0460311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9"/>
  </w:num>
  <w:num w:numId="4">
    <w:abstractNumId w:val="5"/>
  </w:num>
  <w:num w:numId="5">
    <w:abstractNumId w:val="14"/>
  </w:num>
  <w:num w:numId="6">
    <w:abstractNumId w:val="7"/>
  </w:num>
  <w:num w:numId="7">
    <w:abstractNumId w:val="10"/>
  </w:num>
  <w:num w:numId="8">
    <w:abstractNumId w:val="21"/>
  </w:num>
  <w:num w:numId="9">
    <w:abstractNumId w:val="1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2"/>
  </w:num>
  <w:num w:numId="13">
    <w:abstractNumId w:val="11"/>
  </w:num>
  <w:num w:numId="14">
    <w:abstractNumId w:val="4"/>
  </w:num>
  <w:num w:numId="15">
    <w:abstractNumId w:val="8"/>
  </w:num>
  <w:num w:numId="16">
    <w:abstractNumId w:val="2"/>
  </w:num>
  <w:num w:numId="17">
    <w:abstractNumId w:val="6"/>
  </w:num>
  <w:num w:numId="18">
    <w:abstractNumId w:val="3"/>
  </w:num>
  <w:num w:numId="19">
    <w:abstractNumId w:val="0"/>
  </w:num>
  <w:num w:numId="20">
    <w:abstractNumId w:val="15"/>
  </w:num>
  <w:num w:numId="21">
    <w:abstractNumId w:val="9"/>
  </w:num>
  <w:num w:numId="22">
    <w:abstractNumId w:val="1"/>
  </w:num>
  <w:num w:numId="23">
    <w:abstractNumId w:val="20"/>
  </w:num>
  <w:num w:numId="24">
    <w:abstractNumId w:val="18"/>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F1"/>
    <w:rsid w:val="00060AAE"/>
    <w:rsid w:val="0009302A"/>
    <w:rsid w:val="00120F2E"/>
    <w:rsid w:val="001A01F8"/>
    <w:rsid w:val="00243245"/>
    <w:rsid w:val="00284C6E"/>
    <w:rsid w:val="002F6E16"/>
    <w:rsid w:val="00340038"/>
    <w:rsid w:val="00340DC4"/>
    <w:rsid w:val="00354BA8"/>
    <w:rsid w:val="003C2709"/>
    <w:rsid w:val="004311F1"/>
    <w:rsid w:val="004C1FD7"/>
    <w:rsid w:val="004C7F39"/>
    <w:rsid w:val="005463E1"/>
    <w:rsid w:val="0055367C"/>
    <w:rsid w:val="005B2BBD"/>
    <w:rsid w:val="005F733F"/>
    <w:rsid w:val="00613C27"/>
    <w:rsid w:val="00663192"/>
    <w:rsid w:val="00697A81"/>
    <w:rsid w:val="006F7CA2"/>
    <w:rsid w:val="007010E0"/>
    <w:rsid w:val="0075362F"/>
    <w:rsid w:val="007D7D9F"/>
    <w:rsid w:val="00804E71"/>
    <w:rsid w:val="00804E96"/>
    <w:rsid w:val="008655B6"/>
    <w:rsid w:val="00890942"/>
    <w:rsid w:val="009605A6"/>
    <w:rsid w:val="009667D4"/>
    <w:rsid w:val="00982C7F"/>
    <w:rsid w:val="00983711"/>
    <w:rsid w:val="00A02D2B"/>
    <w:rsid w:val="00A27EE6"/>
    <w:rsid w:val="00A541A7"/>
    <w:rsid w:val="00AB4D11"/>
    <w:rsid w:val="00AE435E"/>
    <w:rsid w:val="00AF7A2C"/>
    <w:rsid w:val="00B33FE2"/>
    <w:rsid w:val="00C070BC"/>
    <w:rsid w:val="00C07CF4"/>
    <w:rsid w:val="00D46A2E"/>
    <w:rsid w:val="00D775F9"/>
    <w:rsid w:val="00D833DA"/>
    <w:rsid w:val="00DB5BC5"/>
    <w:rsid w:val="00DC23DA"/>
    <w:rsid w:val="00E45AC8"/>
    <w:rsid w:val="00E67937"/>
    <w:rsid w:val="00E908CA"/>
    <w:rsid w:val="00EE7EF8"/>
    <w:rsid w:val="00EF76C0"/>
    <w:rsid w:val="00F1770B"/>
    <w:rsid w:val="00FF42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6D16"/>
  <w15:docId w15:val="{14CF0219-2FCE-423F-9C5B-C54531A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78"/>
        <w:sz w:val="22"/>
        <w:szCs w:val="22"/>
        <w:lang w:val="es-ES_tradnl"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7C"/>
  </w:style>
  <w:style w:type="paragraph" w:styleId="Ttulo1">
    <w:name w:val="heading 1"/>
    <w:basedOn w:val="Normal"/>
    <w:next w:val="Normal"/>
    <w:uiPriority w:val="9"/>
    <w:qFormat/>
    <w:pPr>
      <w:keepNext/>
      <w:keepLines/>
      <w:spacing w:before="280" w:after="80"/>
      <w:outlineLvl w:val="0"/>
    </w:pPr>
    <w:rPr>
      <w:b/>
      <w:sz w:val="36"/>
      <w:szCs w:val="36"/>
    </w:rPr>
  </w:style>
  <w:style w:type="paragraph" w:styleId="Ttulo2">
    <w:name w:val="heading 2"/>
    <w:basedOn w:val="Normal"/>
    <w:next w:val="Normal"/>
    <w:uiPriority w:val="9"/>
    <w:semiHidden/>
    <w:unhideWhenUsed/>
    <w:qFormat/>
    <w:pPr>
      <w:spacing w:before="520"/>
      <w:outlineLvl w:val="1"/>
    </w:pPr>
    <w:rPr>
      <w:sz w:val="36"/>
      <w:szCs w:val="36"/>
    </w:rPr>
  </w:style>
  <w:style w:type="paragraph" w:styleId="Ttulo3">
    <w:name w:val="heading 3"/>
    <w:basedOn w:val="Normal"/>
    <w:next w:val="Normal"/>
    <w:uiPriority w:val="9"/>
    <w:semiHidden/>
    <w:unhideWhenUsed/>
    <w:qFormat/>
    <w:pPr>
      <w:outlineLvl w:val="2"/>
    </w:pPr>
    <w:rPr>
      <w:sz w:val="30"/>
      <w:szCs w:val="30"/>
    </w:rPr>
  </w:style>
  <w:style w:type="paragraph" w:styleId="Ttulo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pPr>
    <w:rPr>
      <w:b/>
      <w:sz w:val="52"/>
      <w:szCs w:val="52"/>
    </w:rPr>
  </w:style>
  <w:style w:type="paragraph" w:styleId="Subttulo">
    <w:name w:val="Subtitle"/>
    <w:basedOn w:val="Normal"/>
    <w:next w:val="Normal"/>
    <w:uiPriority w:val="11"/>
    <w:qFormat/>
    <w:rPr>
      <w:sz w:val="52"/>
      <w:szCs w:val="52"/>
    </w:rPr>
  </w:style>
  <w:style w:type="table" w:customStyle="1" w:styleId="a">
    <w:basedOn w:val="TableNormal"/>
    <w:pPr>
      <w:spacing w:line="240" w:lineRule="auto"/>
    </w:pPr>
    <w:rPr>
      <w:rFonts w:ascii="Calibri" w:eastAsia="Calibri" w:hAnsi="Calibri" w:cs="Calibri"/>
      <w:color w:val="000000"/>
      <w:sz w:val="20"/>
      <w:szCs w:val="20"/>
    </w:rPr>
    <w:tblPr>
      <w:tblStyleRowBandSize w:val="1"/>
      <w:tblStyleColBandSize w:val="1"/>
      <w:tblCellMar>
        <w:left w:w="108" w:type="dxa"/>
        <w:right w:w="108" w:type="dxa"/>
      </w:tblCellMar>
    </w:tblPr>
  </w:style>
  <w:style w:type="table" w:customStyle="1" w:styleId="a0">
    <w:basedOn w:val="TableNormal"/>
    <w:pPr>
      <w:spacing w:line="240" w:lineRule="auto"/>
    </w:pPr>
    <w:rPr>
      <w:rFonts w:ascii="Calibri" w:eastAsia="Calibri" w:hAnsi="Calibri" w:cs="Calibri"/>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pPr>
    <w:rPr>
      <w:rFonts w:ascii="Calibri" w:eastAsia="Calibri" w:hAnsi="Calibri" w:cs="Calibri"/>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pPr>
    <w:rPr>
      <w:rFonts w:ascii="Calibri" w:eastAsia="Calibri" w:hAnsi="Calibri" w:cs="Calibri"/>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pPr>
    <w:rPr>
      <w:rFonts w:ascii="Calibri" w:eastAsia="Calibri" w:hAnsi="Calibri" w:cs="Calibri"/>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pPr>
    <w:rPr>
      <w:rFonts w:ascii="Calibri" w:eastAsia="Calibri" w:hAnsi="Calibri" w:cs="Calibri"/>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pPr>
    <w:rPr>
      <w:rFonts w:ascii="Calibri" w:eastAsia="Calibri" w:hAnsi="Calibri" w:cs="Calibri"/>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pPr>
    <w:rPr>
      <w:rFonts w:ascii="Calibri" w:eastAsia="Calibri" w:hAnsi="Calibri" w:cs="Calibri"/>
      <w:color w:val="000000"/>
      <w:sz w:val="20"/>
      <w:szCs w:val="20"/>
    </w:r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line="240" w:lineRule="auto"/>
    </w:pPr>
    <w:rPr>
      <w:rFonts w:ascii="Calibri" w:eastAsia="Calibri" w:hAnsi="Calibri" w:cs="Calibri"/>
      <w:color w:val="000000"/>
      <w:sz w:val="20"/>
      <w:szCs w:val="20"/>
    </w:rPr>
    <w:tblPr>
      <w:tblStyleRowBandSize w:val="1"/>
      <w:tblStyleColBandSize w:val="1"/>
      <w:tblCellMar>
        <w:left w:w="108" w:type="dxa"/>
        <w:right w:w="108" w:type="dxa"/>
      </w:tblCellMar>
    </w:tblPr>
  </w:style>
  <w:style w:type="paragraph" w:styleId="Prrafodelista">
    <w:name w:val="List Paragraph"/>
    <w:basedOn w:val="Normal"/>
    <w:uiPriority w:val="34"/>
    <w:qFormat/>
    <w:rsid w:val="00E908CA"/>
    <w:pPr>
      <w:spacing w:after="200"/>
      <w:ind w:left="720"/>
      <w:contextualSpacing/>
    </w:pPr>
    <w:rPr>
      <w:color w:val="808080"/>
      <w:sz w:val="20"/>
      <w:szCs w:val="20"/>
      <w:shd w:val="clear" w:color="auto" w:fill="FFFFFF"/>
      <w:lang w:val="ca-ES" w:eastAsia="en-US"/>
    </w:rPr>
  </w:style>
  <w:style w:type="paragraph" w:styleId="NormalWeb">
    <w:name w:val="Normal (Web)"/>
    <w:basedOn w:val="Normal"/>
    <w:uiPriority w:val="99"/>
    <w:semiHidden/>
    <w:unhideWhenUsed/>
    <w:rsid w:val="009605A6"/>
    <w:pPr>
      <w:spacing w:before="100" w:beforeAutospacing="1" w:after="100" w:afterAutospacing="1" w:line="240" w:lineRule="auto"/>
    </w:pPr>
    <w:rPr>
      <w:rFonts w:ascii="Times New Roman" w:eastAsia="Times New Roman" w:hAnsi="Times New Roman" w:cs="Times New Roman"/>
      <w:color w:val="auto"/>
      <w:sz w:val="24"/>
      <w:szCs w:val="24"/>
      <w:lang w:val="es-ES"/>
    </w:rPr>
  </w:style>
  <w:style w:type="character" w:styleId="Textoennegrita">
    <w:name w:val="Strong"/>
    <w:basedOn w:val="Fuentedeprrafopredeter"/>
    <w:uiPriority w:val="22"/>
    <w:qFormat/>
    <w:rsid w:val="009605A6"/>
    <w:rPr>
      <w:b/>
      <w:bCs/>
    </w:rPr>
  </w:style>
  <w:style w:type="paragraph" w:styleId="Encabezado">
    <w:name w:val="header"/>
    <w:basedOn w:val="Normal"/>
    <w:link w:val="EncabezadoCar"/>
    <w:uiPriority w:val="99"/>
    <w:unhideWhenUsed/>
    <w:rsid w:val="00AB4D1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B4D11"/>
  </w:style>
  <w:style w:type="paragraph" w:styleId="Piedepgina">
    <w:name w:val="footer"/>
    <w:basedOn w:val="Normal"/>
    <w:link w:val="PiedepginaCar"/>
    <w:uiPriority w:val="99"/>
    <w:unhideWhenUsed/>
    <w:rsid w:val="00AB4D1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B4D11"/>
  </w:style>
  <w:style w:type="character" w:styleId="Hipervnculo">
    <w:name w:val="Hyperlink"/>
    <w:basedOn w:val="Fuentedeprrafopredeter"/>
    <w:uiPriority w:val="99"/>
    <w:unhideWhenUsed/>
    <w:rsid w:val="00243245"/>
    <w:rPr>
      <w:color w:val="0000FF" w:themeColor="hyperlink"/>
      <w:u w:val="single"/>
    </w:rPr>
  </w:style>
  <w:style w:type="table" w:styleId="Tablaconcuadrcula">
    <w:name w:val="Table Grid"/>
    <w:basedOn w:val="Tablanormal"/>
    <w:uiPriority w:val="39"/>
    <w:rsid w:val="004C7F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692677">
      <w:bodyDiv w:val="1"/>
      <w:marLeft w:val="0"/>
      <w:marRight w:val="0"/>
      <w:marTop w:val="0"/>
      <w:marBottom w:val="0"/>
      <w:divBdr>
        <w:top w:val="none" w:sz="0" w:space="0" w:color="auto"/>
        <w:left w:val="none" w:sz="0" w:space="0" w:color="auto"/>
        <w:bottom w:val="none" w:sz="0" w:space="0" w:color="auto"/>
        <w:right w:val="none" w:sz="0" w:space="0" w:color="auto"/>
      </w:divBdr>
    </w:div>
    <w:div w:id="1764494272">
      <w:bodyDiv w:val="1"/>
      <w:marLeft w:val="0"/>
      <w:marRight w:val="0"/>
      <w:marTop w:val="0"/>
      <w:marBottom w:val="0"/>
      <w:divBdr>
        <w:top w:val="none" w:sz="0" w:space="0" w:color="auto"/>
        <w:left w:val="none" w:sz="0" w:space="0" w:color="auto"/>
        <w:bottom w:val="none" w:sz="0" w:space="0" w:color="auto"/>
        <w:right w:val="none" w:sz="0" w:space="0" w:color="auto"/>
      </w:divBdr>
    </w:div>
    <w:div w:id="2129352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ibe.es/incibe-cert/sectores-estrategicos/FAQNIS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ncibe.es/empresas/herramientas/conoces-tus-riesgo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VOPtattnFnASCKxDe+2N6841TQ==">CgMxLjAyCGguZ2pkZ3hzMgloLjJldDkycDA4AHIhMXJGM0JscFlXOWg2OE9QM0ZvTmpIYXE0TkMzMjZRZExD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2139</Words>
  <Characters>12193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Reyes</dc:creator>
  <cp:lastModifiedBy>marta</cp:lastModifiedBy>
  <cp:revision>4</cp:revision>
  <dcterms:created xsi:type="dcterms:W3CDTF">2024-12-30T07:32:00Z</dcterms:created>
  <dcterms:modified xsi:type="dcterms:W3CDTF">2024-12-30T07:34:00Z</dcterms:modified>
</cp:coreProperties>
</file>