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sz w:val="36"/>
          <w:szCs w:val="36"/>
        </w:rPr>
        <w:t xml:space="preserve">Exploring the Division of Cognitive Labor</w:t>
      </w:r>
    </w:p>
    <w:p>
      <w:pPr>
        <w:spacing w:after="60"/>
        <w:jc w:val="center"/>
      </w:pPr>
      <w:r>
        <w:rPr>
          <w:rFonts w:ascii="Georgia" w:cs="Georgia" w:eastAsia="Georgia" w:hAnsi="Georgia"/>
          <w:i/>
          <w:iCs/>
          <w:color w:val="666666"/>
          <w:sz w:val="24"/>
          <w:szCs w:val="24"/>
        </w:rPr>
        <w:t xml:space="preserve">A guided tour of Kitcher’s argument</w:t>
      </w:r>
    </w:p>
    <w:p>
      <w:pPr>
        <w:spacing w:after="320"/>
        <w:jc w:val="center"/>
      </w:pPr>
      <w:r>
        <w:rPr>
          <w:rFonts w:ascii="Georgia" w:cs="Georgia" w:eastAsia="Georgia" w:hAnsi="Georgia"/>
          <w:color w:val="888888"/>
          <w:sz w:val="22"/>
          <w:szCs w:val="22"/>
        </w:rPr>
        <w:t xml:space="preserve">Social Epistemology (01:730:413) — Spring 2026</w:t>
      </w:r>
    </w:p>
    <w:p>
      <w:pPr>
        <w:spacing w:after="160" w:line="312"/>
      </w:pPr>
      <w:r>
        <w:rPr>
          <w:rFonts w:ascii="Georgia" w:cs="Georgia" w:eastAsia="Georgia" w:hAnsi="Georgia"/>
        </w:rPr>
        <w:t xml:space="preserve">This activity uses an interactive tool to explore the central argument of Philip Kitcher’s “The Division of Cognitive Labor” (1990). You don’t need to understand all of Kitcher’s math to complete it — the tool does the calculations for you. The goal is to </w:t>
      </w:r>
      <w:r>
        <w:rPr>
          <w:rFonts w:ascii="Georgia" w:cs="Georgia" w:eastAsia="Georgia" w:hAnsi="Georgia"/>
          <w:b/>
          <w:bCs/>
        </w:rPr>
        <w:t xml:space="preserve">see</w:t>
      </w:r>
      <w:r>
        <w:rPr>
          <w:rFonts w:ascii="Georgia" w:cs="Georgia" w:eastAsia="Georgia" w:hAnsi="Georgia"/>
        </w:rPr>
        <w:t xml:space="preserve"> the argument at work: to develop an intuition for </w:t>
      </w:r>
      <w:r>
        <w:rPr>
          <w:rFonts w:ascii="Georgia" w:cs="Georgia" w:eastAsia="Georgia" w:hAnsi="Georgia"/>
          <w:i/>
          <w:iCs/>
        </w:rPr>
        <w:t xml:space="preserve">why</w:t>
      </w:r>
      <w:r>
        <w:rPr>
          <w:rFonts w:ascii="Georgia" w:cs="Georgia" w:eastAsia="Georgia" w:hAnsi="Georgia"/>
        </w:rPr>
        <w:t xml:space="preserve"> individually rational scientists can produce a collectively suboptimal distribution of research effort, and what a better distribution would look like.</w:t>
      </w:r>
    </w:p>
    <w:p>
      <w:pPr>
        <w:spacing w:after="160" w:line="312"/>
      </w:pPr>
      <w:r>
        <w:rPr>
          <w:rFonts w:ascii="Georgia" w:cs="Georgia" w:eastAsia="Georgia" w:hAnsi="Georgia"/>
        </w:rPr>
        <w:t xml:space="preserve">The core activity (Parts 1–3) should take about </w:t>
      </w:r>
      <w:r>
        <w:rPr>
          <w:rFonts w:ascii="Georgia" w:cs="Georgia" w:eastAsia="Georgia" w:hAnsi="Georgia"/>
          <w:b/>
          <w:bCs/>
        </w:rPr>
        <w:t xml:space="preserve">15–20 minutes</w:t>
      </w:r>
      <w:r>
        <w:rPr>
          <w:rFonts w:ascii="Georgia" w:cs="Georgia" w:eastAsia="Georgia" w:hAnsi="Georgia"/>
        </w:rPr>
        <w:t xml:space="preserve">. Parts 4–5 go deeper into the math and the paper for those who want to. Part 6 covers the theory-choice extension.</w:t>
      </w:r>
    </w:p>
    <w:p>
      <w:pPr>
        <w:spacing w:after="160" w:line="312"/>
      </w:pPr>
      <w:r>
        <w:rPr>
          <w:rFonts w:ascii="Georgia" w:cs="Georgia" w:eastAsia="Georgia" w:hAnsi="Georgia"/>
          <w:b/>
          <w:bCs/>
        </w:rPr>
        <w:t xml:space="preserve">To open the tool: </w:t>
      </w:r>
      <w:r>
        <w:rPr>
          <w:rFonts w:ascii="Georgia" w:cs="Georgia" w:eastAsia="Georgia" w:hAnsi="Georgia"/>
        </w:rPr>
        <w:t xml:space="preserve">Open the file </w:t>
      </w:r>
      <w:r>
        <w:rPr>
          <w:rFonts w:ascii="Courier New" w:cs="Courier New" w:eastAsia="Courier New" w:hAnsi="Courier New"/>
          <w:sz w:val="20"/>
          <w:szCs w:val="20"/>
        </w:rPr>
        <w:t xml:space="preserve">kitcher-labor-explorer.html</w:t>
      </w:r>
      <w:r>
        <w:rPr>
          <w:rFonts w:ascii="Georgia" w:cs="Georgia" w:eastAsia="Georgia" w:hAnsi="Georgia"/>
        </w:rPr>
        <w:t xml:space="preserve"> in your web browser (just double-click it). Make sure </w:t>
      </w:r>
      <w:r>
        <w:rPr>
          <w:rFonts w:ascii="Georgia" w:cs="Georgia" w:eastAsia="Georgia" w:hAnsi="Georgia"/>
          <w:b/>
          <w:bCs/>
        </w:rPr>
        <w:t xml:space="preserve">Problem-Solving Methods</w:t>
      </w:r>
      <w:r>
        <w:rPr>
          <w:rFonts w:ascii="Georgia" w:cs="Georgia" w:eastAsia="Georgia" w:hAnsi="Georgia"/>
        </w:rPr>
        <w:t xml:space="preserve"> is selected at the top.</w:t>
      </w:r>
    </w:p>
    <w:p>
      <w:pPr>
        <w:pBdr>
          <w:bottom w:val="single" w:color="BBBBBB" w:sz="4" w:space="8"/>
        </w:pBdr>
        <w:spacing w:after="200" w:before="200"/>
      </w:pPr>
      <w:r>
        <w:rPr>
          <w:rFonts w:ascii="Georgia" w:cs="Georgia" w:eastAsia="Georgia" w:hAnsi="Georgia"/>
        </w:rPr>
        <w:t xml:space="preserve"/>
      </w:r>
    </w:p>
    <w:p>
      <w:pPr>
        <w:pStyle w:val="Heading1"/>
        <w:spacing w:after="160" w:before="360"/>
      </w:pPr>
      <w:r>
        <w:rPr>
          <w:rFonts w:ascii="Georgia" w:cs="Georgia" w:eastAsia="Georgia" w:hAnsi="Georgia"/>
          <w:b/>
          <w:bCs/>
          <w:sz w:val="32"/>
          <w:szCs w:val="32"/>
        </w:rPr>
        <w:t xml:space="preserve">Part 1: The Basic Setup</w:t>
      </w:r>
    </w:p>
    <w:p>
      <w:pPr>
        <w:spacing w:after="160" w:line="312"/>
      </w:pPr>
      <w:r>
        <w:rPr>
          <w:rFonts w:ascii="Georgia" w:cs="Georgia" w:eastAsia="Georgia" w:hAnsi="Georgia"/>
        </w:rPr>
        <w:t xml:space="preserve">Kitcher asks us to imagine a scientific community of N scientists facing a problem that might be solvable by either of two methods (A or B). Each method has an </w:t>
      </w:r>
      <w:r>
        <w:rPr>
          <w:rFonts w:ascii="Georgia" w:cs="Georgia" w:eastAsia="Georgia" w:hAnsi="Georgia"/>
          <w:i/>
          <w:iCs/>
        </w:rPr>
        <w:t xml:space="preserve">intrinsic prospect</w:t>
      </w:r>
      <w:r>
        <w:rPr>
          <w:rFonts w:ascii="Georgia" w:cs="Georgia" w:eastAsia="Georgia" w:hAnsi="Georgia"/>
        </w:rPr>
        <w:t xml:space="preserve"> ρ — a number between 0 and 1 representing how likely the method is to be able to deliver the answer, no matter how many scientists work on it. This is the ceiling on the method’s probability of success. (See Kitcher pp. 7–8.)</w:t>
      </w:r>
    </w:p>
    <w:p>
      <w:pPr>
        <w:spacing w:after="160" w:line="312"/>
      </w:pPr>
      <w:r>
        <w:rPr>
          <w:rFonts w:ascii="Georgia" w:cs="Georgia" w:eastAsia="Georgia" w:hAnsi="Georgia"/>
        </w:rPr>
        <w:t xml:space="preserve">The tool starts with ρ</w:t>
      </w:r>
      <w:r>
        <w:rPr>
          <w:rFonts w:ascii="Georgia" w:cs="Georgia" w:eastAsia="Georgia" w:hAnsi="Georgia"/>
          <w:vertAlign w:val="subscript"/>
        </w:rPr>
        <w:t xml:space="preserve">A</w:t>
      </w:r>
      <w:r>
        <w:rPr>
          <w:rFonts w:ascii="Georgia" w:cs="Georgia" w:eastAsia="Georgia" w:hAnsi="Georgia"/>
        </w:rPr>
        <w:t xml:space="preserve"> = 0.60 and ρ</w:t>
      </w:r>
      <w:r>
        <w:rPr>
          <w:rFonts w:ascii="Georgia" w:cs="Georgia" w:eastAsia="Georgia" w:hAnsi="Georgia"/>
          <w:vertAlign w:val="subscript"/>
        </w:rPr>
        <w:t xml:space="preserve">B</w:t>
      </w:r>
      <w:r>
        <w:rPr>
          <w:rFonts w:ascii="Georgia" w:cs="Georgia" w:eastAsia="Georgia" w:hAnsi="Georgia"/>
        </w:rPr>
        <w:t xml:space="preserve"> = 0.40, meaning Method A is more promising.</w:t>
      </w:r>
    </w:p>
    <w:p>
      <w:pPr>
        <w:pStyle w:val="ListParagraph"/>
        <w:numPr>
          <w:ilvl w:val="0"/>
          <w:numId w:val="2"/>
        </w:numPr>
        <w:spacing w:after="120" w:line="312"/>
      </w:pPr>
      <w:r>
        <w:rPr>
          <w:rFonts w:ascii="Georgia" w:cs="Georgia" w:eastAsia="Georgia" w:hAnsi="Georgia"/>
        </w:rPr>
        <w:t xml:space="preserve">Leave the default settings. Select </w:t>
      </w:r>
      <w:r>
        <w:rPr>
          <w:rFonts w:ascii="Georgia" w:cs="Georgia" w:eastAsia="Georgia" w:hAnsi="Georgia"/>
          <w:b/>
          <w:bCs/>
        </w:rPr>
        <w:t xml:space="preserve">IR — Individually Rational</w:t>
      </w:r>
      <w:r>
        <w:rPr>
          <w:rFonts w:ascii="Georgia" w:cs="Georgia" w:eastAsia="Georgia" w:hAnsi="Georgia"/>
        </w:rPr>
        <w:t xml:space="preserve"> and click </w:t>
      </w:r>
      <w:r>
        <w:rPr>
          <w:rFonts w:ascii="Georgia" w:cs="Georgia" w:eastAsia="Georgia" w:hAnsi="Georgia"/>
          <w:b/>
          <w:bCs/>
        </w:rPr>
        <w:t xml:space="preserve">Next Scientist</w:t>
      </w:r>
      <w:r>
        <w:rPr>
          <w:rFonts w:ascii="Georgia" w:cs="Georgia" w:eastAsia="Georgia" w:hAnsi="Georgia"/>
        </w:rPr>
        <w:t xml:space="preserve"> repeatedly (or switch to </w:t>
      </w:r>
      <w:r>
        <w:rPr>
          <w:rFonts w:ascii="Georgia" w:cs="Georgia" w:eastAsia="Georgia" w:hAnsi="Georgia"/>
          <w:b/>
          <w:bCs/>
        </w:rPr>
        <w:t xml:space="preserve">All at Once</w:t>
      </w:r>
      <w:r>
        <w:rPr>
          <w:rFonts w:ascii="Georgia" w:cs="Georgia" w:eastAsia="Georgia" w:hAnsi="Georgia"/>
        </w:rPr>
        <w:t xml:space="preserve"> and click once) to assign all 10 scientists. Where do they all end up?</w:t>
      </w:r>
    </w:p>
    <w:p>
      <w:pPr>
        <w:pStyle w:val="ListParagraph"/>
        <w:numPr>
          <w:ilvl w:val="0"/>
          <w:numId w:val="2"/>
        </w:numPr>
        <w:spacing w:after="120" w:line="312"/>
      </w:pPr>
      <w:r>
        <w:rPr>
          <w:rFonts w:ascii="Georgia" w:cs="Georgia" w:eastAsia="Georgia" w:hAnsi="Georgia"/>
        </w:rPr>
        <w:t xml:space="preserve">Now click </w:t>
      </w:r>
      <w:r>
        <w:rPr>
          <w:rFonts w:ascii="Georgia" w:cs="Georgia" w:eastAsia="Georgia" w:hAnsi="Georgia"/>
          <w:b/>
          <w:bCs/>
        </w:rPr>
        <w:t xml:space="preserve">Reset</w:t>
      </w:r>
      <w:r>
        <w:rPr>
          <w:rFonts w:ascii="Georgia" w:cs="Georgia" w:eastAsia="Georgia" w:hAnsi="Georgia"/>
        </w:rPr>
        <w:t xml:space="preserve">, select </w:t>
      </w:r>
      <w:r>
        <w:rPr>
          <w:rFonts w:ascii="Georgia" w:cs="Georgia" w:eastAsia="Georgia" w:hAnsi="Georgia"/>
          <w:b/>
          <w:bCs/>
        </w:rPr>
        <w:t xml:space="preserve">CO — Community Optimal</w:t>
      </w:r>
      <w:r>
        <w:rPr>
          <w:rFonts w:ascii="Georgia" w:cs="Georgia" w:eastAsia="Georgia" w:hAnsi="Georgia"/>
        </w:rPr>
        <w:t xml:space="preserve">, and assign all 10 scientists. How does the distribution differ?</w:t>
      </w:r>
    </w:p>
    <w:p>
      <w:pPr>
        <w:pStyle w:val="ListParagraph"/>
        <w:numPr>
          <w:ilvl w:val="0"/>
          <w:numId w:val="2"/>
        </w:numPr>
        <w:spacing w:after="120" w:line="312"/>
      </w:pPr>
      <w:r>
        <w:rPr>
          <w:rFonts w:ascii="Georgia" w:cs="Georgia" w:eastAsia="Georgia" w:hAnsi="Georgia"/>
        </w:rPr>
        <w:t xml:space="preserve">Look at the </w:t>
      </w:r>
      <w:r>
        <w:rPr>
          <w:rFonts w:ascii="Georgia" w:cs="Georgia" w:eastAsia="Georgia" w:hAnsi="Georgia"/>
          <w:b/>
          <w:bCs/>
        </w:rPr>
        <w:t xml:space="preserve">Probability Space</w:t>
      </w:r>
      <w:r>
        <w:rPr>
          <w:rFonts w:ascii="Georgia" w:cs="Georgia" w:eastAsia="Georgia" w:hAnsi="Georgia"/>
        </w:rPr>
        <w:t xml:space="preserve"> diagram on the right. The filled area represents the probability the community actually captures. Compare the filled area under IR and CO. What do you notice?</w:t>
      </w:r>
    </w:p>
    <w:p>
      <w:pPr>
        <w:pStyle w:val="ListParagraph"/>
        <w:numPr>
          <w:ilvl w:val="0"/>
          <w:numId w:val="2"/>
        </w:numPr>
        <w:spacing w:after="200" w:line="312"/>
      </w:pPr>
      <w:r>
        <w:rPr>
          <w:rFonts w:ascii="Georgia" w:cs="Georgia" w:eastAsia="Georgia" w:hAnsi="Georgia"/>
        </w:rPr>
        <w:t xml:space="preserve">In the </w:t>
      </w:r>
      <w:r>
        <w:rPr>
          <w:rFonts w:ascii="Georgia" w:cs="Georgia" w:eastAsia="Georgia" w:hAnsi="Georgia"/>
          <w:b/>
          <w:bCs/>
        </w:rPr>
        <w:t xml:space="preserve">IR / CO Gap</w:t>
      </w:r>
      <w:r>
        <w:rPr>
          <w:rFonts w:ascii="Georgia" w:cs="Georgia" w:eastAsia="Georgia" w:hAnsi="Georgia"/>
        </w:rPr>
        <w:t xml:space="preserve"> banner that appears after IR assignment completes, note the size of the gap in percentage points. This is probability the community is leaving on the table by having everyone follow the evidence.</w:t>
      </w:r>
    </w:p>
    <w:p>
      <w:pPr>
        <w:spacing w:after="200"/>
      </w:pPr>
      <w:r>
        <w:rPr>
          <w:rFonts w:ascii="Georgia" w:cs="Georgia" w:eastAsia="Georgia" w:hAnsi="Georgia"/>
          <w:b/>
          <w:bCs/>
          <w:i/>
          <w:iCs/>
        </w:rPr>
        <w:t xml:space="preserve">Key question: </w:t>
      </w:r>
      <w:r>
        <w:rPr>
          <w:rFonts w:ascii="Georgia" w:cs="Georgia" w:eastAsia="Georgia" w:hAnsi="Georgia"/>
        </w:rPr>
        <w:t xml:space="preserve">Why do individually rational scientists all pile onto Method A? Is each scientist doing something wrong? If not, what’s going wrong?</w:t>
      </w:r>
    </w:p>
    <w:p>
      <w:pPr>
        <w:pBdr>
          <w:bottom w:val="single" w:color="BBBBBB" w:sz="4" w:space="8"/>
        </w:pBdr>
        <w:spacing w:after="200" w:before="200"/>
      </w:pPr>
      <w:r>
        <w:rPr>
          <w:rFonts w:ascii="Georgia" w:cs="Georgia" w:eastAsia="Georgia" w:hAnsi="Georgia"/>
        </w:rPr>
        <w:t xml:space="preserve"/>
      </w:r>
    </w:p>
    <w:p>
      <w:pPr>
        <w:pStyle w:val="Heading1"/>
        <w:spacing w:after="160" w:before="360"/>
      </w:pPr>
      <w:r>
        <w:rPr>
          <w:rFonts w:ascii="Georgia" w:cs="Georgia" w:eastAsia="Georgia" w:hAnsi="Georgia"/>
          <w:b/>
          <w:bCs/>
          <w:sz w:val="32"/>
          <w:szCs w:val="32"/>
        </w:rPr>
        <w:t xml:space="preserve">Part 2: Diminishing Returns and the Value of Diversity</w:t>
      </w:r>
    </w:p>
    <w:p>
      <w:pPr>
        <w:spacing w:after="160" w:line="312"/>
      </w:pPr>
      <w:r>
        <w:rPr>
          <w:rFonts w:ascii="Georgia" w:cs="Georgia" w:eastAsia="Georgia" w:hAnsi="Georgia"/>
        </w:rPr>
        <w:t xml:space="preserve">The reason the CO distribution beats IR comes down to </w:t>
      </w:r>
      <w:r>
        <w:rPr>
          <w:rFonts w:ascii="Georgia" w:cs="Georgia" w:eastAsia="Georgia" w:hAnsi="Georgia"/>
          <w:i/>
          <w:iCs/>
        </w:rPr>
        <w:t xml:space="preserve">diminishing returns</w:t>
      </w:r>
      <w:r>
        <w:rPr>
          <w:rFonts w:ascii="Georgia" w:cs="Georgia" w:eastAsia="Georgia" w:hAnsi="Georgia"/>
        </w:rPr>
        <w:t xml:space="preserve">. Each additional scientist working on a method adds less than the one before. (Kitcher models this with the function f(n) = 1 − e</w:t>
      </w:r>
      <w:r>
        <w:rPr>
          <w:rFonts w:ascii="Georgia" w:cs="Georgia" w:eastAsia="Georgia" w:hAnsi="Georgia"/>
          <w:vertAlign w:val="superscript"/>
        </w:rPr>
        <w:t xml:space="preserve">−kn</w:t>
      </w:r>
      <w:r>
        <w:rPr>
          <w:rFonts w:ascii="Georgia" w:cs="Georgia" w:eastAsia="Georgia" w:hAnsi="Georgia"/>
        </w:rPr>
        <w:t xml:space="preserve">, which rises steeply at first and then levels off — see pp. 8–9.) The tool shows this in action through the </w:t>
      </w:r>
      <w:r>
        <w:rPr>
          <w:rFonts w:ascii="Georgia" w:cs="Georgia" w:eastAsia="Georgia" w:hAnsi="Georgia"/>
          <w:b/>
          <w:bCs/>
        </w:rPr>
        <w:t xml:space="preserve">marginal contribution</w:t>
      </w:r>
      <w:r>
        <w:rPr>
          <w:rFonts w:ascii="Georgia" w:cs="Georgia" w:eastAsia="Georgia" w:hAnsi="Georgia"/>
        </w:rPr>
        <w:t xml:space="preserve"> values below the probability space diagram.</w:t>
      </w:r>
    </w:p>
    <w:p>
      <w:pPr>
        <w:pStyle w:val="ListParagraph"/>
        <w:numPr>
          <w:ilvl w:val="0"/>
          <w:numId w:val="3"/>
        </w:numPr>
        <w:spacing w:after="120" w:line="312"/>
      </w:pPr>
      <w:r>
        <w:rPr>
          <w:rFonts w:ascii="Georgia" w:cs="Georgia" w:eastAsia="Georgia" w:hAnsi="Georgia"/>
        </w:rPr>
        <w:t xml:space="preserve">Reset to </w:t>
      </w:r>
      <w:r>
        <w:rPr>
          <w:rFonts w:ascii="Georgia" w:cs="Georgia" w:eastAsia="Georgia" w:hAnsi="Georgia"/>
          <w:b/>
          <w:bCs/>
        </w:rPr>
        <w:t xml:space="preserve">CO</w:t>
      </w:r>
      <w:r>
        <w:rPr>
          <w:rFonts w:ascii="Georgia" w:cs="Georgia" w:eastAsia="Georgia" w:hAnsi="Georgia"/>
        </w:rPr>
        <w:t xml:space="preserve"> mode. Watch the two marginal contribution boxes as you click </w:t>
      </w:r>
      <w:r>
        <w:rPr>
          <w:rFonts w:ascii="Georgia" w:cs="Georgia" w:eastAsia="Georgia" w:hAnsi="Georgia"/>
          <w:b/>
          <w:bCs/>
        </w:rPr>
        <w:t xml:space="preserve">Next Scientist</w:t>
      </w:r>
      <w:r>
        <w:rPr>
          <w:rFonts w:ascii="Georgia" w:cs="Georgia" w:eastAsia="Georgia" w:hAnsi="Georgia"/>
        </w:rPr>
        <w:t xml:space="preserve"> one at a time. After each assignment, which method has the higher marginal gain? Why does the next scientist sometimes go to the </w:t>
      </w:r>
      <w:r>
        <w:rPr>
          <w:rFonts w:ascii="Georgia" w:cs="Georgia" w:eastAsia="Georgia" w:hAnsi="Georgia"/>
          <w:i/>
          <w:iCs/>
        </w:rPr>
        <w:t xml:space="preserve">less promising</w:t>
      </w:r>
      <w:r>
        <w:rPr>
          <w:rFonts w:ascii="Georgia" w:cs="Georgia" w:eastAsia="Georgia" w:hAnsi="Georgia"/>
        </w:rPr>
        <w:t xml:space="preserve"> method?</w:t>
      </w:r>
    </w:p>
    <w:p>
      <w:pPr>
        <w:pStyle w:val="ListParagraph"/>
        <w:numPr>
          <w:ilvl w:val="0"/>
          <w:numId w:val="3"/>
        </w:numPr>
        <w:spacing w:after="120" w:line="312"/>
      </w:pPr>
      <w:r>
        <w:rPr>
          <w:rFonts w:ascii="Georgia" w:cs="Georgia" w:eastAsia="Georgia" w:hAnsi="Georgia"/>
        </w:rPr>
        <w:t xml:space="preserve">Try setting the </w:t>
      </w:r>
      <w:r>
        <w:rPr>
          <w:rFonts w:ascii="Georgia" w:cs="Georgia" w:eastAsia="Georgia" w:hAnsi="Georgia"/>
          <w:b/>
          <w:bCs/>
        </w:rPr>
        <w:t xml:space="preserve">Prospects sum to 1</w:t>
      </w:r>
      <w:r>
        <w:rPr>
          <w:rFonts w:ascii="Georgia" w:cs="Georgia" w:eastAsia="Georgia" w:hAnsi="Georgia"/>
        </w:rPr>
        <w:t xml:space="preserve"> checkbox off, then adjust ρ</w:t>
      </w:r>
      <w:r>
        <w:rPr>
          <w:rFonts w:ascii="Georgia" w:cs="Georgia" w:eastAsia="Georgia" w:hAnsi="Georgia"/>
          <w:vertAlign w:val="subscript"/>
        </w:rPr>
        <w:t xml:space="preserve">A</w:t>
      </w:r>
      <w:r>
        <w:rPr>
          <w:rFonts w:ascii="Georgia" w:cs="Georgia" w:eastAsia="Georgia" w:hAnsi="Georgia"/>
        </w:rPr>
        <w:t xml:space="preserve"> and ρ</w:t>
      </w:r>
      <w:r>
        <w:rPr>
          <w:rFonts w:ascii="Georgia" w:cs="Georgia" w:eastAsia="Georgia" w:hAnsi="Georgia"/>
          <w:vertAlign w:val="subscript"/>
        </w:rPr>
        <w:t xml:space="preserve">B</w:t>
      </w:r>
      <w:r>
        <w:rPr>
          <w:rFonts w:ascii="Georgia" w:cs="Georgia" w:eastAsia="Georgia" w:hAnsi="Georgia"/>
        </w:rPr>
        <w:t xml:space="preserve"> to be very close together (e.g., 0.55 and 0.45). Run IR and CO. How does the gap change compared to when the prospects are far apart?</w:t>
      </w:r>
    </w:p>
    <w:p>
      <w:pPr>
        <w:pStyle w:val="ListParagraph"/>
        <w:numPr>
          <w:ilvl w:val="0"/>
          <w:numId w:val="3"/>
        </w:numPr>
        <w:spacing w:after="120" w:line="312"/>
      </w:pPr>
      <w:r>
        <w:rPr>
          <w:rFonts w:ascii="Georgia" w:cs="Georgia" w:eastAsia="Georgia" w:hAnsi="Georgia"/>
        </w:rPr>
        <w:t xml:space="preserve">Now try very unequal prospects (e.g., 0.90 and 0.10). Run CO. Does the optimal distribution still send anyone to B?</w:t>
      </w:r>
    </w:p>
    <w:p>
      <w:pPr>
        <w:pStyle w:val="ListParagraph"/>
        <w:numPr>
          <w:ilvl w:val="0"/>
          <w:numId w:val="3"/>
        </w:numPr>
        <w:spacing w:after="200" w:line="312"/>
      </w:pPr>
      <w:r>
        <w:rPr>
          <w:rFonts w:ascii="Georgia" w:cs="Georgia" w:eastAsia="Georgia" w:hAnsi="Georgia"/>
        </w:rPr>
        <w:t xml:space="preserve">Experiment with the </w:t>
      </w:r>
      <w:r>
        <w:rPr>
          <w:rFonts w:ascii="Georgia" w:cs="Georgia" w:eastAsia="Georgia" w:hAnsi="Georgia"/>
          <w:b/>
          <w:bCs/>
        </w:rPr>
        <w:t xml:space="preserve">k</w:t>
      </w:r>
      <w:r>
        <w:rPr>
          <w:rFonts w:ascii="Georgia" w:cs="Georgia" w:eastAsia="Georgia" w:hAnsi="Georgia"/>
        </w:rPr>
        <w:t xml:space="preserve"> slider (responsiveness to added scientists). With high k, diminishing returns hit fast; with low k, each scientist adds roughly equal value. How does k affect the size of the IR/CO gap?</w:t>
      </w:r>
    </w:p>
    <w:p>
      <w:pPr>
        <w:spacing w:after="200"/>
      </w:pPr>
      <w:r>
        <w:rPr>
          <w:rFonts w:ascii="Georgia" w:cs="Georgia" w:eastAsia="Georgia" w:hAnsi="Georgia"/>
          <w:b/>
          <w:bCs/>
          <w:i/>
          <w:iCs/>
        </w:rPr>
        <w:t xml:space="preserve">Key question: </w:t>
      </w:r>
      <w:r>
        <w:rPr>
          <w:rFonts w:ascii="Georgia" w:cs="Georgia" w:eastAsia="Georgia" w:hAnsi="Georgia"/>
        </w:rPr>
        <w:t xml:space="preserve">Kitcher argues that the community’s interest and the individual scientist’s interest can come apart (pp. 14–16). In your own words, explain why an individually rational scientist might refuse to switch to Method B, even though the community would benefit from their doing so.</w:t>
      </w:r>
    </w:p>
    <w:p>
      <w:pPr>
        <w:pBdr>
          <w:bottom w:val="single" w:color="BBBBBB" w:sz="4" w:space="8"/>
        </w:pBdr>
        <w:spacing w:after="200" w:before="200"/>
      </w:pPr>
      <w:r>
        <w:rPr>
          <w:rFonts w:ascii="Georgia" w:cs="Georgia" w:eastAsia="Georgia" w:hAnsi="Georgia"/>
        </w:rPr>
        <w:t xml:space="preserve"/>
      </w:r>
    </w:p>
    <w:p>
      <w:pPr>
        <w:pStyle w:val="Heading1"/>
        <w:spacing w:after="160" w:before="360"/>
      </w:pPr>
      <w:r>
        <w:rPr>
          <w:rFonts w:ascii="Georgia" w:cs="Georgia" w:eastAsia="Georgia" w:hAnsi="Georgia"/>
          <w:b/>
          <w:bCs/>
          <w:sz w:val="32"/>
          <w:szCs w:val="32"/>
        </w:rPr>
        <w:t xml:space="preserve">Part 3: The Manual Experiment</w:t>
      </w:r>
    </w:p>
    <w:p>
      <w:pPr>
        <w:spacing w:after="160" w:line="312"/>
      </w:pPr>
      <w:r>
        <w:rPr>
          <w:rFonts w:ascii="Georgia" w:cs="Georgia" w:eastAsia="Georgia" w:hAnsi="Georgia"/>
        </w:rPr>
        <w:t xml:space="preserve">Now try being a central planner.</w:t>
      </w:r>
    </w:p>
    <w:p>
      <w:pPr>
        <w:pStyle w:val="ListParagraph"/>
        <w:numPr>
          <w:ilvl w:val="0"/>
          <w:numId w:val="4"/>
        </w:numPr>
        <w:spacing w:after="120" w:line="312"/>
      </w:pPr>
      <w:r>
        <w:rPr>
          <w:rFonts w:ascii="Georgia" w:cs="Georgia" w:eastAsia="Georgia" w:hAnsi="Georgia"/>
        </w:rPr>
        <w:t xml:space="preserve">Select </w:t>
      </w:r>
      <w:r>
        <w:rPr>
          <w:rFonts w:ascii="Georgia" w:cs="Georgia" w:eastAsia="Georgia" w:hAnsi="Georgia"/>
          <w:b/>
          <w:bCs/>
        </w:rPr>
        <w:t xml:space="preserve">Manual</w:t>
      </w:r>
      <w:r>
        <w:rPr>
          <w:rFonts w:ascii="Georgia" w:cs="Georgia" w:eastAsia="Georgia" w:hAnsi="Georgia"/>
        </w:rPr>
        <w:t xml:space="preserve"> mode and </w:t>
      </w:r>
      <w:r>
        <w:rPr>
          <w:rFonts w:ascii="Georgia" w:cs="Georgia" w:eastAsia="Georgia" w:hAnsi="Georgia"/>
          <w:b/>
          <w:bCs/>
        </w:rPr>
        <w:t xml:space="preserve">One at a Time</w:t>
      </w:r>
      <w:r>
        <w:rPr>
          <w:rFonts w:ascii="Georgia" w:cs="Georgia" w:eastAsia="Georgia" w:hAnsi="Georgia"/>
        </w:rPr>
        <w:t xml:space="preserve">. For each scientist, look at the marginal contribution boxes and decide where to send them. Try to maximize community success without looking at what CO does. After assigning all 10, check your result against the optimum shown in the explanation.</w:t>
      </w:r>
    </w:p>
    <w:p>
      <w:pPr>
        <w:pStyle w:val="ListParagraph"/>
        <w:numPr>
          <w:ilvl w:val="0"/>
          <w:numId w:val="4"/>
        </w:numPr>
        <w:spacing w:after="120" w:line="312"/>
      </w:pPr>
      <w:r>
        <w:rPr>
          <w:rFonts w:ascii="Georgia" w:cs="Georgia" w:eastAsia="Georgia" w:hAnsi="Georgia"/>
        </w:rPr>
        <w:t xml:space="preserve">Did you match the CO distribution? If not, where did your intuitions diverge from the optimal strategy?</w:t>
      </w:r>
    </w:p>
    <w:p>
      <w:pPr>
        <w:pStyle w:val="ListParagraph"/>
        <w:numPr>
          <w:ilvl w:val="0"/>
          <w:numId w:val="4"/>
        </w:numPr>
        <w:spacing w:after="200" w:line="312"/>
      </w:pPr>
      <w:r>
        <w:rPr>
          <w:rFonts w:ascii="Georgia" w:cs="Georgia" w:eastAsia="Georgia" w:hAnsi="Georgia"/>
        </w:rPr>
        <w:t xml:space="preserve">Now try </w:t>
      </w:r>
      <w:r>
        <w:rPr>
          <w:rFonts w:ascii="Georgia" w:cs="Georgia" w:eastAsia="Georgia" w:hAnsi="Georgia"/>
          <w:b/>
          <w:bCs/>
        </w:rPr>
        <w:t xml:space="preserve">Manual</w:t>
      </w:r>
      <w:r>
        <w:rPr>
          <w:rFonts w:ascii="Georgia" w:cs="Georgia" w:eastAsia="Georgia" w:hAnsi="Georgia"/>
        </w:rPr>
        <w:t xml:space="preserve"> with </w:t>
      </w:r>
      <w:r>
        <w:rPr>
          <w:rFonts w:ascii="Georgia" w:cs="Georgia" w:eastAsia="Georgia" w:hAnsi="Georgia"/>
          <w:b/>
          <w:bCs/>
        </w:rPr>
        <w:t xml:space="preserve">All at Once</w:t>
      </w:r>
      <w:r>
        <w:rPr>
          <w:rFonts w:ascii="Georgia" w:cs="Georgia" w:eastAsia="Georgia" w:hAnsi="Georgia"/>
        </w:rPr>
        <w:t xml:space="preserve">. Use the distribution slider to set a 50/50 split, then compare community success to the CO result. Try other splits. Can you find the optimum by feel?</w:t>
      </w:r>
    </w:p>
    <w:p>
      <w:pPr>
        <w:spacing w:after="200"/>
      </w:pPr>
      <w:r>
        <w:rPr>
          <w:rFonts w:ascii="Georgia" w:cs="Georgia" w:eastAsia="Georgia" w:hAnsi="Georgia"/>
          <w:b/>
          <w:bCs/>
          <w:i/>
          <w:iCs/>
        </w:rPr>
        <w:t xml:space="preserve">The big takeaway: </w:t>
      </w:r>
      <w:r>
        <w:rPr>
          <w:rFonts w:ascii="Georgia" w:cs="Georgia" w:eastAsia="Georgia" w:hAnsi="Georgia"/>
        </w:rPr>
        <w:t xml:space="preserve">Kitcher’s central moral is that </w:t>
      </w:r>
      <w:r>
        <w:rPr>
          <w:rFonts w:ascii="Georgia" w:cs="Georgia" w:eastAsia="Georgia" w:hAnsi="Georgia"/>
          <w:i/>
          <w:iCs/>
        </w:rPr>
        <w:t xml:space="preserve">the optimal collective distribution of scientific labor isn’t just a bunch of scientists each doing their individual best</w:t>
      </w:r>
      <w:r>
        <w:rPr>
          <w:rFonts w:ascii="Georgia" w:cs="Georgia" w:eastAsia="Georgia" w:hAnsi="Georgia"/>
        </w:rPr>
        <w:t xml:space="preserve">. A community benefits from some scientists working on less-promising avenues — not because those scientists are irrational, but because diminishing returns make diversity valuable. This is the “division of cognitive labor”: the community’s epistemic interest is served by a division of effort that no individual scientist has a reason to maintain.</w:t>
      </w:r>
    </w:p>
    <w:p>
      <w:pPr>
        <w:pBdr>
          <w:bottom w:val="single" w:color="BBBBBB" w:sz="4" w:space="8"/>
        </w:pBdr>
        <w:spacing w:after="200" w:before="200"/>
      </w:pPr>
      <w:r>
        <w:rPr>
          <w:rFonts w:ascii="Georgia" w:cs="Georgia" w:eastAsia="Georgia" w:hAnsi="Georgia"/>
        </w:rPr>
        <w:t xml:space="preserve"/>
      </w:r>
    </w:p>
    <w:p>
      <w:pPr>
        <w:pStyle w:val="Heading1"/>
        <w:spacing w:after="160" w:before="360"/>
      </w:pPr>
      <w:r>
        <w:rPr>
          <w:rFonts w:ascii="Georgia" w:cs="Georgia" w:eastAsia="Georgia" w:hAnsi="Georgia"/>
          <w:b/>
          <w:bCs/>
          <w:sz w:val="32"/>
          <w:szCs w:val="32"/>
        </w:rPr>
        <w:t xml:space="preserve">Part 4: Understanding the Math (Optional)</w:t>
      </w:r>
    </w:p>
    <w:p>
      <w:pPr>
        <w:spacing w:after="160" w:line="312"/>
      </w:pPr>
      <w:r>
        <w:rPr>
          <w:rFonts w:ascii="Georgia" w:cs="Georgia" w:eastAsia="Georgia" w:hAnsi="Georgia"/>
        </w:rPr>
        <w:t xml:space="preserve">This section is for students who want to get a handle on Kitcher’s formal framework. The tool’s </w:t>
      </w:r>
      <w:r>
        <w:rPr>
          <w:rFonts w:ascii="Georgia" w:cs="Georgia" w:eastAsia="Georgia" w:hAnsi="Georgia"/>
          <w:b/>
          <w:bCs/>
        </w:rPr>
        <w:t xml:space="preserve">The Math</w:t>
      </w:r>
      <w:r>
        <w:rPr>
          <w:rFonts w:ascii="Georgia" w:cs="Georgia" w:eastAsia="Georgia" w:hAnsi="Georgia"/>
        </w:rPr>
        <w:t xml:space="preserve"> section has two collapsible panels that walk through the calculations.</w:t>
      </w:r>
    </w:p>
    <w:p>
      <w:pPr>
        <w:pStyle w:val="ListParagraph"/>
        <w:numPr>
          <w:ilvl w:val="0"/>
          <w:numId w:val="5"/>
        </w:numPr>
        <w:spacing w:after="120" w:line="312"/>
      </w:pPr>
      <w:r>
        <w:rPr>
          <w:rFonts w:ascii="Georgia" w:cs="Georgia" w:eastAsia="Georgia" w:hAnsi="Georgia"/>
        </w:rPr>
        <w:t xml:space="preserve">Click </w:t>
      </w:r>
      <w:r>
        <w:rPr>
          <w:rFonts w:ascii="Georgia" w:cs="Georgia" w:eastAsia="Georgia" w:hAnsi="Georgia"/>
          <w:b/>
          <w:bCs/>
        </w:rPr>
        <w:t xml:space="preserve">▸ Show calculation with current values</w:t>
      </w:r>
      <w:r>
        <w:rPr>
          <w:rFonts w:ascii="Georgia" w:cs="Georgia" w:eastAsia="Georgia" w:hAnsi="Georgia"/>
        </w:rPr>
        <w:t xml:space="preserve">. Use the ▶ button to step through the calculation. At each step, hover over the parenthetical explanation on the right — the parts of the equation that changed will highlight. Make sure you understand each step before advancing. (See Kitcher p. 8 for the equation.)</w:t>
      </w:r>
    </w:p>
    <w:p>
      <w:pPr>
        <w:pStyle w:val="ListParagraph"/>
        <w:numPr>
          <w:ilvl w:val="0"/>
          <w:numId w:val="5"/>
        </w:numPr>
        <w:spacing w:after="120" w:line="312"/>
      </w:pPr>
      <w:r>
        <w:rPr>
          <w:rFonts w:ascii="Georgia" w:cs="Georgia" w:eastAsia="Georgia" w:hAnsi="Georgia"/>
        </w:rPr>
        <w:t xml:space="preserve">In the main equation at the top, hover over each symbol. Every part has an explanatory tooltip. Pay special attention to the f(n) = (1 − e</w:t>
      </w:r>
      <w:r>
        <w:rPr>
          <w:rFonts w:ascii="Georgia" w:cs="Georgia" w:eastAsia="Georgia" w:hAnsi="Georgia"/>
          <w:vertAlign w:val="superscript"/>
        </w:rPr>
        <w:t xml:space="preserve">−kn</w:t>
      </w:r>
      <w:r>
        <w:rPr>
          <w:rFonts w:ascii="Georgia" w:cs="Georgia" w:eastAsia="Georgia" w:hAnsi="Georgia"/>
        </w:rPr>
        <w:t xml:space="preserve">) terms — these are where the diminishing returns live.</w:t>
      </w:r>
    </w:p>
    <w:p>
      <w:pPr>
        <w:pStyle w:val="ListParagraph"/>
        <w:numPr>
          <w:ilvl w:val="0"/>
          <w:numId w:val="5"/>
        </w:numPr>
        <w:spacing w:after="120" w:line="312"/>
      </w:pPr>
      <w:r>
        <w:rPr>
          <w:rFonts w:ascii="Georgia" w:cs="Georgia" w:eastAsia="Georgia" w:hAnsi="Georgia"/>
        </w:rPr>
        <w:t xml:space="preserve">Click </w:t>
      </w:r>
      <w:r>
        <w:rPr>
          <w:rFonts w:ascii="Georgia" w:cs="Georgia" w:eastAsia="Georgia" w:hAnsi="Georgia"/>
          <w:b/>
          <w:bCs/>
        </w:rPr>
        <w:t xml:space="preserve">▸ Show marginal contribution math</w:t>
      </w:r>
      <w:r>
        <w:rPr>
          <w:rFonts w:ascii="Georgia" w:cs="Georgia" w:eastAsia="Georgia" w:hAnsi="Georgia"/>
        </w:rPr>
        <w:t xml:space="preserve">. This panel shows three scenarios side by side: the current allocation, what happens if the next scientist goes to A, and what happens if they go to B. The </w:t>
      </w:r>
      <w:r>
        <w:rPr>
          <w:rFonts w:ascii="Georgia" w:cs="Georgia" w:eastAsia="Georgia" w:hAnsi="Georgia"/>
          <w:color w:val="2563EB"/>
        </w:rPr>
        <w:t xml:space="preserve">color-coded values </w:t>
      </w:r>
      <w:r>
        <w:rPr>
          <w:rFonts w:ascii="Georgia" w:cs="Georgia" w:eastAsia="Georgia" w:hAnsi="Georgia"/>
        </w:rPr>
        <w:t xml:space="preserve">(</w:t>
      </w:r>
      <w:r>
        <w:rPr>
          <w:rFonts w:ascii="Georgia" w:cs="Georgia" w:eastAsia="Georgia" w:hAnsi="Georgia"/>
          <w:color w:val="2563EB"/>
        </w:rPr>
        <w:t xml:space="preserve">blue </w:t>
      </w:r>
      <w:r>
        <w:rPr>
          <w:rFonts w:ascii="Georgia" w:cs="Georgia" w:eastAsia="Georgia" w:hAnsi="Georgia"/>
        </w:rPr>
        <w:t xml:space="preserve">for A, </w:t>
      </w:r>
      <w:r>
        <w:rPr>
          <w:rFonts w:ascii="Georgia" w:cs="Georgia" w:eastAsia="Georgia" w:hAnsi="Georgia"/>
          <w:color w:val="D97706"/>
        </w:rPr>
        <w:t xml:space="preserve">orange </w:t>
      </w:r>
      <w:r>
        <w:rPr>
          <w:rFonts w:ascii="Georgia" w:cs="Georgia" w:eastAsia="Georgia" w:hAnsi="Georgia"/>
        </w:rPr>
        <w:t xml:space="preserve">for B, </w:t>
      </w:r>
      <w:r>
        <w:rPr>
          <w:rFonts w:ascii="Georgia" w:cs="Georgia" w:eastAsia="Georgia" w:hAnsi="Georgia"/>
          <w:color w:val="16A34A"/>
        </w:rPr>
        <w:t xml:space="preserve">green </w:t>
      </w:r>
      <w:r>
        <w:rPr>
          <w:rFonts w:ascii="Georgia" w:cs="Georgia" w:eastAsia="Georgia" w:hAnsi="Georgia"/>
        </w:rPr>
        <w:t xml:space="preserve">for community total) are cross-highlighted — hover over any value to see all occurrences of the same quantity light up.</w:t>
      </w:r>
    </w:p>
    <w:p>
      <w:pPr>
        <w:pStyle w:val="ListParagraph"/>
        <w:numPr>
          <w:ilvl w:val="0"/>
          <w:numId w:val="5"/>
        </w:numPr>
        <w:spacing w:after="200" w:line="312"/>
      </w:pPr>
      <w:r>
        <w:rPr>
          <w:rFonts w:ascii="Georgia" w:cs="Georgia" w:eastAsia="Georgia" w:hAnsi="Georgia"/>
        </w:rPr>
        <w:t xml:space="preserve">Try changing the parameters and watching how the calculation updates. In particular, observe what happens to the marginal contributions as you increase N. As more scientists are assigned, each marginal gets smaller — that’s the diminishing returns in action.</w:t>
      </w:r>
    </w:p>
    <w:p>
      <w:pPr>
        <w:spacing w:after="200"/>
      </w:pPr>
      <w:r>
        <w:rPr>
          <w:rFonts w:ascii="Georgia" w:cs="Georgia" w:eastAsia="Georgia" w:hAnsi="Georgia"/>
          <w:b/>
          <w:bCs/>
          <w:i/>
          <w:iCs/>
        </w:rPr>
        <w:t xml:space="preserve">Connection to the paper: </w:t>
      </w:r>
      <w:r>
        <w:rPr>
          <w:rFonts w:ascii="Georgia" w:cs="Georgia" w:eastAsia="Georgia" w:hAnsi="Georgia"/>
        </w:rPr>
        <w:t xml:space="preserve">Kitcher introduces the concept of a “return function” (p. 7) that maps the number of scientists to the probability of success. The specific function used here, p(n) = ρ(1 − e</w:t>
      </w:r>
      <w:r>
        <w:rPr>
          <w:rFonts w:ascii="Georgia" w:cs="Georgia" w:eastAsia="Georgia" w:hAnsi="Georgia"/>
          <w:vertAlign w:val="superscript"/>
        </w:rPr>
        <w:t xml:space="preserve">−kn</w:t>
      </w:r>
      <w:r>
        <w:rPr>
          <w:rFonts w:ascii="Georgia" w:cs="Georgia" w:eastAsia="Georgia" w:hAnsi="Georgia"/>
        </w:rPr>
        <w:t xml:space="preserve">), is one example of a concave return function — meaning each additional scientist adds less (Section II). Kitcher contrasts this with non-concave (S-shaped) functions that have an initial “takeoff point” (pp. 10–11), where the conclusions are more complex. The tool uses the concave case.</w:t>
      </w:r>
    </w:p>
    <w:p>
      <w:pPr>
        <w:pBdr>
          <w:bottom w:val="single" w:color="BBBBBB" w:sz="4" w:space="8"/>
        </w:pBdr>
        <w:spacing w:after="200" w:before="200"/>
      </w:pPr>
      <w:r>
        <w:rPr>
          <w:rFonts w:ascii="Georgia" w:cs="Georgia" w:eastAsia="Georgia" w:hAnsi="Georgia"/>
        </w:rPr>
        <w:t xml:space="preserve"/>
      </w:r>
    </w:p>
    <w:p>
      <w:pPr>
        <w:pStyle w:val="Heading1"/>
        <w:spacing w:after="160" w:before="360"/>
      </w:pPr>
      <w:r>
        <w:rPr>
          <w:rFonts w:ascii="Georgia" w:cs="Georgia" w:eastAsia="Georgia" w:hAnsi="Georgia"/>
          <w:b/>
          <w:bCs/>
          <w:sz w:val="32"/>
          <w:szCs w:val="32"/>
        </w:rPr>
        <w:t xml:space="preserve">Part 5: Connecting to the Paper (Optional)</w:t>
      </w:r>
    </w:p>
    <w:p>
      <w:pPr>
        <w:spacing w:after="160" w:line="312"/>
      </w:pPr>
      <w:r>
        <w:rPr>
          <w:rFonts w:ascii="Georgia" w:cs="Georgia" w:eastAsia="Georgia" w:hAnsi="Georgia"/>
        </w:rPr>
        <w:t xml:space="preserve">These questions are designed to help you connect specific features of the tool to specific sections of Kitcher’s paper.</w:t>
      </w:r>
    </w:p>
    <w:p>
      <w:pPr>
        <w:spacing w:after="160"/>
      </w:pPr>
      <w:r>
        <w:rPr>
          <w:rFonts w:ascii="Georgia" w:cs="Georgia" w:eastAsia="Georgia" w:hAnsi="Georgia"/>
          <w:b/>
          <w:bCs/>
        </w:rPr>
        <w:t xml:space="preserve">IR as “following the evidence” (Section III, pp. 12–16). </w:t>
      </w:r>
      <w:r>
        <w:rPr>
          <w:rFonts w:ascii="Georgia" w:cs="Georgia" w:eastAsia="Georgia" w:hAnsi="Georgia"/>
        </w:rPr>
        <w:t xml:space="preserve">In the tool’s IR mode, every scientist picks Method A (assuming ρ</w:t>
      </w:r>
      <w:r>
        <w:rPr>
          <w:rFonts w:ascii="Georgia" w:cs="Georgia" w:eastAsia="Georgia" w:hAnsi="Georgia"/>
          <w:vertAlign w:val="subscript"/>
        </w:rPr>
        <w:t xml:space="preserve">A</w:t>
      </w:r>
      <w:r>
        <w:rPr>
          <w:rFonts w:ascii="Georgia" w:cs="Georgia" w:eastAsia="Georgia" w:hAnsi="Georgia"/>
        </w:rPr>
        <w:t xml:space="preserve"> &gt; ρ</w:t>
      </w:r>
      <w:r>
        <w:rPr>
          <w:rFonts w:ascii="Georgia" w:cs="Georgia" w:eastAsia="Georgia" w:hAnsi="Georgia"/>
          <w:vertAlign w:val="subscript"/>
        </w:rPr>
        <w:t xml:space="preserve">B</w:t>
      </w:r>
      <w:r>
        <w:rPr>
          <w:rFonts w:ascii="Georgia" w:cs="Georgia" w:eastAsia="Georgia" w:hAnsi="Georgia"/>
        </w:rPr>
        <w:t xml:space="preserve">). Kitcher discusses why this is individually rational: each scientist, looking at the evidence, concludes that A is more promising. But the resulting (N, 0) distribution is suboptimal. In what sense is each individual scientist making a “mistake,” and in what sense are they not?</w:t>
      </w:r>
    </w:p>
    <w:p>
      <w:pPr>
        <w:spacing w:after="160"/>
      </w:pPr>
      <w:r>
        <w:rPr>
          <w:rFonts w:ascii="Georgia" w:cs="Georgia" w:eastAsia="Georgia" w:hAnsi="Georgia"/>
          <w:b/>
          <w:bCs/>
        </w:rPr>
        <w:t xml:space="preserve">The role of the return function’s shape (Section II, pp. 7–12). </w:t>
      </w:r>
      <w:r>
        <w:rPr>
          <w:rFonts w:ascii="Georgia" w:cs="Georgia" w:eastAsia="Georgia" w:hAnsi="Georgia"/>
        </w:rPr>
        <w:t xml:space="preserve">Experiment with different values of k. High k (steep curve, fast diminishing returns) means the first few scientists on each method do most of the work, so diversity is especially valuable. Low k (flat curve, slow diminishing returns) means each scientist contributes roughly equally, so piling onto the better method is less costly. Kitcher discusses how the shape of the return function determines when the IR/CO gap is largest.</w:t>
      </w:r>
    </w:p>
    <w:p>
      <w:pPr>
        <w:spacing w:after="200"/>
      </w:pPr>
      <w:r>
        <w:rPr>
          <w:rFonts w:ascii="Georgia" w:cs="Georgia" w:eastAsia="Georgia" w:hAnsi="Georgia"/>
          <w:b/>
          <w:bCs/>
        </w:rPr>
        <w:t xml:space="preserve">Community optimality and the lack of a mechanism (Section III–IV, pp. 14–20). </w:t>
      </w:r>
      <w:r>
        <w:rPr>
          <w:rFonts w:ascii="Georgia" w:cs="Georgia" w:eastAsia="Georgia" w:hAnsi="Georgia"/>
        </w:rPr>
        <w:t xml:space="preserve">The CO distribution is what a benevolent central planner would choose. But real science has no such planner. Kitcher explores whether other motivations — particularly the desire for priority (being the first to solve a problem) — might naturally push scientists toward a better distribution (Section IV). In the tool, think about why a priority-seeking scientist might defect from the crowd on Method A even when A is more promising: if everyone is on A, your marginal contribution is tiny and your share of the credit even tinier.</w:t>
      </w:r>
    </w:p>
    <w:p>
      <w:pPr>
        <w:pBdr>
          <w:bottom w:val="single" w:color="BBBBBB" w:sz="4" w:space="8"/>
        </w:pBdr>
        <w:spacing w:after="200" w:before="200"/>
      </w:pPr>
      <w:r>
        <w:rPr>
          <w:rFonts w:ascii="Georgia" w:cs="Georgia" w:eastAsia="Georgia" w:hAnsi="Georgia"/>
        </w:rPr>
        <w:t xml:space="preserve"/>
      </w:r>
    </w:p>
    <w:p>
      <w:pPr>
        <w:pStyle w:val="Heading1"/>
        <w:spacing w:after="160" w:before="360"/>
      </w:pPr>
      <w:r>
        <w:rPr>
          <w:rFonts w:ascii="Georgia" w:cs="Georgia" w:eastAsia="Georgia" w:hAnsi="Georgia"/>
          <w:b/>
          <w:bCs/>
          <w:sz w:val="32"/>
          <w:szCs w:val="32"/>
        </w:rPr>
        <w:t xml:space="preserve">Part 6: Theory Choice (For the Ambitious)</w:t>
      </w:r>
    </w:p>
    <w:p>
      <w:pPr>
        <w:spacing w:after="160" w:line="312"/>
      </w:pPr>
      <w:r>
        <w:rPr>
          <w:rFonts w:ascii="Georgia" w:cs="Georgia" w:eastAsia="Georgia" w:hAnsi="Georgia"/>
        </w:rPr>
        <w:t xml:space="preserve">Switch the framework toggle to </w:t>
      </w:r>
      <w:r>
        <w:rPr>
          <w:rFonts w:ascii="Georgia" w:cs="Georgia" w:eastAsia="Georgia" w:hAnsi="Georgia"/>
          <w:b/>
          <w:bCs/>
        </w:rPr>
        <w:t xml:space="preserve">Theory Choice</w:t>
      </w:r>
      <w:r>
        <w:rPr>
          <w:rFonts w:ascii="Georgia" w:cs="Georgia" w:eastAsia="Georgia" w:hAnsi="Georgia"/>
        </w:rPr>
        <w:t xml:space="preserve"> at the top of the tool. This moves us from Kitcher’s Sections I–IV to his Section V (pp. 20–24). Read the </w:t>
      </w:r>
      <w:r>
        <w:rPr>
          <w:rFonts w:ascii="Georgia" w:cs="Georgia" w:eastAsia="Georgia" w:hAnsi="Georgia"/>
          <w:b/>
          <w:bCs/>
        </w:rPr>
        <w:t xml:space="preserve">Problem-Solving Methods vs. Theory Choice</w:t>
      </w:r>
      <w:r>
        <w:rPr>
          <w:rFonts w:ascii="Georgia" w:cs="Georgia" w:eastAsia="Georgia" w:hAnsi="Georgia"/>
        </w:rPr>
        <w:t xml:space="preserve"> comparison at the bottom of the tool for an overview of what changes.</w:t>
      </w:r>
    </w:p>
    <w:p>
      <w:pPr>
        <w:spacing w:after="160" w:line="312"/>
      </w:pPr>
      <w:r>
        <w:rPr>
          <w:rFonts w:ascii="Georgia" w:cs="Georgia" w:eastAsia="Georgia" w:hAnsi="Georgia"/>
        </w:rPr>
        <w:t xml:space="preserve">The key structural difference: in the methods framework, each term in the success equation has </w:t>
      </w:r>
      <w:r>
        <w:rPr>
          <w:rFonts w:ascii="Georgia" w:cs="Georgia" w:eastAsia="Georgia" w:hAnsi="Georgia"/>
          <w:i/>
          <w:iCs/>
        </w:rPr>
        <w:t xml:space="preserve">two</w:t>
      </w:r>
      <w:r>
        <w:rPr>
          <w:rFonts w:ascii="Georgia" w:cs="Georgia" w:eastAsia="Georgia" w:hAnsi="Georgia"/>
        </w:rPr>
        <w:t xml:space="preserve"> factors (ρ × f(n)). In theory choice, each term has </w:t>
      </w:r>
      <w:r>
        <w:rPr>
          <w:rFonts w:ascii="Georgia" w:cs="Georgia" w:eastAsia="Georgia" w:hAnsi="Georgia"/>
          <w:i/>
          <w:iCs/>
        </w:rPr>
        <w:t xml:space="preserve">three</w:t>
      </w:r>
      <w:r>
        <w:rPr>
          <w:rFonts w:ascii="Georgia" w:cs="Georgia" w:eastAsia="Georgia" w:hAnsi="Georgia"/>
        </w:rPr>
        <w:t xml:space="preserve">: q (probability the theory is true) × p (tractability — can the problems be overcome?) × f(n) (have scientists overcome them?). Notice the new </w:t>
      </w:r>
      <w:r>
        <w:rPr>
          <w:rFonts w:ascii="Georgia" w:cs="Georgia" w:eastAsia="Georgia" w:hAnsi="Georgia"/>
          <w:b/>
          <w:bCs/>
        </w:rPr>
        <w:t xml:space="preserve">p</w:t>
      </w:r>
      <w:r>
        <w:rPr>
          <w:rFonts w:ascii="Georgia" w:cs="Georgia" w:eastAsia="Georgia" w:hAnsi="Georgia"/>
        </w:rPr>
        <w:t xml:space="preserve"> slider and the purple </w:t>
      </w:r>
      <w:r>
        <w:rPr>
          <w:rFonts w:ascii="Georgia" w:cs="Georgia" w:eastAsia="Georgia" w:hAnsi="Georgia"/>
          <w:i/>
          <w:iCs/>
        </w:rPr>
        <w:t xml:space="preserve">tractability ceiling</w:t>
      </w:r>
      <w:r>
        <w:rPr>
          <w:rFonts w:ascii="Georgia" w:cs="Georgia" w:eastAsia="Georgia" w:hAnsi="Georgia"/>
        </w:rPr>
        <w:t xml:space="preserve"> in the probability space diagram.</w:t>
      </w:r>
    </w:p>
    <w:p>
      <w:pPr>
        <w:spacing w:after="160"/>
      </w:pPr>
      <w:r>
        <w:rPr>
          <w:rFonts w:ascii="Georgia" w:cs="Georgia" w:eastAsia="Georgia" w:hAnsi="Georgia"/>
        </w:rPr>
        <w:t xml:space="preserve">Experiment with the p slider. When p is low, the overall probability of community success drops, but does the </w:t>
      </w:r>
      <w:r>
        <w:rPr>
          <w:rFonts w:ascii="Georgia" w:cs="Georgia" w:eastAsia="Georgia" w:hAnsi="Georgia"/>
          <w:i/>
          <w:iCs/>
        </w:rPr>
        <w:t xml:space="preserve">relative</w:t>
      </w:r>
      <w:r>
        <w:rPr>
          <w:rFonts w:ascii="Georgia" w:cs="Georgia" w:eastAsia="Georgia" w:hAnsi="Georgia"/>
        </w:rPr>
        <w:t xml:space="preserve"> advantage of CO over IR change? Why or why not?</w:t>
      </w:r>
    </w:p>
    <w:p>
      <w:pPr>
        <w:spacing w:after="200"/>
      </w:pPr>
      <w:r>
        <w:rPr>
          <w:rFonts w:ascii="Georgia" w:cs="Georgia" w:eastAsia="Georgia" w:hAnsi="Georgia"/>
        </w:rPr>
        <w:t xml:space="preserve">The theory-choice framing sharpens the bite of Kitcher’s argument. In the methods case, a scientist working on the less-promising method is choosing a less-promising research strategy. In the theory-choice case, a scientist working on the less-probable theory is </w:t>
      </w:r>
      <w:r>
        <w:rPr>
          <w:rFonts w:ascii="Georgia" w:cs="Georgia" w:eastAsia="Georgia" w:hAnsi="Georgia"/>
          <w:i/>
          <w:iCs/>
        </w:rPr>
        <w:t xml:space="preserve">knowingly betting against the evidence about which theory is true</w:t>
      </w:r>
      <w:r>
        <w:rPr>
          <w:rFonts w:ascii="Georgia" w:cs="Georgia" w:eastAsia="Georgia" w:hAnsi="Georgia"/>
        </w:rPr>
        <w:t xml:space="preserve">. That’s a much harder thing to justify individually — yet it’s still what the community needs.</w:t>
      </w:r>
    </w:p>
    <w:p>
      <w:pPr>
        <w:pBdr>
          <w:bottom w:val="single" w:color="BBBBBB" w:sz="4" w:space="8"/>
        </w:pBdr>
        <w:spacing w:after="200" w:before="200"/>
      </w:pPr>
      <w:r>
        <w:rPr>
          <w:rFonts w:ascii="Georgia" w:cs="Georgia" w:eastAsia="Georgia" w:hAnsi="Georgia"/>
        </w:rPr>
        <w:t xml:space="preserve"/>
      </w:r>
    </w:p>
    <w:p>
      <w:pPr>
        <w:spacing w:after="120" w:before="120"/>
      </w:pPr>
      <w:r>
        <w:rPr>
          <w:rFonts w:ascii="Georgia" w:cs="Georgia" w:eastAsia="Georgia" w:hAnsi="Georgia"/>
          <w:b/>
          <w:bCs/>
          <w:sz w:val="28"/>
          <w:szCs w:val="28"/>
        </w:rPr>
        <w:t xml:space="preserve">What to Submit</w:t>
      </w:r>
    </w:p>
    <w:p>
      <w:pPr>
        <w:spacing w:after="160" w:line="312"/>
      </w:pPr>
      <w:r>
        <w:rPr>
          <w:rFonts w:ascii="Georgia" w:cs="Georgia" w:eastAsia="Georgia" w:hAnsi="Georgia"/>
        </w:rPr>
        <w:t xml:space="preserve">Write a short response (roughly 250–500 words) addressing the following: </w:t>
      </w:r>
      <w:r>
        <w:rPr>
          <w:rFonts w:ascii="Georgia" w:cs="Georgia" w:eastAsia="Georgia" w:hAnsi="Georgia"/>
          <w:b/>
          <w:bCs/>
        </w:rPr>
        <w:t xml:space="preserve">Explain, in your own words, Kitcher’s central argument about the division of cognitive labor.</w:t>
      </w:r>
      <w:r>
        <w:rPr>
          <w:rFonts w:ascii="Georgia" w:cs="Georgia" w:eastAsia="Georgia" w:hAnsi="Georgia"/>
        </w:rPr>
        <w:t xml:space="preserve"> Your explanation should cover: (a) what the IR/CO gap is and why it arises, (b) why individually rational behavior leads to a suboptimal collective outcome, and (c) why this matters for how we think about the social organization of science. You’re welcome to reference specific things you observed using the tool.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bullet"/>
      <w:lvlText w:val="•"/>
      <w:lvlJc w:val="left"/>
      <w:pPr>
        <w:ind w:left="540" w:hanging="360"/>
      </w:pPr>
    </w:lvl>
  </w:abstractNum>
  <w:abstractNum w:abstractNumId="7"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sz w:val="32"/>
      <w:szCs w:val="32"/>
    </w:rPr>
  </w:style>
  <w:style w:type="paragraph" w:styleId="Heading2">
    <w:name w:val="Heading 2"/>
    <w:basedOn w:val="Normal"/>
    <w:next w:val="Normal"/>
    <w:qFormat/>
    <w:pPr>
      <w:spacing w:after="160" w:before="24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2026-03-16T22:58:41.883Z</dcterms:created>
  <dcterms:modified xsi:type="dcterms:W3CDTF">2026-03-16T22:58:41.883Z</dcterms:modified>
</cp:coreProperties>
</file>

<file path=docProps/custom.xml><?xml version="1.0" encoding="utf-8"?>
<Properties xmlns="http://schemas.openxmlformats.org/officeDocument/2006/custom-properties" xmlns:vt="http://schemas.openxmlformats.org/officeDocument/2006/docPropsVTypes"/>
</file>