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6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Основы вероятностного моделирования угроз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Бердыев Эзиз</w:t>
      </w:r>
    </w:p>
    <w:p>
      <w:pPr>
        <w:pStyle w:val="Date"/>
      </w:pPr>
      <w:r>
        <w:t xml:space="preserve">2026-09-04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освоение базовых методов вероятностного</w:t>
      </w:r>
      <w:r>
        <w:t xml:space="preserve"> </w:t>
      </w:r>
      <w:r>
        <w:t xml:space="preserve">моделирования случайных процессов в контексте кибербезопасности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На примере моделирования потока атак на веб-сервер изучаются:</w:t>
      </w:r>
    </w:p>
    <w:p>
      <w:pPr>
        <w:pStyle w:val="Compact"/>
        <w:numPr>
          <w:ilvl w:val="0"/>
          <w:numId w:val="1001"/>
        </w:numPr>
      </w:pPr>
      <w:r>
        <w:t xml:space="preserve">пуассоновский поток событий как модель потока атак;</w:t>
      </w:r>
    </w:p>
    <w:p>
      <w:pPr>
        <w:pStyle w:val="Compact"/>
        <w:numPr>
          <w:ilvl w:val="0"/>
          <w:numId w:val="1001"/>
        </w:numPr>
      </w:pPr>
      <w:r>
        <w:t xml:space="preserve">связь между распределением числа событий и распределением интервалов между</w:t>
      </w:r>
      <w:r>
        <w:t xml:space="preserve"> </w:t>
      </w:r>
      <w:r>
        <w:t xml:space="preserve">ними;</w:t>
      </w:r>
    </w:p>
    <w:p>
      <w:pPr>
        <w:pStyle w:val="Compact"/>
        <w:numPr>
          <w:ilvl w:val="0"/>
          <w:numId w:val="1001"/>
        </w:numPr>
      </w:pPr>
      <w:r>
        <w:t xml:space="preserve">методы оценки вероятности редкого события — теоретический и эмпирический;</w:t>
      </w:r>
    </w:p>
    <w:p>
      <w:pPr>
        <w:pStyle w:val="Compact"/>
        <w:numPr>
          <w:ilvl w:val="0"/>
          <w:numId w:val="1001"/>
        </w:numPr>
      </w:pPr>
      <w:r>
        <w:t xml:space="preserve">поведение статистической оценки при росте объёма выборки.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методическими указаниями</w:t>
      </w:r>
      <w:r>
        <w:t xml:space="preserve"> </w:t>
      </w:r>
      <w:r>
        <w:t xml:space="preserve">[1]</w:t>
      </w:r>
      <w:r>
        <w:t xml:space="preserve"> </w:t>
      </w:r>
      <w:r>
        <w:t xml:space="preserve">требуется:</w:t>
      </w:r>
    </w:p>
    <w:p>
      <w:pPr>
        <w:pStyle w:val="Compact"/>
        <w:numPr>
          <w:ilvl w:val="0"/>
          <w:numId w:val="1002"/>
        </w:numPr>
      </w:pPr>
      <w:r>
        <w:t xml:space="preserve">Создать проект DrWatson с именем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Определить набор параметров модели (словарь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) с возможностью</w:t>
      </w:r>
      <w:r>
        <w:t xml:space="preserve"> </w:t>
      </w:r>
      <w:r>
        <w:t xml:space="preserve">варьирования.</w:t>
      </w:r>
    </w:p>
    <w:p>
      <w:pPr>
        <w:pStyle w:val="Compact"/>
        <w:numPr>
          <w:ilvl w:val="0"/>
          <w:numId w:val="1002"/>
        </w:numPr>
      </w:pPr>
      <w:r>
        <w:t xml:space="preserve">Написать функцию</w:t>
      </w:r>
      <w:r>
        <w:t xml:space="preserve"> </w:t>
      </w:r>
      <w:r>
        <w:rPr>
          <w:rStyle w:val="VerbatimChar"/>
        </w:rPr>
        <w:t xml:space="preserve">simulate_attacks(params)</w:t>
      </w:r>
      <w:r>
        <w:t xml:space="preserve">, возвращающую структуру с</w:t>
      </w:r>
      <w:r>
        <w:t xml:space="preserve"> </w:t>
      </w:r>
      <w:r>
        <w:t xml:space="preserve">результатами симуляции: массив числа атак по часам, интервалы, моменты</w:t>
      </w:r>
      <w:r>
        <w:t xml:space="preserve"> </w:t>
      </w:r>
      <w:r>
        <w:t xml:space="preserve">времени.</w:t>
      </w:r>
    </w:p>
    <w:p>
      <w:pPr>
        <w:pStyle w:val="Compact"/>
        <w:numPr>
          <w:ilvl w:val="0"/>
          <w:numId w:val="1002"/>
        </w:numPr>
      </w:pPr>
      <w:r>
        <w:t xml:space="preserve">Использовать сохранение результатов на диск для запуска симуляции с</w:t>
      </w:r>
      <w:r>
        <w:t xml:space="preserve"> </w:t>
      </w:r>
      <w:r>
        <w:t xml:space="preserve">заданными параметрами.</w:t>
      </w:r>
    </w:p>
    <w:p>
      <w:pPr>
        <w:pStyle w:val="Compact"/>
        <w:numPr>
          <w:ilvl w:val="0"/>
          <w:numId w:val="1002"/>
        </w:numPr>
      </w:pPr>
      <w:r>
        <w:t xml:space="preserve">Провести серию экспериментов с разными значениями параметров.</w:t>
      </w:r>
    </w:p>
    <w:p>
      <w:pPr>
        <w:pStyle w:val="Compact"/>
        <w:numPr>
          <w:ilvl w:val="0"/>
          <w:numId w:val="1002"/>
        </w:numPr>
      </w:pPr>
      <w:r>
        <w:t xml:space="preserve">Загрузить сохранённые результаты и выполнить:</w:t>
      </w:r>
    </w:p>
    <w:p>
      <w:pPr>
        <w:pStyle w:val="Compact"/>
        <w:numPr>
          <w:ilvl w:val="1"/>
          <w:numId w:val="1003"/>
        </w:numPr>
      </w:pPr>
      <w:r>
        <w:t xml:space="preserve">построение гистограммы числа атак за час и сравнение с теоретическим</w:t>
      </w:r>
      <w:r>
        <w:t xml:space="preserve"> </w:t>
      </w:r>
      <w:r>
        <w:t xml:space="preserve">распределением Пуассона;</w:t>
      </w:r>
    </w:p>
    <w:p>
      <w:pPr>
        <w:pStyle w:val="Compact"/>
        <w:numPr>
          <w:ilvl w:val="1"/>
          <w:numId w:val="1003"/>
        </w:numPr>
      </w:pPr>
      <w:r>
        <w:t xml:space="preserve">построение графика накопленного числа атак и интервалов между атаками;</w:t>
      </w:r>
    </w:p>
    <w:p>
      <w:pPr>
        <w:pStyle w:val="Compact"/>
        <w:numPr>
          <w:ilvl w:val="1"/>
          <w:numId w:val="1003"/>
        </w:numPr>
      </w:pPr>
      <w:r>
        <w:t xml:space="preserve">проверку экспоненциальности интервалов (гистограмма, QQ-график);</w:t>
      </w:r>
    </w:p>
    <w:p>
      <w:pPr>
        <w:pStyle w:val="Compact"/>
        <w:numPr>
          <w:ilvl w:val="1"/>
          <w:numId w:val="1003"/>
        </w:numPr>
      </w:pPr>
      <w:r>
        <w:t xml:space="preserve">оценку вероятности события «более 10 атак за час» теоретически и</w:t>
      </w:r>
      <w:r>
        <w:t xml:space="preserve"> </w:t>
      </w:r>
      <w:r>
        <w:t xml:space="preserve">эмпирически.</w:t>
      </w:r>
    </w:p>
    <w:p>
      <w:pPr>
        <w:pStyle w:val="Compact"/>
        <w:numPr>
          <w:ilvl w:val="0"/>
          <w:numId w:val="1002"/>
        </w:numPr>
      </w:pPr>
      <w:r>
        <w:t xml:space="preserve">Проанализировать зависимость точности оценки вероятности от числа</w:t>
      </w:r>
      <w:r>
        <w:t xml:space="preserve"> </w:t>
      </w:r>
      <w:r>
        <w:t xml:space="preserve">симуляций.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код в литературный стиль и сгенерировать из него чистый код,</w:t>
      </w:r>
      <w:r>
        <w:t xml:space="preserve"> </w:t>
      </w:r>
      <w:r>
        <w:t xml:space="preserve">Jupyter-блокнот и документацию Quarto.</w:t>
      </w:r>
    </w:p>
    <w:bookmarkEnd w:id="21"/>
    <w:bookmarkStart w:id="31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4" w:name="пуассоновский-поток-событий"/>
    <w:p>
      <w:pPr>
        <w:pStyle w:val="Heading2"/>
      </w:pPr>
      <w:r>
        <w:t xml:space="preserve">3.1 Пуассоновский поток событий</w:t>
      </w:r>
    </w:p>
    <w:p>
      <w:pPr>
        <w:pStyle w:val="FirstParagraph"/>
      </w:pPr>
      <w:r>
        <w:t xml:space="preserve">Поток атак на сервер моделируется пуассоновским процессом — случайным</w:t>
      </w:r>
      <w:r>
        <w:t xml:space="preserve"> </w:t>
      </w:r>
      <w:r>
        <w:t xml:space="preserve">процессом, описывающим поток событий, наступающих независимо друг от друга с</w:t>
      </w:r>
      <w:r>
        <w:t xml:space="preserve"> </w:t>
      </w:r>
      <w:r>
        <w:t xml:space="preserve">постоянной интенсивностью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Число событий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за интервал длины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подчиняется распределению Пуассона:</w:t>
      </w:r>
    </w:p>
    <w:p>
      <w:pPr>
        <w:pStyle w:val="BodyText"/>
      </w:pPr>
      <w:bookmarkStart w:id="22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{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λ</m:t>
                      </m:r>
                      <m:r>
                        <m:t>T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2"/>
    </w:p>
    <w:p>
      <w:pPr>
        <w:pStyle w:val="FirstParagraph"/>
      </w:pPr>
      <w:r>
        <w:t xml:space="preserve">Математическое ожидание и дисперсия числа событий совпадают:</w:t>
      </w:r>
    </w:p>
    <w:p>
      <w:pPr>
        <w:pStyle w:val="BodyText"/>
      </w:pPr>
      <w:bookmarkStart w:id="23" w:name="eq-moments"/>
      <m:oMathPara>
        <m:oMathParaPr>
          <m:jc m:val="center"/>
        </m:oMathParaPr>
        <m:oMath>
          <m:r>
            <m:rPr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D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λ</m:t>
          </m:r>
          <m:r>
            <m:t>T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  <w:bookmarkEnd w:id="23"/>
    </w:p>
    <w:p>
      <w:pPr>
        <w:pStyle w:val="FirstParagraph"/>
      </w:pPr>
      <w:r>
        <w:t xml:space="preserve">Равенство (</w:t>
      </w:r>
      <w:hyperlink w:anchor="eq-moments">
        <w:r>
          <w:rPr>
            <w:rStyle w:val="Hyperlink"/>
          </w:rPr>
          <w:t xml:space="preserve">ур. 2</w:t>
        </w:r>
      </w:hyperlink>
      <w:r>
        <w:t xml:space="preserve">) даёт простой практический критерий: если выборочное</w:t>
      </w:r>
      <w:r>
        <w:t xml:space="preserve"> </w:t>
      </w:r>
      <w:r>
        <w:t xml:space="preserve">среднее заметно отличается от выборочной дисперсии, гипотеза о пуассоновости</w:t>
      </w:r>
      <w:r>
        <w:t xml:space="preserve"> </w:t>
      </w:r>
      <w:r>
        <w:t xml:space="preserve">потока сомнительна.</w:t>
      </w:r>
    </w:p>
    <w:bookmarkEnd w:id="24"/>
    <w:bookmarkStart w:id="27" w:name="интервалы-между-событиями"/>
    <w:p>
      <w:pPr>
        <w:pStyle w:val="Heading2"/>
      </w:pPr>
      <w:r>
        <w:t xml:space="preserve">3.2 Интервалы между событиями</w:t>
      </w:r>
    </w:p>
    <w:p>
      <w:pPr>
        <w:pStyle w:val="FirstParagraph"/>
      </w:pPr>
      <w:r>
        <w:t xml:space="preserve">Пуассоновский процесс допускает эквивалентное описание через интервалы между</w:t>
      </w:r>
      <w:r>
        <w:t xml:space="preserve"> </w:t>
      </w:r>
      <w:r>
        <w:t xml:space="preserve">соседними событиями. Интервал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распределён по показательному закону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25" w:name="eq-exp"/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τ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λ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</m:e>
          </m:d>
        </m:oMath>
      </m:oMathPara>
      <w:bookmarkEnd w:id="25"/>
    </w:p>
    <w:p>
      <w:pPr>
        <w:pStyle w:val="FirstParagraph"/>
      </w:pPr>
      <w:r>
        <w:t xml:space="preserve">Показательное распределение — единственное непрерывное распределение,</w:t>
      </w:r>
      <w:r>
        <w:t xml:space="preserve"> </w:t>
      </w:r>
      <w:r>
        <w:t xml:space="preserve">обладающее свойством отсутствия последействия: вероятность того, что следующая</w:t>
      </w:r>
      <w:r>
        <w:t xml:space="preserve"> </w:t>
      </w:r>
      <w:r>
        <w:t xml:space="preserve">атака произойдёт в ближайшие</w:t>
      </w:r>
      <w:r>
        <w:t xml:space="preserve"> </w:t>
      </w:r>
      <m:oMath>
        <m:r>
          <m:t>Δ</m:t>
        </m:r>
        <m:r>
          <m:t>t</m:t>
        </m:r>
      </m:oMath>
      <w:r>
        <w:t xml:space="preserve">, не зависит от того, сколько времени</w:t>
      </w:r>
      <w:r>
        <w:t xml:space="preserve"> </w:t>
      </w:r>
      <w:r>
        <w:t xml:space="preserve">прошло с предыдущей. Именно это свойство формализует предположение о</w:t>
      </w:r>
      <w:r>
        <w:t xml:space="preserve"> </w:t>
      </w:r>
      <w:r>
        <w:t xml:space="preserve">независимости атак.</w:t>
      </w:r>
    </w:p>
    <w:p>
      <w:pPr>
        <w:pStyle w:val="BodyText"/>
      </w:pPr>
      <w:r>
        <w:t xml:space="preserve">Два описания процесса сведены в</w:t>
      </w:r>
      <w:r>
        <w:t xml:space="preserve"> </w:t>
      </w:r>
      <w:hyperlink w:anchor="tbl-descriptions">
        <w:r>
          <w:rPr>
            <w:rStyle w:val="Hyperlink"/>
          </w:rPr>
          <w:t xml:space="preserve">табл.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descrip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1: Два эквивалентных описания пуассоновского потока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10"/>
              <w:gridCol w:w="2790"/>
              <w:gridCol w:w="2250"/>
              <w:gridCol w:w="117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процесса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Случайная величина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Закон распределения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 числу событий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oMath>
                  <w:r>
                    <w:t xml:space="preserve"> </w:t>
                  </w:r>
                  <w:r>
                    <w:t xml:space="preserve">— атак за интервал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Пуассона (</w:t>
                  </w:r>
                  <w:hyperlink w:anchor="eq-poisson">
                    <w:r>
                      <w:rPr>
                        <w:rStyle w:val="Hyperlink"/>
                      </w:rPr>
                      <w:t xml:space="preserve">ур. 1</w:t>
                    </w:r>
                  </w:hyperlink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t>T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 интервалам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τ</m:t>
                    </m:r>
                  </m:oMath>
                  <w:r>
                    <w:t xml:space="preserve"> </w:t>
                  </w:r>
                  <w:r>
                    <w:t xml:space="preserve">— время между атаками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Показательный (</w:t>
                  </w:r>
                  <w:hyperlink w:anchor="eq-exp">
                    <w:r>
                      <w:rPr>
                        <w:rStyle w:val="Hyperlink"/>
                      </w:rPr>
                      <w:t xml:space="preserve">ур. 3</w:t>
                    </w:r>
                  </w:hyperlink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</m:oMath>
                </w:p>
              </w:tc>
            </w:tr>
          </w:tbl>
          <w:bookmarkEnd w:id="26"/>
          <w:p/>
        </w:tc>
      </w:tr>
    </w:tbl>
    <w:bookmarkEnd w:id="27"/>
    <w:bookmarkStart w:id="30" w:name="оценка-вероятности-редкого-события"/>
    <w:p>
      <w:pPr>
        <w:pStyle w:val="Heading2"/>
      </w:pPr>
      <w:r>
        <w:t xml:space="preserve">3.3 Оценка вероятности редкого события</w:t>
      </w:r>
    </w:p>
    <w:p>
      <w:pPr>
        <w:pStyle w:val="FirstParagraph"/>
      </w:pPr>
      <w:r>
        <w:t xml:space="preserve">Практический интерес представляет вероятность перегрузки сервера — события</w:t>
      </w:r>
      <w:r>
        <w:t xml:space="preserve"> </w:t>
      </w:r>
      <w:r>
        <w:t xml:space="preserve">«более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атак за час». Теоретически она вычисляется через функцию</w:t>
      </w:r>
      <w:r>
        <w:t xml:space="preserve"> </w:t>
      </w:r>
      <w:r>
        <w:t xml:space="preserve">распределения:</w:t>
      </w:r>
    </w:p>
    <w:p>
      <w:pPr>
        <w:pStyle w:val="BodyText"/>
      </w:pPr>
      <w:bookmarkStart w:id="28" w:name="eq-tail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{</m:t>
          </m:r>
          <m:r>
            <m:t>N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i</m:t>
                      </m:r>
                    </m:sup>
                  </m:sSup>
                </m:num>
                <m:den>
                  <m:r>
                    <m:t>i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</m:sup>
          </m:sSup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</m:e>
          </m:d>
        </m:oMath>
      </m:oMathPara>
      <w:bookmarkEnd w:id="28"/>
    </w:p>
    <w:p>
      <w:pPr>
        <w:pStyle w:val="FirstParagraph"/>
      </w:pPr>
      <w:r>
        <w:t xml:space="preserve">Эмпирическая оценка строится как частота: доля часов в выборке объёма</w:t>
      </w:r>
      <w:r>
        <w:t xml:space="preserve"> </w:t>
      </w:r>
      <m:oMath>
        <m:r>
          <m:t>n</m:t>
        </m:r>
      </m:oMath>
      <w:r>
        <w:t xml:space="preserve">, в</w:t>
      </w:r>
      <w:r>
        <w:t xml:space="preserve"> </w:t>
      </w:r>
      <w:r>
        <w:t xml:space="preserve">которых число атак превысило порог. По закону больших чисел эта частота</w:t>
      </w:r>
      <w:r>
        <w:t xml:space="preserve"> </w:t>
      </w:r>
      <w:r>
        <w:t xml:space="preserve">сходится по вероятности к истинному значению (</w:t>
      </w:r>
      <w:hyperlink w:anchor="eq-tail">
        <w:r>
          <w:rPr>
            <w:rStyle w:val="Hyperlink"/>
          </w:rPr>
          <w:t xml:space="preserve">ур. 4</w:t>
        </w:r>
      </w:hyperlink>
      <w:r>
        <w:t xml:space="preserve">) при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[4]</w:t>
      </w:r>
      <w:r>
        <w:t xml:space="preserve">. Стандартная ошибка оценки частоты составляет</w:t>
      </w:r>
    </w:p>
    <w:p>
      <w:pPr>
        <w:pStyle w:val="BodyText"/>
      </w:pPr>
      <w:bookmarkStart w:id="29" w:name="eq-se"/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</m:e>
          </m:d>
        </m:oMath>
      </m:oMathPara>
      <w:bookmarkEnd w:id="29"/>
    </w:p>
    <w:p>
      <w:pPr>
        <w:pStyle w:val="FirstParagraph"/>
      </w:pPr>
      <w:r>
        <w:t xml:space="preserve">то есть убывает как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 Формула (</w:t>
      </w:r>
      <w:hyperlink w:anchor="eq-se">
        <w:r>
          <w:rPr>
            <w:rStyle w:val="Hyperlink"/>
          </w:rPr>
          <w:t xml:space="preserve">ур. 5</w:t>
        </w:r>
      </w:hyperlink>
      <w:r>
        <w:t xml:space="preserve">) даёт масштаб, с которым</w:t>
      </w:r>
      <w:r>
        <w:t xml:space="preserve"> </w:t>
      </w:r>
      <w:r>
        <w:t xml:space="preserve">следует сравнивать наблюдаемые расхождения.</w:t>
      </w:r>
    </w:p>
    <w:bookmarkEnd w:id="30"/>
    <w:bookmarkEnd w:id="31"/>
    <w:bookmarkStart w:id="6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3" w:name="параметры-модели"/>
    <w:p>
      <w:pPr>
        <w:pStyle w:val="Heading2"/>
      </w:pPr>
      <w:r>
        <w:t xml:space="preserve">4.1 Параметры модели</w:t>
      </w:r>
    </w:p>
    <w:p>
      <w:pPr>
        <w:pStyle w:val="FirstParagraph"/>
      </w:pPr>
      <w:r>
        <w:t xml:space="preserve">Параметры собраны в словарь: такая форма позволяет и варьировать их, и</w:t>
      </w:r>
      <w:r>
        <w:t xml:space="preserve"> </w:t>
      </w:r>
      <w:r>
        <w:t xml:space="preserve">использовать функцию</w:t>
      </w:r>
      <w:r>
        <w:t xml:space="preserve"> </w:t>
      </w:r>
      <w:r>
        <w:rPr>
          <w:rStyle w:val="VerbatimChar"/>
        </w:rPr>
        <w:t xml:space="preserve">savename</w:t>
      </w:r>
      <w:r>
        <w:t xml:space="preserve"> </w:t>
      </w:r>
      <w:r>
        <w:t xml:space="preserve">пакета DrWatson</w:t>
      </w:r>
      <w:r>
        <w:t xml:space="preserve"> </w:t>
      </w:r>
      <w:r>
        <w:t xml:space="preserve">[5]</w:t>
      </w:r>
      <w:r>
        <w:t xml:space="preserve"> </w:t>
      </w:r>
      <w:r>
        <w:t xml:space="preserve">для</w:t>
      </w:r>
      <w:r>
        <w:t xml:space="preserve"> </w:t>
      </w:r>
      <w:r>
        <w:t xml:space="preserve">формирования имени файла с результатами (</w:t>
      </w:r>
      <w:hyperlink w:anchor="lst-params">
        <w:r>
          <w:rPr>
            <w:rStyle w:val="Hyperlink"/>
          </w:rPr>
          <w:t xml:space="preserve">листинг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lst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1: Параметры вычислительного эксперимента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params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 xml:space="preserve">:</w:t>
            </w:r>
            <w:r>
              <w:rPr>
                <w:rStyle w:val="NormalTok"/>
              </w:rPr>
              <w:t xml:space="preserve">λ </w:t>
            </w:r>
            <w:r>
              <w:rPr>
                <w:rStyle w:val="OperatorTok"/>
              </w:rPr>
              <w:t xml:space="preserve">=&gt;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5.0</w:t>
            </w:r>
            <w:r>
              <w:rPr>
                <w:rStyle w:val="NormalTok"/>
              </w:rPr>
              <w:t xml:space="preserve">,                   </w:t>
            </w:r>
            <w:r>
              <w:rPr>
                <w:rStyle w:val="CommentTok"/>
              </w:rPr>
              <w:t xml:space="preserve"># интенсивность потока, атак в час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 xml:space="preserve">:</w:t>
            </w:r>
            <w:r>
              <w:rPr>
                <w:rStyle w:val="NormalTok"/>
              </w:rPr>
              <w:t xml:space="preserve">T </w:t>
            </w:r>
            <w:r>
              <w:rPr>
                <w:rStyle w:val="OperatorTok"/>
              </w:rPr>
              <w:t xml:space="preserve">=&gt;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24.0</w:t>
            </w:r>
            <w:r>
              <w:rPr>
                <w:rStyle w:val="NormalTok"/>
              </w:rPr>
              <w:t xml:space="preserve">,                  </w:t>
            </w:r>
            <w:r>
              <w:rPr>
                <w:rStyle w:val="CommentTok"/>
              </w:rPr>
              <w:t xml:space="preserve"># длительность наблюдения, часов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 xml:space="preserve">:</w:t>
            </w:r>
            <w:r>
              <w:rPr>
                <w:rStyle w:val="NormalTok"/>
              </w:rPr>
              <w:t xml:space="preserve">num_hours_for_est </w:t>
            </w:r>
            <w:r>
              <w:rPr>
                <w:rStyle w:val="OperatorTok"/>
              </w:rPr>
              <w:t xml:space="preserve">=&gt;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10000</w:t>
            </w:r>
            <w:r>
              <w:rPr>
                <w:rStyle w:val="NormalTok"/>
              </w:rPr>
              <w:t xml:space="preserve">, </w:t>
            </w:r>
            <w:r>
              <w:rPr>
                <w:rStyle w:val="CommentTok"/>
              </w:rPr>
              <w:t xml:space="preserve"># объём выборки для оценки вероятности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k_threshold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10</w:t>
            </w:r>
            <w:r>
              <w:rPr>
                <w:rStyle w:val="NormalTok"/>
              </w:rPr>
              <w:t xml:space="preserve">                 </w:t>
            </w:r>
            <w:r>
              <w:rPr>
                <w:rStyle w:val="CommentTok"/>
              </w:rPr>
              <w:t xml:space="preserve"># порог: «более 10 атак за час»</w:t>
            </w:r>
          </w:p>
          <w:bookmarkEnd w:id="32"/>
        </w:tc>
      </w:tr>
    </w:tbl>
    <w:bookmarkEnd w:id="33"/>
    <w:bookmarkStart w:id="35" w:name="реализация-модели-потока"/>
    <w:p>
      <w:pPr>
        <w:pStyle w:val="Heading2"/>
      </w:pPr>
      <w:r>
        <w:t xml:space="preserve">4.2 Реализация модели потока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simulate_attacks</w:t>
      </w:r>
      <w:r>
        <w:t xml:space="preserve"> </w:t>
      </w:r>
      <w:r>
        <w:t xml:space="preserve">возвращает три величины: почасовое число атак,</w:t>
      </w:r>
      <w:r>
        <w:t xml:space="preserve"> </w:t>
      </w:r>
      <w:r>
        <w:t xml:space="preserve">интервалы между атаками и моменты их наступления (</w:t>
      </w:r>
      <w:hyperlink w:anchor="lst-sim">
        <w:r>
          <w:rPr>
            <w:rStyle w:val="Hyperlink"/>
          </w:rPr>
          <w:t xml:space="preserve">листинг 2</w:t>
        </w:r>
      </w:hyperlink>
      <w:r>
        <w:t xml:space="preserve">). Число атак за час</w:t>
      </w:r>
      <w:r>
        <w:t xml:space="preserve"> </w:t>
      </w:r>
      <w:r>
        <w:t xml:space="preserve">генерируется напрямую из распределения (</w:t>
      </w:r>
      <w:hyperlink w:anchor="eq-poisson">
        <w:r>
          <w:rPr>
            <w:rStyle w:val="Hyperlink"/>
          </w:rPr>
          <w:t xml:space="preserve">ур. 1</w:t>
        </w:r>
      </w:hyperlink>
      <w:r>
        <w:t xml:space="preserve">), а интервалы — из</w:t>
      </w:r>
      <w:r>
        <w:t xml:space="preserve"> </w:t>
      </w:r>
      <w:r>
        <w:t xml:space="preserve">распределения (</w:t>
      </w:r>
      <w:hyperlink w:anchor="eq-exp">
        <w:r>
          <w:rPr>
            <w:rStyle w:val="Hyperlink"/>
          </w:rPr>
          <w:t xml:space="preserve">ур. 3</w:t>
        </w:r>
      </w:hyperlink>
      <w:r>
        <w:t xml:space="preserve">); тем самым в коде явно используются оба эквивалентных</w:t>
      </w:r>
      <w:r>
        <w:t xml:space="preserve"> </w:t>
      </w:r>
      <w:r>
        <w:t xml:space="preserve">описания процесса.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lst-si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2: Моделирование пуассоновского потока атак</w:t>
            </w:r>
          </w:p>
          <w:p>
            <w:pPr>
              <w:pStyle w:val="SourceCode"/>
              <w:jc w:val="center"/>
            </w:pPr>
            <w:r>
              <w:rPr>
                <w:rStyle w:val="KeywordTok"/>
              </w:rPr>
              <w:t xml:space="preserve">function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simulate_attacks</w:t>
            </w:r>
            <w:r>
              <w:rPr>
                <w:rStyle w:val="NormalTok"/>
              </w:rPr>
              <w:t xml:space="preserve">(λ</w:t>
            </w:r>
            <w:r>
              <w:rPr>
                <w:rStyle w:val="OperatorTok"/>
              </w:rPr>
              <w:t xml:space="preserve">::</w:t>
            </w:r>
            <w:r>
              <w:rPr>
                <w:rStyle w:val="DataTypeTok"/>
              </w:rPr>
              <w:t xml:space="preserve">Float64</w:t>
            </w:r>
            <w:r>
              <w:rPr>
                <w:rStyle w:val="NormalTok"/>
              </w:rPr>
              <w:t xml:space="preserve">, T</w:t>
            </w:r>
            <w:r>
              <w:rPr>
                <w:rStyle w:val="OperatorTok"/>
              </w:rPr>
              <w:t xml:space="preserve">::</w:t>
            </w:r>
            <w:r>
              <w:rPr>
                <w:rStyle w:val="DataTypeTok"/>
              </w:rPr>
              <w:t xml:space="preserve">Float64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hourly_counts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rand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Poisson</w:t>
            </w:r>
            <w:r>
              <w:rPr>
                <w:rStyle w:val="NormalTok"/>
              </w:rPr>
              <w:t xml:space="preserve">(λ),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DataTypeTok"/>
              </w:rPr>
              <w:t xml:space="preserve">Int</w:t>
            </w:r>
            <w:r>
              <w:rPr>
                <w:rStyle w:val="NormalTok"/>
              </w:rPr>
              <w:t xml:space="preserve">, T))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intervals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Float64</w:t>
            </w:r>
            <w:r>
              <w:rPr>
                <w:rStyle w:val="NormalTok"/>
              </w:rPr>
              <w:t xml:space="preserve">[]</w:t>
            </w:r>
            <w:r>
              <w:br/>
            </w:r>
            <w:r>
              <w:rPr>
                <w:rStyle w:val="NormalTok"/>
              </w:rPr>
              <w:t xml:space="preserve">    total_time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накапливаем интервалы, пока не выйдем за горизонт наблюдения T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while</w:t>
            </w:r>
            <w:r>
              <w:rPr>
                <w:rStyle w:val="NormalTok"/>
              </w:rPr>
              <w:t xml:space="preserve"> total_time </w:t>
            </w:r>
            <w:r>
              <w:rPr>
                <w:rStyle w:val="OperatorTok"/>
              </w:rPr>
              <w:t xml:space="preserve">&lt;</w:t>
            </w:r>
            <w:r>
              <w:rPr>
                <w:rStyle w:val="NormalTok"/>
              </w:rPr>
              <w:t xml:space="preserve"> T</w:t>
            </w:r>
            <w:r>
              <w:br/>
            </w:r>
            <w:r>
              <w:rPr>
                <w:rStyle w:val="NormalTok"/>
              </w:rPr>
              <w:t xml:space="preserve">        τ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rand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Exponential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/</w:t>
            </w:r>
            <w:r>
              <w:rPr>
                <w:rStyle w:val="NormalTok"/>
              </w:rPr>
              <w:t xml:space="preserve"> λ))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 xml:space="preserve">push!</w:t>
            </w:r>
            <w:r>
              <w:rPr>
                <w:rStyle w:val="NormalTok"/>
              </w:rPr>
              <w:t xml:space="preserve">(intervals, τ)</w:t>
            </w:r>
            <w:r>
              <w:br/>
            </w:r>
            <w:r>
              <w:rPr>
                <w:rStyle w:val="NormalTok"/>
              </w:rPr>
              <w:t xml:space="preserve">        total_time </w:t>
            </w:r>
            <w:r>
              <w:rPr>
                <w:rStyle w:val="OperatorTok"/>
              </w:rPr>
              <w:t xml:space="preserve">+=</w:t>
            </w:r>
            <w:r>
              <w:rPr>
                <w:rStyle w:val="NormalTok"/>
              </w:rPr>
              <w:t xml:space="preserve"> τ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последний интервал вывел за пределы T — отбрасываем его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total_time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T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 xml:space="preserve">pop!</w:t>
            </w:r>
            <w:r>
              <w:rPr>
                <w:rStyle w:val="NormalTok"/>
              </w:rPr>
              <w:t xml:space="preserve">(intervals)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attack_times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cumsum</w:t>
            </w:r>
            <w:r>
              <w:rPr>
                <w:rStyle w:val="NormalTok"/>
              </w:rPr>
              <w:t xml:space="preserve">(intervals)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return</w:t>
            </w:r>
            <w:r>
              <w:rPr>
                <w:rStyle w:val="NormalTok"/>
              </w:rPr>
              <w:t xml:space="preserve"> (hourly_counts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hourly_counts,</w:t>
            </w:r>
            <w:r>
              <w:br/>
            </w:r>
            <w:r>
              <w:rPr>
                <w:rStyle w:val="NormalTok"/>
              </w:rPr>
              <w:t xml:space="preserve">            intervals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intervals,</w:t>
            </w:r>
            <w:r>
              <w:br/>
            </w:r>
            <w:r>
              <w:rPr>
                <w:rStyle w:val="NormalTok"/>
              </w:rPr>
              <w:t xml:space="preserve">            attack_times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attack_times)</w:t>
            </w:r>
            <w:r>
              <w:br/>
            </w:r>
            <w:r>
              <w:rPr>
                <w:rStyle w:val="KeywordTok"/>
              </w:rPr>
              <w:t xml:space="preserve">end</w:t>
            </w:r>
          </w:p>
          <w:bookmarkEnd w:id="34"/>
        </w:tc>
      </w:tr>
    </w:tbl>
    <w:bookmarkEnd w:id="35"/>
    <w:bookmarkStart w:id="38" w:name="запуск-эксперимента"/>
    <w:p>
      <w:pPr>
        <w:pStyle w:val="Heading2"/>
      </w:pPr>
      <w:r>
        <w:t xml:space="preserve">4.3 Запуск эксперимента</w:t>
      </w:r>
    </w:p>
    <w:p>
      <w:pPr>
        <w:pStyle w:val="FirstParagraph"/>
      </w:pPr>
      <w:r>
        <w:t xml:space="preserve">В ходе эксперимента вычисляются обе оценки вероятности события «более 10 атак</w:t>
      </w:r>
      <w:r>
        <w:t xml:space="preserve"> </w:t>
      </w:r>
      <w:r>
        <w:t xml:space="preserve">за час»: эмпирическая — как частота по выборке объёма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теоретическая — по формуле (</w:t>
      </w:r>
      <w:hyperlink w:anchor="eq-tail">
        <w:r>
          <w:rPr>
            <w:rStyle w:val="Hyperlink"/>
          </w:rPr>
          <w:t xml:space="preserve">ур. 4</w:t>
        </w:r>
      </w:hyperlink>
      <w:r>
        <w:t xml:space="preserve">). Результаты сохраняются на диск с</w:t>
      </w:r>
      <w:r>
        <w:t xml:space="preserve"> </w:t>
      </w:r>
      <w:r>
        <w:t xml:space="preserve">именем файла, построенным по параметрам (</w:t>
      </w:r>
      <w:hyperlink w:anchor="lst-run">
        <w:r>
          <w:rPr>
            <w:rStyle w:val="Hyperlink"/>
          </w:rPr>
          <w:t xml:space="preserve">листинг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lst-ru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3: Оценка вероятности перегрузки сервера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emp_prob  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count</w:t>
            </w:r>
            <w:r>
              <w:rPr>
                <w:rStyle w:val="NormalTok"/>
              </w:rPr>
              <w:t xml:space="preserve">(hourly_sample </w:t>
            </w:r>
            <w:r>
              <w:rPr>
                <w:rStyle w:val="OperatorTok"/>
              </w:rPr>
              <w:t xml:space="preserve">.&gt;</w:t>
            </w:r>
            <w:r>
              <w:rPr>
                <w:rStyle w:val="NormalTok"/>
              </w:rPr>
              <w:t xml:space="preserve"> k_threshold) </w:t>
            </w:r>
            <w:r>
              <w:rPr>
                <w:rStyle w:val="OperatorTok"/>
              </w:rPr>
              <w:t xml:space="preserve">/</w:t>
            </w:r>
            <w:r>
              <w:rPr>
                <w:rStyle w:val="NormalTok"/>
              </w:rPr>
              <w:t xml:space="preserve"> num_hours_for_est</w:t>
            </w:r>
            <w:r>
              <w:br/>
            </w:r>
            <w:r>
              <w:rPr>
                <w:rStyle w:val="NormalTok"/>
              </w:rPr>
              <w:t xml:space="preserve">theor_prob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cdf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Poisson</w:t>
            </w:r>
            <w:r>
              <w:rPr>
                <w:rStyle w:val="NormalTok"/>
              </w:rPr>
              <w:t xml:space="preserve">(λ), k_threshold)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filename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"attack_sim"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savename</w:t>
            </w:r>
            <w:r>
              <w:rPr>
                <w:rStyle w:val="NormalTok"/>
              </w:rPr>
              <w:t xml:space="preserve">(params, </w:t>
            </w:r>
            <w:r>
              <w:rPr>
                <w:rStyle w:val="StringTok"/>
              </w:rPr>
              <w:t xml:space="preserve">"jld2"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FunctionTok"/>
              </w:rPr>
              <w:t xml:space="preserve">mkpath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datadir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"attack_sim"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PreprocessorTok"/>
              </w:rPr>
              <w:t xml:space="preserve">@save</w:t>
            </w:r>
            <w:r>
              <w:rPr>
                <w:rStyle w:val="NormalTok"/>
              </w:rPr>
              <w:t xml:space="preserve"> filename data</w:t>
            </w:r>
          </w:p>
          <w:bookmarkEnd w:id="36"/>
        </w:tc>
      </w:tr>
    </w:tbl>
    <w:p>
      <w:pPr>
        <w:pStyle w:val="FirstParagraph"/>
      </w:pPr>
      <w:r>
        <w:t xml:space="preserve">Полученные значения приведены в</w:t>
      </w:r>
      <w:r>
        <w:t xml:space="preserve"> </w:t>
      </w:r>
      <w:hyperlink w:anchor="tbl-probs">
        <w:r>
          <w:rPr>
            <w:rStyle w:val="Hyperlink"/>
          </w:rPr>
          <w:t xml:space="preserve">табл.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prob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2: Сравнение теоретической и эмпирической оценок вероятности при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Способ оценки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{</m:t>
                    </m:r>
                    <m:r>
                      <m:t>N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Теоретический, по формуле (</w:t>
                  </w:r>
                  <w:hyperlink w:anchor="eq-tail">
                    <w:r>
                      <w:rPr>
                        <w:rStyle w:val="Hyperlink"/>
                      </w:rPr>
                      <w:t xml:space="preserve">ур. 4</w:t>
                    </w:r>
                  </w:hyperlink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0.013695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Эмпирический, выборка</w:t>
                  </w:r>
                  <w: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0.016800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Абсолютное расхождение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0.003105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Стандартная ошибка по (</w:t>
                  </w:r>
                  <w:hyperlink w:anchor="eq-se">
                    <w:r>
                      <w:rPr>
                        <w:rStyle w:val="Hyperlink"/>
                      </w:rPr>
                      <w:t xml:space="preserve">ур. 5</w:t>
                    </w:r>
                  </w:hyperlink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0.001163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Расхождение составляет около</w:t>
      </w:r>
      <w:r>
        <w:t xml:space="preserve"> </w:t>
      </w:r>
      <m:oMath>
        <m:r>
          <m:t>2.7</m:t>
        </m:r>
        <m:r>
          <m:t> </m:t>
        </m:r>
        <m:sSub>
          <m:e>
            <m:r>
              <m:t>σ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. Для единичной реализации</w:t>
      </w:r>
      <w:r>
        <w:t xml:space="preserve"> </w:t>
      </w:r>
      <w:r>
        <w:t xml:space="preserve">это допустимое отклонение: оценка редкого события по выборке в 10 тысяч</w:t>
      </w:r>
      <w:r>
        <w:t xml:space="preserve"> </w:t>
      </w:r>
      <w:r>
        <w:t xml:space="preserve">наблюдений опирается всего на 168 наступивших событий, поэтому её случайный</w:t>
      </w:r>
      <w:r>
        <w:t xml:space="preserve"> </w:t>
      </w:r>
      <w:r>
        <w:t xml:space="preserve">разброс велик. Систематического смещения здесь нет — в этом убеждает</w:t>
      </w:r>
      <w:r>
        <w:t xml:space="preserve"> </w:t>
      </w:r>
      <w:r>
        <w:t xml:space="preserve">исследование сходимости (см. ниже), где при том же объёме выборки оценка</w:t>
      </w:r>
      <w:r>
        <w:t xml:space="preserve"> </w:t>
      </w:r>
      <w:r>
        <w:t xml:space="preserve">0.0137 совпала с теоретической до четвёртого знака.</w:t>
      </w:r>
    </w:p>
    <w:bookmarkEnd w:id="38"/>
    <w:bookmarkStart w:id="43" w:name="анализ-распределений"/>
    <w:p>
      <w:pPr>
        <w:pStyle w:val="Heading2"/>
      </w:pPr>
      <w:r>
        <w:t xml:space="preserve">4.4 Анализ распределений</w:t>
      </w:r>
    </w:p>
    <w:p>
      <w:pPr>
        <w:pStyle w:val="FirstParagraph"/>
      </w:pPr>
      <w:r>
        <w:t xml:space="preserve">Для проверки соответствия модели теории построены четыре графика</w:t>
      </w:r>
      <w:r>
        <w:t xml:space="preserve"> </w:t>
      </w:r>
      <w:r>
        <w:t xml:space="preserve">(</w:t>
      </w:r>
      <w:hyperlink w:anchor="fig-analysis">
        <w:r>
          <w:rPr>
            <w:rStyle w:val="Hyperlink"/>
          </w:rPr>
          <w:t xml:space="preserve">рис. 1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гистограмма числа атак за час в сравнении с законом Пуассона (</w:t>
      </w:r>
      <w:hyperlink w:anchor="eq-poisson">
        <w:r>
          <w:rPr>
            <w:rStyle w:val="Hyperlink"/>
          </w:rPr>
          <w:t xml:space="preserve">ур. 1</w:t>
        </w:r>
      </w:hyperlink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график накопленного числа атак во времени;</w:t>
      </w:r>
    </w:p>
    <w:p>
      <w:pPr>
        <w:pStyle w:val="Compact"/>
        <w:numPr>
          <w:ilvl w:val="0"/>
          <w:numId w:val="1004"/>
        </w:numPr>
      </w:pPr>
      <w:r>
        <w:t xml:space="preserve">гистограмма интервалов между атаками в сравнении с законом (</w:t>
      </w:r>
      <w:hyperlink w:anchor="eq-exp">
        <w:r>
          <w:rPr>
            <w:rStyle w:val="Hyperlink"/>
          </w:rPr>
          <w:t xml:space="preserve">ур. 3</w:t>
        </w:r>
      </w:hyperlink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QQ-график интервалов относительно показательного распределения.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analysis"/>
          <w:p>
            <w:pPr>
              <w:pStyle w:val="Compact"/>
              <w:jc w:val="center"/>
            </w:pPr>
            <w:r>
              <w:drawing>
                <wp:inline>
                  <wp:extent cx="5067300" cy="394123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20260404T190001--poisson-attack-flow-analysis__lab02_julia_plo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941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1: Анализ смоделированного потока атак: распределение числа атак, накопление атак, распределение интервалов и QQ-график</w:t>
            </w:r>
          </w:p>
          <w:bookmarkEnd w:id="42"/>
        </w:tc>
      </w:tr>
    </w:tbl>
    <w:p>
      <w:pPr>
        <w:pStyle w:val="BodyText"/>
      </w:pPr>
      <w:r>
        <w:t xml:space="preserve">Гистограмма числа атак повторяет форму теоретического распределения Пуассона.</w:t>
      </w:r>
      <w:r>
        <w:t xml:space="preserve"> </w:t>
      </w:r>
      <w:r>
        <w:t xml:space="preserve">График накопления атак близок к прямой с угловым коэффициентом</w:t>
      </w:r>
      <w:r>
        <w:t xml:space="preserve"> </w:t>
      </w:r>
      <m:oMath>
        <m:r>
          <m:t>λ</m:t>
        </m:r>
      </m:oMath>
      <w:r>
        <w:t xml:space="preserve">, что</w:t>
      </w:r>
      <w:r>
        <w:t xml:space="preserve"> </w:t>
      </w:r>
      <w:r>
        <w:t xml:space="preserve">отражает постоянство интенсивности потока. Гистограмма интервалов имеет</w:t>
      </w:r>
      <w:r>
        <w:t xml:space="preserve"> </w:t>
      </w:r>
      <w:r>
        <w:t xml:space="preserve">характерную убывающую форму показательного распределения, а точки QQ-графика</w:t>
      </w:r>
      <w:r>
        <w:t xml:space="preserve"> </w:t>
      </w:r>
      <w:r>
        <w:t xml:space="preserve">ложатся вблизи прямой — значит, эмпирические квантили интервалов согласуются с</w:t>
      </w:r>
      <w:r>
        <w:t xml:space="preserve"> </w:t>
      </w:r>
      <w:r>
        <w:t xml:space="preserve">теоретическими.</w:t>
      </w:r>
    </w:p>
    <w:bookmarkEnd w:id="43"/>
    <w:bookmarkStart w:id="50" w:name="исследование-сходимости"/>
    <w:p>
      <w:pPr>
        <w:pStyle w:val="Heading2"/>
      </w:pPr>
      <w:r>
        <w:t xml:space="preserve">4.5 Исследование сходимости</w:t>
      </w:r>
    </w:p>
    <w:p>
      <w:pPr>
        <w:pStyle w:val="FirstParagraph"/>
      </w:pPr>
      <w:r>
        <w:t xml:space="preserve">Зависимость эмпирической оценки от объёма выборки исследована на сетке</w:t>
      </w:r>
      <w:r>
        <w:t xml:space="preserve"> </w:t>
      </w:r>
      <w:r>
        <w:t xml:space="preserve">значений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10 до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(</w:t>
      </w:r>
      <w:hyperlink w:anchor="lst-conv">
        <w:r>
          <w:rPr>
            <w:rStyle w:val="Hyperlink"/>
          </w:rPr>
          <w:t xml:space="preserve">листинг 4</w:t>
        </w:r>
      </w:hyperlink>
      <w:r>
        <w:t xml:space="preserve">). Численные результаты приведены в</w:t>
      </w:r>
      <w:r>
        <w:t xml:space="preserve"> </w:t>
      </w:r>
      <w:hyperlink w:anchor="tbl-conv">
        <w:r>
          <w:rPr>
            <w:rStyle w:val="Hyperlink"/>
          </w:rPr>
          <w:t xml:space="preserve">табл. 3</w:t>
        </w:r>
      </w:hyperlink>
      <w:r>
        <w:t xml:space="preserve">, графически — на</w:t>
      </w:r>
      <w:r>
        <w:t xml:space="preserve"> </w:t>
      </w:r>
      <w:hyperlink w:anchor="fig-convergence">
        <w:r>
          <w:rPr>
            <w:rStyle w:val="Hyperlink"/>
          </w:rPr>
          <w:t xml:space="preserve">рис.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lst-con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4: Исследование сходимости оценки вероятности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[</w:t>
            </w:r>
            <w:r>
              <w:rPr>
                <w:rStyle w:val="Float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100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500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1000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10000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estimates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Float64</w:t>
            </w:r>
            <w:r>
              <w:rPr>
                <w:rStyle w:val="NormalTok"/>
              </w:rPr>
              <w:t xml:space="preserve">[]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N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Ns</w:t>
            </w:r>
            <w:r>
              <w:br/>
            </w:r>
            <w:r>
              <w:rPr>
                <w:rStyle w:val="NormalTok"/>
              </w:rPr>
              <w:t xml:space="preserve">    sample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rand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Poisson</w:t>
            </w:r>
            <w:r>
              <w:rPr>
                <w:rStyle w:val="NormalTok"/>
              </w:rPr>
              <w:t xml:space="preserve">(λ), N)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push!</w:t>
            </w:r>
            <w:r>
              <w:rPr>
                <w:rStyle w:val="NormalTok"/>
              </w:rPr>
              <w:t xml:space="preserve">(estimates, </w:t>
            </w:r>
            <w:r>
              <w:rPr>
                <w:rStyle w:val="FunctionTok"/>
              </w:rPr>
              <w:t xml:space="preserve">count</w:t>
            </w:r>
            <w:r>
              <w:rPr>
                <w:rStyle w:val="NormalTok"/>
              </w:rPr>
              <w:t xml:space="preserve">(sample </w:t>
            </w:r>
            <w:r>
              <w:rPr>
                <w:rStyle w:val="OperatorTok"/>
              </w:rPr>
              <w:t xml:space="preserve">.&gt;</w:t>
            </w:r>
            <w:r>
              <w:rPr>
                <w:rStyle w:val="NormalTok"/>
              </w:rPr>
              <w:t xml:space="preserve"> k_threshold) </w:t>
            </w:r>
            <w:r>
              <w:rPr>
                <w:rStyle w:val="OperatorTok"/>
              </w:rPr>
              <w:t xml:space="preserve">/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ControlFlowTok"/>
              </w:rPr>
              <w:t xml:space="preserve">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theoretical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cdf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Poisson</w:t>
            </w:r>
            <w:r>
              <w:rPr>
                <w:rStyle w:val="NormalTok"/>
              </w:rPr>
              <w:t xml:space="preserve">(λ), k_threshold)</w:t>
            </w:r>
          </w:p>
          <w:bookmarkEnd w:id="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con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3: Сходимость эмпирической оценки к теоретическому значению 0.013695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Объём выборки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Эмпирическая оценка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Модуль отклонения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0.013695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0.006305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0.006305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0.004305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0.0230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0.009305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0.002495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0.000005</w:t>
                  </w:r>
                </w:p>
              </w:tc>
            </w:tr>
          </w:tbl>
          <w:bookmarkEnd w:id="4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convergenc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20260404T190002--probability-estimate-convergence__lab02_julia_plot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2: Сходимость эмпирической оценки вероятности к теоретическому значению</w:t>
            </w:r>
          </w:p>
          <w:bookmarkEnd w:id="49"/>
        </w:tc>
      </w:tr>
    </w:tbl>
    <w:p>
      <w:pPr>
        <w:pStyle w:val="BodyText"/>
      </w:pP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событие «более 10 атак за час» не встретилось ни разу, и оценка</w:t>
      </w:r>
      <w:r>
        <w:t xml:space="preserve"> </w:t>
      </w:r>
      <w:r>
        <w:t xml:space="preserve">обратилась в нуль — для редких событий малые выборки неинформативны в</w:t>
      </w:r>
      <w:r>
        <w:t xml:space="preserve"> </w:t>
      </w:r>
      <w:r>
        <w:t xml:space="preserve">принципе. Отклонение убывает немонотонно: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оно оказалось больше,</w:t>
      </w:r>
      <w:r>
        <w:t xml:space="preserve"> </w:t>
      </w:r>
      <w:r>
        <w:t xml:space="preserve">чем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. Это ожидаемо, поскольку каждая оценка — случайная величина,</w:t>
      </w:r>
      <w:r>
        <w:t xml:space="preserve"> </w:t>
      </w:r>
      <w:r>
        <w:t xml:space="preserve">и убывает по закону (</w:t>
      </w:r>
      <w:hyperlink w:anchor="eq-se">
        <w:r>
          <w:rPr>
            <w:rStyle w:val="Hyperlink"/>
          </w:rPr>
          <w:t xml:space="preserve">ур. 5</w:t>
        </w:r>
      </w:hyperlink>
      <w:r>
        <w:t xml:space="preserve">) не сама ошибка, а её стандартное отклонение. Общая</w:t>
      </w:r>
      <w:r>
        <w:t xml:space="preserve"> </w:t>
      </w:r>
      <w:r>
        <w:t xml:space="preserve">тенденция к уменьшению разброса видна отчётливо: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отклонение</w:t>
      </w:r>
      <w:r>
        <w:t xml:space="preserve"> </w:t>
      </w:r>
      <w:r>
        <w:t xml:space="preserve">составило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.</w:t>
      </w:r>
    </w:p>
    <w:bookmarkEnd w:id="50"/>
    <w:bookmarkStart w:id="57" w:name="вычисление-для-набора-параметров"/>
    <w:p>
      <w:pPr>
        <w:pStyle w:val="Heading2"/>
      </w:pPr>
      <w:r>
        <w:t xml:space="preserve">4.6 Вычисление для набора параметров</w:t>
      </w:r>
    </w:p>
    <w:p>
      <w:pPr>
        <w:pStyle w:val="FirstParagraph"/>
      </w:pPr>
      <w:r>
        <w:t xml:space="preserve">Согласно заданию модель исследована на наборе значений интенсивности</w:t>
      </w:r>
      <w:r>
        <w:t xml:space="preserve"> </w:t>
      </w:r>
      <w:r>
        <w:t xml:space="preserve">(</w:t>
      </w:r>
      <w:hyperlink w:anchor="lst-sweep">
        <w:r>
          <w:rPr>
            <w:rStyle w:val="Hyperlink"/>
          </w:rPr>
          <w:t xml:space="preserve">листинг 5</w:t>
        </w:r>
      </w:hyperlink>
      <w:r>
        <w:t xml:space="preserve">). Результат представлен в</w:t>
      </w:r>
      <w:r>
        <w:t xml:space="preserve"> </w:t>
      </w:r>
      <w:hyperlink w:anchor="tbl-sweep">
        <w:r>
          <w:rPr>
            <w:rStyle w:val="Hyperlink"/>
          </w:rPr>
          <w:t xml:space="preserve">табл. 4</w:t>
        </w:r>
      </w:hyperlink>
      <w:r>
        <w:t xml:space="preserve"> </w:t>
      </w:r>
      <w:r>
        <w:t xml:space="preserve">и на</w:t>
      </w:r>
      <w:r>
        <w:t xml:space="preserve"> </w:t>
      </w:r>
      <w:hyperlink w:anchor="fig-sweep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lst-swee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5: Параметрическое исследование по интенсивности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λ_values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[</w:t>
            </w:r>
            <w:r>
              <w:rPr>
                <w:rStyle w:val="FloatTok"/>
              </w:rPr>
              <w:t xml:space="preserve">1.0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10.0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10_000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λ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λ_values</w:t>
            </w:r>
            <w:r>
              <w:br/>
            </w:r>
            <w:r>
              <w:rPr>
                <w:rStyle w:val="NormalTok"/>
              </w:rPr>
              <w:t xml:space="preserve">    sample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rand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Poisson</w:t>
            </w:r>
            <w:r>
              <w:rPr>
                <w:rStyle w:val="NormalTok"/>
              </w:rPr>
              <w:t xml:space="preserve">(λ), N)</w:t>
            </w:r>
            <w:r>
              <w:br/>
            </w:r>
            <w:r>
              <w:rPr>
                <w:rStyle w:val="NormalTok"/>
              </w:rPr>
              <w:t xml:space="preserve">    emp  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count</w:t>
            </w:r>
            <w:r>
              <w:rPr>
                <w:rStyle w:val="NormalTok"/>
              </w:rPr>
              <w:t xml:space="preserve">(sample </w:t>
            </w:r>
            <w:r>
              <w:rPr>
                <w:rStyle w:val="OperatorTok"/>
              </w:rPr>
              <w:t xml:space="preserve">.&gt;</w:t>
            </w:r>
            <w:r>
              <w:rPr>
                <w:rStyle w:val="NormalTok"/>
              </w:rPr>
              <w:t xml:space="preserve"> k_threshold) </w:t>
            </w:r>
            <w:r>
              <w:rPr>
                <w:rStyle w:val="OperatorTok"/>
              </w:rPr>
              <w:t xml:space="preserve">/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    theor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cdf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Poisson</w:t>
            </w:r>
            <w:r>
              <w:rPr>
                <w:rStyle w:val="NormalTok"/>
              </w:rPr>
              <w:t xml:space="preserve">(λ), k_threshold)</w:t>
            </w:r>
            <w:r>
              <w:br/>
            </w:r>
            <w:r>
              <w:rPr>
                <w:rStyle w:val="ControlFlowTok"/>
              </w:rPr>
              <w:t xml:space="preserve">end</w:t>
            </w:r>
          </w:p>
          <w:bookmarkEnd w:id="5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swee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Табл. 4: Зависимость вероятности перегрузки от интенсивности потока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32"/>
              <w:gridCol w:w="2843"/>
              <w:gridCol w:w="29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</m:oMath>
                  <w:r>
                    <w:t xml:space="preserve">, атак/час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Эмпирическая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{</m:t>
                    </m:r>
                    <m:r>
                      <m:t>N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Теоретическая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{</m:t>
                    </m:r>
                    <m:r>
                      <m:t>N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0.00000001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0.000292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0.013695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0.4201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0.416960</w:t>
                  </w:r>
                </w:p>
              </w:tc>
            </w:tr>
          </w:tbl>
          <w:bookmarkEnd w:id="5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sweep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20260404T190003--lambda-parameter-sweep__lab02_julia_plo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Рис. 3: Зависимость вероятности события «более 10 атак за час» от интенсивности потока</w:t>
            </w:r>
          </w:p>
          <w:bookmarkEnd w:id="56"/>
        </w:tc>
      </w:tr>
    </w:tbl>
    <w:p>
      <w:pPr>
        <w:pStyle w:val="BodyText"/>
      </w:pPr>
      <w:r>
        <w:t xml:space="preserve">Зависимость существенно нелинейна. 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вероятность имеет порядок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и выборка в 10 тысяч наблюдений принципиально не способна её</w:t>
      </w:r>
      <w:r>
        <w:t xml:space="preserve"> </w:t>
      </w:r>
      <w:r>
        <w:t xml:space="preserve">обнаружить — эмпирическая оценка равна нулю. При удвоении интенсивности с 5 до</w:t>
      </w:r>
      <w:r>
        <w:t xml:space="preserve"> </w:t>
      </w:r>
      <w:r>
        <w:t xml:space="preserve">10 атак/час вероятность перегрузки возрастает примерно в 30 раз. Это важный</w:t>
      </w:r>
      <w:r>
        <w:t xml:space="preserve"> </w:t>
      </w:r>
      <w:r>
        <w:t xml:space="preserve">практический вывод: запас по производительности, рассчитанный на среднюю</w:t>
      </w:r>
      <w:r>
        <w:t xml:space="preserve"> </w:t>
      </w:r>
      <w:r>
        <w:t xml:space="preserve">нагрузку, перестаёт работать при сравнительно небольшом росте интенсивности</w:t>
      </w:r>
      <w:r>
        <w:t xml:space="preserve"> </w:t>
      </w:r>
      <w:r>
        <w:t xml:space="preserve">атак.</w:t>
      </w:r>
    </w:p>
    <w:bookmarkEnd w:id="57"/>
    <w:bookmarkStart w:id="59" w:name="литературное-программирование"/>
    <w:p>
      <w:pPr>
        <w:pStyle w:val="Heading2"/>
      </w:pPr>
      <w:r>
        <w:t xml:space="preserve">4.7 Литературное программирование</w:t>
      </w:r>
    </w:p>
    <w:p>
      <w:pPr>
        <w:pStyle w:val="FirstParagraph"/>
      </w:pPr>
      <w:r>
        <w:t xml:space="preserve">Код преобразован в литературный стиль средствами Literate.jl. Литературный</w:t>
      </w:r>
      <w:r>
        <w:t xml:space="preserve"> </w:t>
      </w:r>
      <w:r>
        <w:t xml:space="preserve">исходник размещён в каталоге</w:t>
      </w:r>
      <w:r>
        <w:t xml:space="preserve"> </w:t>
      </w:r>
      <w:r>
        <w:rPr>
          <w:rStyle w:val="VerbatimChar"/>
        </w:rPr>
        <w:t xml:space="preserve">project/literate</w:t>
      </w:r>
      <w:r>
        <w:t xml:space="preserve">, генерация артефактов</w:t>
      </w:r>
      <w:r>
        <w:t xml:space="preserve"> </w:t>
      </w:r>
      <w:r>
        <w:t xml:space="preserve">выполняется одним сценарием (</w:t>
      </w:r>
      <w:hyperlink w:anchor="lst-literate">
        <w:r>
          <w:rPr>
            <w:rStyle w:val="Hyperlink"/>
          </w:rPr>
          <w:t xml:space="preserve">листинг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lst-litera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Листинг 6: Генерация артефактов из литературного исходника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using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Literate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src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projectdir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"literate"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</w:t>
            </w:r>
            <w:r>
              <w:rPr>
                <w:rStyle w:val="StringTok"/>
              </w:rPr>
              <w:t xml:space="preserve">"20260404T190000--poisson-attack-flow__lab02_literate.jl"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Literate.</w:t>
            </w:r>
            <w:r>
              <w:rPr>
                <w:rStyle w:val="FunctionTok"/>
              </w:rPr>
              <w:t xml:space="preserve">script</w:t>
            </w:r>
            <w:r>
              <w:rPr>
                <w:rStyle w:val="NormalTok"/>
              </w:rPr>
              <w:t xml:space="preserve">(src,   </w:t>
            </w:r>
            <w:r>
              <w:rPr>
                <w:rStyle w:val="FunctionTok"/>
              </w:rPr>
              <w:t xml:space="preserve">projectdir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"scripts"</w:t>
            </w:r>
            <w:r>
              <w:rPr>
                <w:rStyle w:val="NormalTok"/>
              </w:rPr>
              <w:t xml:space="preserve">))    </w:t>
            </w:r>
            <w:r>
              <w:rPr>
                <w:rStyle w:val="CommentTok"/>
              </w:rPr>
              <w:t xml:space="preserve"># чистый код</w:t>
            </w:r>
            <w:r>
              <w:br/>
            </w:r>
            <w:r>
              <w:rPr>
                <w:rStyle w:val="NormalTok"/>
              </w:rPr>
              <w:t xml:space="preserve">Literate.</w:t>
            </w:r>
            <w:r>
              <w:rPr>
                <w:rStyle w:val="FunctionTok"/>
              </w:rPr>
              <w:t xml:space="preserve">notebook</w:t>
            </w:r>
            <w:r>
              <w:rPr>
                <w:rStyle w:val="NormalTok"/>
              </w:rPr>
              <w:t xml:space="preserve">(src, </w:t>
            </w:r>
            <w:r>
              <w:rPr>
                <w:rStyle w:val="FunctionTok"/>
              </w:rPr>
              <w:t xml:space="preserve">projectdir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"notebooks"</w:t>
            </w:r>
            <w:r>
              <w:rPr>
                <w:rStyle w:val="NormalTok"/>
              </w:rPr>
              <w:t xml:space="preserve">))  </w:t>
            </w:r>
            <w:r>
              <w:rPr>
                <w:rStyle w:val="CommentTok"/>
              </w:rPr>
              <w:t xml:space="preserve"># jupyter notebook</w:t>
            </w:r>
            <w:r>
              <w:br/>
            </w:r>
            <w:r>
              <w:rPr>
                <w:rStyle w:val="NormalTok"/>
              </w:rPr>
              <w:t xml:space="preserve">Literate.</w:t>
            </w:r>
            <w:r>
              <w:rPr>
                <w:rStyle w:val="FunctionTok"/>
              </w:rPr>
              <w:t xml:space="preserve">markdown</w:t>
            </w:r>
            <w:r>
              <w:rPr>
                <w:rStyle w:val="NormalTok"/>
              </w:rPr>
              <w:t xml:space="preserve">(src, </w:t>
            </w:r>
            <w:r>
              <w:rPr>
                <w:rStyle w:val="FunctionTok"/>
              </w:rPr>
              <w:t xml:space="preserve">projectdir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"docs"</w:t>
            </w:r>
            <w:r>
              <w:rPr>
                <w:rStyle w:val="NormalTok"/>
              </w:rPr>
              <w:t xml:space="preserve">))       </w:t>
            </w:r>
            <w:r>
              <w:rPr>
                <w:rStyle w:val="CommentTok"/>
              </w:rPr>
              <w:t xml:space="preserve"># документация Quarto</w:t>
            </w:r>
          </w:p>
          <w:bookmarkEnd w:id="58"/>
        </w:tc>
      </w:tr>
    </w:tbl>
    <w:p>
      <w:pPr>
        <w:pStyle w:val="FirstParagraph"/>
      </w:pPr>
      <w:r>
        <w:t xml:space="preserve">Из одного источника получены три артефакта: исполняемый сценарий,</w:t>
      </w:r>
      <w:r>
        <w:t xml:space="preserve"> </w:t>
      </w:r>
      <w:r>
        <w:t xml:space="preserve">Jupyter-блокнот и Markdown-документация.</w:t>
      </w:r>
    </w:p>
    <w:bookmarkEnd w:id="59"/>
    <w:bookmarkEnd w:id="60"/>
    <w:bookmarkStart w:id="61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пуассоновский процесс?</w:t>
      </w:r>
    </w:p>
    <w:p>
      <w:pPr>
        <w:pStyle w:val="BodyText"/>
      </w:pPr>
      <w:r>
        <w:t xml:space="preserve">Случайный процесс, описывающий поток событий, наступающих независимо друг от</w:t>
      </w:r>
      <w:r>
        <w:t xml:space="preserve"> </w:t>
      </w:r>
      <w:r>
        <w:t xml:space="preserve">друга с постоянной интенсивностью</w:t>
      </w:r>
      <w:r>
        <w:t xml:space="preserve"> </w:t>
      </w:r>
      <m:oMath>
        <m:r>
          <m:t>λ</m:t>
        </m:r>
      </m:oMath>
      <w:r>
        <w:t xml:space="preserve">. Число событий за интервал</w:t>
      </w:r>
      <w:r>
        <w:t xml:space="preserve"> </w:t>
      </w:r>
      <w:r>
        <w:t xml:space="preserve">подчиняется распределению (</w:t>
      </w:r>
      <w:hyperlink w:anchor="eq-poisson">
        <w:r>
          <w:rPr>
            <w:rStyle w:val="Hyperlink"/>
          </w:rPr>
          <w:t xml:space="preserve">ур. 1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2. Какими свойствами обладает пуассоновский поток?</w:t>
      </w:r>
    </w:p>
    <w:p>
      <w:pPr>
        <w:pStyle w:val="BodyText"/>
      </w:pPr>
      <w:r>
        <w:t xml:space="preserve">Стационарность (интенсивность постоянна), отсутствие последействия (события на</w:t>
      </w:r>
      <w:r>
        <w:t xml:space="preserve"> </w:t>
      </w:r>
      <w:r>
        <w:t xml:space="preserve">непересекающихся интервалах независимы) и ординарность (вероятность</w:t>
      </w:r>
      <w:r>
        <w:t xml:space="preserve"> </w:t>
      </w:r>
      <w:r>
        <w:t xml:space="preserve">наступления двух событий одновременно пренебрежимо мала).</w:t>
      </w:r>
    </w:p>
    <w:p>
      <w:pPr>
        <w:pStyle w:val="BodyText"/>
      </w:pPr>
      <w:r>
        <w:rPr>
          <w:b/>
          <w:bCs/>
        </w:rPr>
        <w:t xml:space="preserve">3. Почему интервалы между событиями распределены показательно?</w:t>
      </w:r>
    </w:p>
    <w:p>
      <w:pPr>
        <w:pStyle w:val="BodyText"/>
      </w:pPr>
      <w:r>
        <w:t xml:space="preserve">Вероятность отсутствия событий на интервале длины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равна</w:t>
      </w:r>
      <w:r>
        <w:t xml:space="preserve"> </w:t>
      </w:r>
      <m:oMath>
        <m:r>
          <m:t>P</m:t>
        </m:r>
        <m:r>
          <m:rPr>
            <m:sty m:val="p"/>
          </m:rPr>
          <m:t>{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x</m:t>
            </m:r>
          </m:sup>
        </m:sSup>
      </m:oMath>
      <w:r>
        <w:t xml:space="preserve"> </w:t>
      </w:r>
      <w:r>
        <w:t xml:space="preserve">по формуле (</w:t>
      </w:r>
      <w:hyperlink w:anchor="eq-poisson">
        <w:r>
          <w:rPr>
            <w:rStyle w:val="Hyperlink"/>
          </w:rPr>
          <w:t xml:space="preserve">ур. 1</w:t>
        </w:r>
      </w:hyperlink>
      <w:r>
        <w:t xml:space="preserve">). Следовательно,</w:t>
      </w:r>
      <w:r>
        <w:t xml:space="preserve"> </w:t>
      </w:r>
      <m:oMath>
        <m:r>
          <m:t>P</m:t>
        </m:r>
        <m:r>
          <m:rPr>
            <m:sty m:val="p"/>
          </m:rPr>
          <m:t>{</m:t>
        </m:r>
        <m:r>
          <m:t>τ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x</m:t>
            </m:r>
          </m:sup>
        </m:sSup>
      </m:oMath>
      <w:r>
        <w:t xml:space="preserve">, что и есть показательное распределение</w:t>
      </w:r>
      <w:r>
        <w:t xml:space="preserve"> </w:t>
      </w:r>
      <w:r>
        <w:t xml:space="preserve">(</w:t>
      </w:r>
      <w:hyperlink w:anchor="eq-exp">
        <w:r>
          <w:rPr>
            <w:rStyle w:val="Hyperlink"/>
          </w:rPr>
          <w:t xml:space="preserve">ур. 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4. В чём разница между эмпирической и теоретической вероятностью?</w:t>
      </w:r>
    </w:p>
    <w:p>
      <w:pPr>
        <w:pStyle w:val="BodyText"/>
      </w:pPr>
      <w:r>
        <w:t xml:space="preserve">Теоретическая вычисляется аналитически из модели по формуле (</w:t>
      </w:r>
      <w:hyperlink w:anchor="eq-tail">
        <w:r>
          <w:rPr>
            <w:rStyle w:val="Hyperlink"/>
          </w:rPr>
          <w:t xml:space="preserve">ур. 4</w:t>
        </w:r>
      </w:hyperlink>
      <w:r>
        <w:t xml:space="preserve">).</w:t>
      </w:r>
      <w:r>
        <w:t xml:space="preserve"> </w:t>
      </w:r>
      <w:r>
        <w:t xml:space="preserve">Эмпирическая — частота события в конечной выборке, то есть сама случайная</w:t>
      </w:r>
      <w:r>
        <w:t xml:space="preserve"> </w:t>
      </w:r>
      <w:r>
        <w:t xml:space="preserve">величина со стандартной ошибкой (</w:t>
      </w:r>
      <w:hyperlink w:anchor="eq-se">
        <w:r>
          <w:rPr>
            <w:rStyle w:val="Hyperlink"/>
          </w:rPr>
          <w:t xml:space="preserve">ур. 5</w:t>
        </w:r>
      </w:hyperlink>
      <w:r>
        <w:t xml:space="preserve">). При корректной модели и большом</w:t>
      </w:r>
      <w:r>
        <w:t xml:space="preserve"> </w:t>
      </w:r>
      <w:r>
        <w:t xml:space="preserve">объёме выборки они близки, что показано в</w:t>
      </w:r>
      <w:r>
        <w:t xml:space="preserve"> </w:t>
      </w:r>
      <w:hyperlink w:anchor="tbl-probs">
        <w:r>
          <w:rPr>
            <w:rStyle w:val="Hyperlink"/>
          </w:rPr>
          <w:t xml:space="preserve">табл. 2</w:t>
        </w:r>
      </w:hyperlink>
      <w:r>
        <w:t xml:space="preserve"> </w:t>
      </w:r>
      <w:r>
        <w:t xml:space="preserve">и</w:t>
      </w:r>
      <w:r>
        <w:t xml:space="preserve"> </w:t>
      </w:r>
      <w:hyperlink w:anchor="tbl-conv">
        <w:r>
          <w:rPr>
            <w:rStyle w:val="Hyperlink"/>
          </w:rPr>
          <w:t xml:space="preserve">табл. 3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5. Что утверждает закон больших чисел и как он проявился в работе?</w:t>
      </w:r>
    </w:p>
    <w:p>
      <w:pPr>
        <w:pStyle w:val="BodyText"/>
      </w:pPr>
      <w:r>
        <w:t xml:space="preserve">Частота события сходится по вероятности к его вероятности при росте числа</w:t>
      </w:r>
      <w:r>
        <w:t xml:space="preserve"> </w:t>
      </w:r>
      <w:r>
        <w:t xml:space="preserve">испытаний. В работе это видно в</w:t>
      </w:r>
      <w:r>
        <w:t xml:space="preserve"> </w:t>
      </w:r>
      <w:hyperlink w:anchor="tbl-conv">
        <w:r>
          <w:rPr>
            <w:rStyle w:val="Hyperlink"/>
          </w:rPr>
          <w:t xml:space="preserve">табл. 3</w:t>
        </w:r>
      </w:hyperlink>
      <w:r>
        <w:t xml:space="preserve"> </w:t>
      </w:r>
      <w:r>
        <w:t xml:space="preserve">и на</w:t>
      </w:r>
      <w:r>
        <w:t xml:space="preserve"> </w:t>
      </w:r>
      <w:hyperlink w:anchor="fig-convergence">
        <w:r>
          <w:rPr>
            <w:rStyle w:val="Hyperlink"/>
          </w:rPr>
          <w:t xml:space="preserve">рис. 2</w:t>
        </w:r>
      </w:hyperlink>
      <w:r>
        <w:t xml:space="preserve">: с ростом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разброс оценки убывает, а сама оценка</w:t>
      </w:r>
      <w:r>
        <w:t xml:space="preserve"> </w:t>
      </w:r>
      <w:r>
        <w:t xml:space="preserve">стабилизируется у теоретического значения.</w:t>
      </w:r>
    </w:p>
    <w:p>
      <w:pPr>
        <w:pStyle w:val="BodyText"/>
      </w:pPr>
      <w:r>
        <w:rPr>
          <w:b/>
          <w:bCs/>
        </w:rPr>
        <w:t xml:space="preserve">6. Зачем нужен QQ-график?</w:t>
      </w:r>
    </w:p>
    <w:p>
      <w:pPr>
        <w:pStyle w:val="BodyText"/>
      </w:pPr>
      <w:r>
        <w:t xml:space="preserve">Он сопоставляет выборочные квантили с теоретическими. Если точки ложатся</w:t>
      </w:r>
      <w:r>
        <w:t xml:space="preserve"> </w:t>
      </w:r>
      <w:r>
        <w:t xml:space="preserve">вблизи прямой, распределения согласуются. Это более чувствительный инструмент</w:t>
      </w:r>
      <w:r>
        <w:t xml:space="preserve"> </w:t>
      </w:r>
      <w:r>
        <w:t xml:space="preserve">проверки, чем визуальное сравнение гистограмм, особенно на хвостах</w:t>
      </w:r>
      <w:r>
        <w:t xml:space="preserve"> </w:t>
      </w:r>
      <w:r>
        <w:t xml:space="preserve">распределения.</w:t>
      </w:r>
    </w:p>
    <w:p>
      <w:pPr>
        <w:pStyle w:val="BodyText"/>
      </w:pPr>
      <w:r>
        <w:rPr>
          <w:b/>
          <w:bCs/>
        </w:rPr>
        <w:t xml:space="preserve">7. Как результат применяется на практике?</w:t>
      </w:r>
    </w:p>
    <w:p>
      <w:pPr>
        <w:pStyle w:val="BodyText"/>
      </w:pPr>
      <w:r>
        <w:t xml:space="preserve">Оценка</w:t>
      </w:r>
      <w:r>
        <w:t xml:space="preserve"> </w:t>
      </w:r>
      <m:oMath>
        <m:r>
          <m:t>P</m:t>
        </m:r>
        <m:r>
          <m:rPr>
            <m:sty m:val="p"/>
          </m:rPr>
          <m:t>{</m:t>
        </m:r>
        <m:r>
          <m:t>N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позволяет обосновать запас производительности сервера и</w:t>
      </w:r>
      <w:r>
        <w:t xml:space="preserve"> </w:t>
      </w:r>
      <w:r>
        <w:t xml:space="preserve">пороги срабатывания систем обнаружения атак: порог выбирается так, чтобы</w:t>
      </w:r>
      <w:r>
        <w:t xml:space="preserve"> </w:t>
      </w:r>
      <w:r>
        <w:t xml:space="preserve">вероятность ложного срабатывания на штатном потоке была приемлемо малой.</w:t>
      </w:r>
    </w:p>
    <w:bookmarkEnd w:id="61"/>
    <w:bookmarkStart w:id="62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работы:</w:t>
      </w:r>
    </w:p>
    <w:p>
      <w:pPr>
        <w:pStyle w:val="Compact"/>
        <w:numPr>
          <w:ilvl w:val="0"/>
          <w:numId w:val="1005"/>
        </w:numPr>
      </w:pPr>
      <w:r>
        <w:t xml:space="preserve">создан проект DrWatson, реализована модель пуассоновского потока атак с</w:t>
      </w:r>
      <w:r>
        <w:t xml:space="preserve"> </w:t>
      </w:r>
      <w:r>
        <w:t xml:space="preserve">параметрами, вынесенными в отдельный словарь;</w:t>
      </w:r>
    </w:p>
    <w:p>
      <w:pPr>
        <w:pStyle w:val="Compact"/>
        <w:numPr>
          <w:ilvl w:val="0"/>
          <w:numId w:val="1005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simulate_attacks</w:t>
      </w:r>
      <w:r>
        <w:t xml:space="preserve"> </w:t>
      </w:r>
      <w:r>
        <w:t xml:space="preserve">возвращает почасовое число атак, интервалы и</w:t>
      </w:r>
      <w:r>
        <w:t xml:space="preserve"> </w:t>
      </w:r>
      <w:r>
        <w:t xml:space="preserve">моменты наступления событий; результаты сохраняются на диск с именем файла,</w:t>
      </w:r>
      <w:r>
        <w:t xml:space="preserve"> </w:t>
      </w:r>
      <w:r>
        <w:t xml:space="preserve">построенным по параметрам;</w:t>
      </w:r>
    </w:p>
    <w:p>
      <w:pPr>
        <w:pStyle w:val="Compact"/>
        <w:numPr>
          <w:ilvl w:val="0"/>
          <w:numId w:val="1005"/>
        </w:numPr>
      </w:pPr>
      <w:r>
        <w:t xml:space="preserve">вероятность события «более 10 атак за час» оценена двумя способами</w:t>
      </w:r>
      <w:r>
        <w:t xml:space="preserve"> </w:t>
      </w:r>
      <w:r>
        <w:t xml:space="preserve">(см.</w:t>
      </w:r>
      <w:r>
        <w:t xml:space="preserve"> </w:t>
      </w:r>
      <w:hyperlink w:anchor="tbl-probs">
        <w:r>
          <w:rPr>
            <w:rStyle w:val="Hyperlink"/>
          </w:rPr>
          <w:t xml:space="preserve">табл. 2</w:t>
        </w:r>
      </w:hyperlink>
      <w:r>
        <w:t xml:space="preserve">); расхождение единичной оценки составило</w:t>
      </w:r>
      <w:r>
        <w:t xml:space="preserve"> </w:t>
      </w:r>
      <m:oMath>
        <m:r>
          <m:t>2.7</m:t>
        </m:r>
        <m:r>
          <m:t> </m:t>
        </m:r>
        <m:r>
          <m:t>σ</m:t>
        </m:r>
      </m:oMath>
      <w:r>
        <w:t xml:space="preserve">, что укладывается в случайный разброс;</w:t>
      </w:r>
    </w:p>
    <w:p>
      <w:pPr>
        <w:pStyle w:val="Compact"/>
        <w:numPr>
          <w:ilvl w:val="0"/>
          <w:numId w:val="1005"/>
        </w:numPr>
      </w:pPr>
      <w:r>
        <w:t xml:space="preserve">проверено соответствие числа атак распределению Пуассона, а интервалов —</w:t>
      </w:r>
      <w:r>
        <w:t xml:space="preserve"> </w:t>
      </w:r>
      <w:r>
        <w:t xml:space="preserve">показательному распределению (см.</w:t>
      </w:r>
      <w:r>
        <w:t xml:space="preserve"> </w:t>
      </w:r>
      <w:hyperlink w:anchor="fig-analysis">
        <w:r>
          <w:rPr>
            <w:rStyle w:val="Hyperlink"/>
          </w:rPr>
          <w:t xml:space="preserve">рис. 1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экспериментально подтверждён закон больших чисел: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отклонение</w:t>
      </w:r>
      <w:r>
        <w:t xml:space="preserve"> </w:t>
      </w:r>
      <w:r>
        <w:t xml:space="preserve">оценки от теоретического значения составило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(см.</w:t>
      </w:r>
      <w:r>
        <w:t xml:space="preserve"> </w:t>
      </w:r>
      <w:hyperlink w:anchor="tbl-conv">
        <w:r>
          <w:rPr>
            <w:rStyle w:val="Hyperlink"/>
          </w:rPr>
          <w:t xml:space="preserve">табл. 3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выполнено параметрическое исследование по интенсивности потока, показавшее</w:t>
      </w:r>
      <w:r>
        <w:t xml:space="preserve"> </w:t>
      </w:r>
      <w:r>
        <w:t xml:space="preserve">резко нелинейный рост вероятности перегрузки (см.</w:t>
      </w:r>
      <w:r>
        <w:t xml:space="preserve"> </w:t>
      </w:r>
      <w:hyperlink w:anchor="tbl-sweep">
        <w:r>
          <w:rPr>
            <w:rStyle w:val="Hyperlink"/>
          </w:rPr>
          <w:t xml:space="preserve">табл. 4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код преобразован в литературный стиль, из него сгенерированы чистый код,</w:t>
      </w:r>
      <w:r>
        <w:t xml:space="preserve"> </w:t>
      </w:r>
      <w:r>
        <w:t xml:space="preserve">Jupyter-блокнот и документация Quarto.</w:t>
      </w:r>
    </w:p>
    <w:p>
      <w:pPr>
        <w:pStyle w:val="FirstParagraph"/>
      </w:pPr>
      <w:r>
        <w:t xml:space="preserve">Полученная модель корректно описывает случайный поток событий и служит основой</w:t>
      </w:r>
      <w:r>
        <w:t xml:space="preserve"> </w:t>
      </w:r>
      <w:r>
        <w:t xml:space="preserve">для более сложных моделей, рассматриваемых в последующих работах курса.</w:t>
      </w:r>
    </w:p>
    <w:bookmarkEnd w:id="62"/>
    <w:bookmarkStart w:id="71" w:name="список-литературы"/>
    <w:p>
      <w:pPr>
        <w:pStyle w:val="Heading1"/>
      </w:pPr>
      <w:r>
        <w:t xml:space="preserve">Список литературы</w:t>
      </w:r>
    </w:p>
    <w:bookmarkStart w:id="70" w:name="refs"/>
    <w:bookmarkStart w:id="64" w:name="ref-rudn_cours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Российский университет дружбы народов.</w:t>
      </w:r>
      <w:r>
        <w:t xml:space="preserve"> </w:t>
      </w:r>
      <w:hyperlink r:id="rId63">
        <w:r>
          <w:rPr>
            <w:rStyle w:val="Hyperlink"/>
          </w:rPr>
          <w:t xml:space="preserve">Методы математического моделирования в кибербезопасности</w:t>
        </w:r>
      </w:hyperlink>
      <w:r>
        <w:t xml:space="preserve">. 2026.</w:t>
      </w:r>
    </w:p>
    <w:bookmarkEnd w:id="64"/>
    <w:bookmarkStart w:id="65" w:name="ref-kingman_poisson_1993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Kingman J. F. C. Poisson Processes. Oxford: Oxford University Press, 1993. 104 с.</w:t>
      </w:r>
    </w:p>
    <w:bookmarkEnd w:id="65"/>
    <w:bookmarkStart w:id="66" w:name="ref-ross_probability_models_2019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Ross S. M. Introduction to Probability Models. 12-е изд. London: Academic Press, 2019. 842 с.</w:t>
      </w:r>
    </w:p>
    <w:bookmarkEnd w:id="66"/>
    <w:bookmarkStart w:id="67" w:name="ref-gmurman_probability_ru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Гмурман В. Е.</w:t>
      </w:r>
      <w:r>
        <w:t xml:space="preserve"> </w:t>
      </w:r>
      <w:r>
        <w:t xml:space="preserve">Теория вероятностей и математическая статистика</w:t>
      </w:r>
      <w:r>
        <w:t xml:space="preserve">. 12-е изд. М.: Юрайт, 2016. 479 с.</w:t>
      </w:r>
    </w:p>
    <w:bookmarkEnd w:id="67"/>
    <w:bookmarkStart w:id="69" w:name="ref-datseris_drwatson_2020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68">
        <w:r>
          <w:rPr>
            <w:rStyle w:val="Hyperlink"/>
          </w:rPr>
          <w:t xml:space="preserve">DrWatson: the perfect sidekick for your scientific inquiries</w:t>
        </w:r>
      </w:hyperlink>
      <w:r>
        <w:t xml:space="preserve"> </w:t>
      </w:r>
      <w:r>
        <w:t xml:space="preserve">// Journal of Open Source Software. 2020. Т. 5, № 54. С. 2673.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hyperlink" Id="rId68" Target="https://doi.org/10.21105/joss.02673" TargetMode="External" /><Relationship Type="http://schemas.openxmlformats.org/officeDocument/2006/relationships/hyperlink" Id="rId63" Target="https://esystem.rudn.ru/mod/resource/view.php?id=13591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i.org/10.21105/joss.02673" TargetMode="External" /><Relationship Type="http://schemas.openxmlformats.org/officeDocument/2006/relationships/hyperlink" Id="rId63" Target="https://esystem.rudn.ru/mod/resource/view.php?id=13591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Основы вероятностного моделирования угроз</dc:title>
  <dc:creator>Бердыев Эзиз</dc:creator>
  <dc:language>ru-RU</dc:language>
  <cp:keywords/>
  <dcterms:created xsi:type="dcterms:W3CDTF">2026-09-04T17:53:59Z</dcterms:created>
  <dcterms:modified xsi:type="dcterms:W3CDTF">2026-09-04T17:53:59Z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2026-09-04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Лабораторная работа № 2</vt:lpwstr>
  </property>
  <property fmtid="{D5CDD505-2E9C-101B-9397-08002B2CF9AE}" pid="18" name="toc-title">
    <vt:lpwstr>Содержание</vt:lpwstr>
  </property>
</Properties>
</file>