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AAC2F">
      <w:r>
        <w:pict>
          <v:rect id="_x0000_i1026" o:spt="1" style="height:1.5pt;width:0pt;" coordsize="21600,21600" o:hr="t" o:hrstd="t" o:hralign="center">
            <v:path/>
            <v:fill focussize="0,0"/>
            <v:stroke/>
            <v:imagedata o:title=""/>
            <o:lock v:ext="edit"/>
            <w10:wrap type="none"/>
            <w10:anchorlock/>
          </v:rect>
        </w:pict>
      </w:r>
    </w:p>
    <w:p w14:paraId="7D6B314A">
      <w:pPr>
        <w:pStyle w:val="2"/>
      </w:pPr>
      <w:bookmarkStart w:id="0" w:name="涌现匹配算法基于数字足迹与社交图谱的创业合伙人零成本评估框架"/>
      <w:r>
        <w:t>涌现匹配算法：基于数字足迹与社交图谱的创业合伙人零成本评估框架</w:t>
      </w:r>
      <w:r>
        <w:rPr>
          <w:b/>
          <w:bCs/>
        </w:rPr>
        <w:t xml:space="preserve"> V2.0（学术规范版）</w:t>
      </w:r>
    </w:p>
    <w:p w14:paraId="4A4E7141">
      <w:pPr>
        <w:pStyle w:val="4"/>
      </w:pPr>
      <w:bookmarkStart w:id="1" w:name="Xc038686a2d87ebad59e77fa81a0e201428a916a"/>
      <w:r>
        <w:t>Emergent Matching Algorithm: A Zero-Cost Evaluation Framework for Co-founder Selection Based on Digital Footprints and Social Graph Analysis</w:t>
      </w:r>
    </w:p>
    <w:p w14:paraId="11D93045">
      <w:pPr>
        <w:pStyle w:val="26"/>
      </w:pPr>
      <w:r>
        <w:rPr>
          <w:b/>
          <w:bCs/>
        </w:rPr>
        <w:t>版本日期：</w:t>
      </w:r>
      <w:r>
        <w:t xml:space="preserve"> 2026-03-18</w:t>
      </w:r>
      <w:r>
        <w:br w:type="textWrapping"/>
      </w:r>
      <w:r>
        <w:rPr>
          <w:b/>
          <w:bCs/>
        </w:rPr>
        <w:t>文档类型：</w:t>
      </w:r>
      <w:r>
        <w:t xml:space="preserve"> 学术实施手册（Academic Implementation Manual）</w:t>
      </w:r>
      <w:r>
        <w:br w:type="textWrapping"/>
      </w:r>
      <w:r>
        <w:rPr>
          <w:b/>
          <w:bCs/>
        </w:rPr>
        <w:t>研究定位：</w:t>
      </w:r>
      <w:r>
        <w:t xml:space="preserve"> 方法论框架（Methodological Framework）与操作指南（Operational Guidelines）</w:t>
      </w:r>
    </w:p>
    <w:p w14:paraId="2D6C595E">
      <w:r>
        <w:pict>
          <v:rect id="_x0000_i1027" o:spt="1" style="height:1.5pt;width:0pt;" coordsize="21600,21600" o:hr="t" o:hrstd="t" o:hralign="center">
            <v:path/>
            <v:fill focussize="0,0"/>
            <v:stroke/>
            <v:imagedata o:title=""/>
            <o:lock v:ext="edit"/>
            <w10:wrap type="none"/>
            <w10:anchorlock/>
          </v:rect>
        </w:pict>
      </w:r>
    </w:p>
    <w:bookmarkEnd w:id="1"/>
    <w:p w14:paraId="46DFDD3F">
      <w:pPr>
        <w:pStyle w:val="4"/>
      </w:pPr>
      <w:bookmarkStart w:id="2" w:name="摘要structured-abstract"/>
      <w:r>
        <w:t>摘要（Structured Abstract）</w:t>
      </w:r>
    </w:p>
    <w:p w14:paraId="34AF4CDB">
      <w:pPr>
        <w:pStyle w:val="26"/>
      </w:pPr>
      <w:r>
        <w:rPr>
          <w:b/>
          <w:bCs/>
        </w:rPr>
        <w:t>Background/背景</w:t>
      </w:r>
      <w:r>
        <w:br w:type="textWrapping"/>
      </w:r>
      <w:r>
        <w:t>创业合伙人选择是高风险、高不可逆性的战略决策，传统评估方法依赖高成本背景调查与心理测评，在资源约束的创业早期阶段难以大规模应用。基于非侵入性测量（Unobtrusive Measures）理论、信号理论（Signaling Theory）与社交资本理论（Social Capital Theory），本研究提出”涌现匹配算法”（Emergent Matching Algorithm, EMA），构建了一套零边际成本、无感知体验的合伙人评估体系。</w:t>
      </w:r>
    </w:p>
    <w:p w14:paraId="5B7BA52A">
      <w:pPr>
        <w:pStyle w:val="3"/>
      </w:pPr>
      <w:r>
        <w:rPr>
          <w:b/>
          <w:bCs/>
        </w:rPr>
        <w:t>Methods/方法</w:t>
      </w:r>
      <w:r>
        <w:br w:type="textWrapping"/>
      </w:r>
      <w:r>
        <w:t>本框架整合三大模块：（1）</w:t>
      </w:r>
      <w:r>
        <w:rPr>
          <w:b/>
          <w:bCs/>
        </w:rPr>
        <w:t>数据挖掘模块</w:t>
      </w:r>
      <w:r>
        <w:t>（Data Mining）：基于公开数字足迹（Digital Footprint）提取职业轨迹、学术产出与价值观信号；（2）</w:t>
      </w:r>
      <w:r>
        <w:rPr>
          <w:b/>
          <w:bCs/>
        </w:rPr>
        <w:t>社交图谱模块</w:t>
      </w:r>
      <w:r>
        <w:t>（Social Graph Analysis）：利用共同联系人（Shared Connections）进行声誉验证与社交资本评估；（3）</w:t>
      </w:r>
      <w:r>
        <w:rPr>
          <w:b/>
          <w:bCs/>
        </w:rPr>
        <w:t>互动观察模块</w:t>
      </w:r>
      <w:r>
        <w:t>（Unobtrusive Observation）：在行业活动与自然社交场景中进行隐蔽行为观察。通过多源数据三角验证（Triangulation）与交叉验证机制，构建合伙人适配度预测模型。</w:t>
      </w:r>
    </w:p>
    <w:p w14:paraId="2E935DEA">
      <w:pPr>
        <w:pStyle w:val="3"/>
      </w:pPr>
      <w:r>
        <w:rPr>
          <w:b/>
          <w:bCs/>
        </w:rPr>
        <w:t>Results/结果</w:t>
      </w:r>
      <w:r>
        <w:br w:type="textWrapping"/>
      </w:r>
      <w:r>
        <w:t>框架定义了12项核心预测维度（包括价值观一致性、认知互补性、压力韧性等），建立了零成本工具链（开源软件、公开数据库、浏览器插件），并设计了伦理合规的操作边界。基于社交资本理论，共同联系人提供的第三方评估可显著降低信息不对称；数字足迹分析显示，社交媒体专业内容可逆转人格-组织匹配感知（Person-Organization Fit Perception）。</w:t>
      </w:r>
    </w:p>
    <w:p w14:paraId="475295E7">
      <w:pPr>
        <w:pStyle w:val="3"/>
      </w:pPr>
      <w:r>
        <w:rPr>
          <w:b/>
          <w:bCs/>
        </w:rPr>
        <w:t>Conclusion/结论</w:t>
      </w:r>
      <w:r>
        <w:br w:type="textWrapping"/>
      </w:r>
      <w:r>
        <w:t>涌现匹配算法为创始人提供了可扩展的合伙人筛选工具，但其有效性依赖于严格的伦理边界与信息质量控制。未来研究需验证该框架的预测效度（Predictive Validity）与跨文化适用性。</w:t>
      </w:r>
    </w:p>
    <w:p w14:paraId="379FC71B">
      <w:pPr>
        <w:pStyle w:val="3"/>
      </w:pPr>
      <w:r>
        <w:rPr>
          <w:b/>
          <w:bCs/>
        </w:rPr>
        <w:t>关键词：</w:t>
      </w:r>
      <w:r>
        <w:t xml:space="preserve"> 创业合伙人选择；非侵入性测量；数字足迹分析；社交资本；零成本评估；涌现匹配</w:t>
      </w:r>
    </w:p>
    <w:p w14:paraId="31CC5154">
      <w:r>
        <w:pict>
          <v:rect id="_x0000_i1028" o:spt="1" style="height:1.5pt;width:0pt;" coordsize="21600,21600" o:hr="t" o:hrstd="t" o:hralign="center">
            <v:path/>
            <v:fill focussize="0,0"/>
            <v:stroke/>
            <v:imagedata o:title=""/>
            <o:lock v:ext="edit"/>
            <w10:wrap type="none"/>
            <w10:anchorlock/>
          </v:rect>
        </w:pict>
      </w:r>
    </w:p>
    <w:bookmarkEnd w:id="2"/>
    <w:p w14:paraId="373F1C90">
      <w:pPr>
        <w:pStyle w:val="4"/>
      </w:pPr>
      <w:bookmarkStart w:id="3" w:name="引言与理论基础"/>
      <w:r>
        <w:t>1. 引言与理论基础</w:t>
      </w:r>
    </w:p>
    <w:p w14:paraId="58944569">
      <w:pPr>
        <w:pStyle w:val="5"/>
      </w:pPr>
      <w:bookmarkStart w:id="4" w:name="研究背景与问题界定"/>
      <w:r>
        <w:t>1.1 研究背景与问题界定</w:t>
      </w:r>
    </w:p>
    <w:p w14:paraId="5ABB0BA0">
      <w:pPr>
        <w:pStyle w:val="26"/>
      </w:pPr>
      <w:r>
        <w:t>创业企业的失败率极高，而合伙人冲突是早期创业失败的主要诱因之一。创始人与合伙人的合作关系具有</w:t>
      </w:r>
      <w:r>
        <w:rPr>
          <w:b/>
          <w:bCs/>
        </w:rPr>
        <w:t>高度不可逆性</w:t>
      </w:r>
      <w:r>
        <w:t>与</w:t>
      </w:r>
      <w:r>
        <w:rPr>
          <w:b/>
          <w:bCs/>
        </w:rPr>
        <w:t>长期绑定特征</w:t>
      </w:r>
      <w:r>
        <w:t>，一旦建立便难以轻易解除，且合作质量直接决定企业的生存与发展。与传统员工招聘不同，合伙人关系涉及股权分配、决策权力与长期承诺，其解除成本远高于普通员工离职。</w:t>
      </w:r>
    </w:p>
    <w:p w14:paraId="6F3EB12F">
      <w:pPr>
        <w:pStyle w:val="3"/>
      </w:pPr>
      <w:r>
        <w:t>现有研究指出，合伙人选择应关注互补性气质（Complementary Temperament）、不同运营技能、相似工作习惯、自我独立性以及共同工作经历等维度。然而，传统评估方法（如结构化面试、心理测评、专业背景调查）存在显著局限：候选人经过充分准备呈现优化形象；面试场景的短暂性与正式性难以捕捉真实行为模式；创始人自身的认知偏见容易干扰客观判断。</w:t>
      </w:r>
    </w:p>
    <w:p w14:paraId="35DE2493">
      <w:pPr>
        <w:pStyle w:val="3"/>
      </w:pPr>
      <w:r>
        <w:t>更为关键的是，</w:t>
      </w:r>
      <w:r>
        <w:rPr>
          <w:b/>
          <w:bCs/>
        </w:rPr>
        <w:t>资源约束</w:t>
      </w:r>
      <w:r>
        <w:t>使早期创业团队难以承担多候选人并行评估的高昂成本。针对这一痛点，本研究提出”零成本评估”（Zero-Cost Assessment）概念，其目标并非绝对零支出，而是将边际成本降至趋近于零的信息获取模式。</w:t>
      </w:r>
    </w:p>
    <w:bookmarkEnd w:id="4"/>
    <w:p w14:paraId="35A6EB52">
      <w:pPr>
        <w:pStyle w:val="5"/>
      </w:pPr>
      <w:bookmarkStart w:id="5" w:name="理论建构"/>
      <w:r>
        <w:t>1.2 理论建构</w:t>
      </w:r>
    </w:p>
    <w:p w14:paraId="52DE9CBE">
      <w:pPr>
        <w:pStyle w:val="6"/>
      </w:pPr>
      <w:bookmarkStart w:id="6" w:name="非侵入性测量理论unobtrusive-measurement-theory"/>
      <w:r>
        <w:t>1.2.1 非侵入性测量理论（Unobtrusive Measurement Theory）</w:t>
      </w:r>
    </w:p>
    <w:p w14:paraId="01BD7783">
      <w:pPr>
        <w:pStyle w:val="26"/>
      </w:pPr>
      <w:r>
        <w:t>组织心理学研究长期依赖需要受访者配合的测量方法（问卷与访谈），但此类方法易受社会期望偏差（Social Desirability Bias）与印象管理（Impression Management）影响。Webb等人（1966）提出的非侵入性测量（Unobtrusive Measures）指在不直接激发数据的情况下，通过间接数据引用研究对象的方法。</w:t>
      </w:r>
    </w:p>
    <w:p w14:paraId="0E1CA294">
      <w:pPr>
        <w:pStyle w:val="3"/>
      </w:pPr>
      <w:r>
        <w:t>近年来，组织文化研究进一步发展了</w:t>
      </w:r>
      <w:r>
        <w:rPr>
          <w:b/>
          <w:bCs/>
        </w:rPr>
        <w:t>文化非侵入性指标</w:t>
      </w:r>
      <w:r>
        <w:t>（Unobtrusive Indicators of Culture, UICs）概念，定义为在不接触员工的情况下收集数据、通过文化人工制品（Cultural Artifacts）测量组织文化的单一指标。UICs分为两类：（1）文本UICs：通过年度报告、员工在线评价、电子邮件中的语言模式测量文化；（2）实践UICs：关注组织政策或高管奖励等组织实践。</w:t>
      </w:r>
    </w:p>
    <w:p w14:paraId="085F3106">
      <w:pPr>
        <w:pStyle w:val="3"/>
      </w:pPr>
      <w:r>
        <w:rPr>
          <w:b/>
          <w:bCs/>
        </w:rPr>
        <w:t>[模拟方法论]</w:t>
      </w:r>
      <w:r>
        <w:t xml:space="preserve"> 涌现匹配算法将UICs理论从组织层面迁移至个体评估层面，提出”个人数字足迹作为非侵入性指标”（Personal Digital Footprints as UICs）的方法论创新，通过职业平台档案、社交媒体内容、学术产出等公开文化人工制品评估候选人特质。</w:t>
      </w:r>
    </w:p>
    <w:bookmarkEnd w:id="6"/>
    <w:p w14:paraId="69889000">
      <w:pPr>
        <w:pStyle w:val="6"/>
      </w:pPr>
      <w:bookmarkStart w:id="7" w:name="信号理论signaling-theory与数字足迹"/>
      <w:r>
        <w:t>1.2.2 信号理论（Signaling Theory）与数字足迹</w:t>
      </w:r>
    </w:p>
    <w:p w14:paraId="1A1C936B">
      <w:pPr>
        <w:pStyle w:val="26"/>
      </w:pPr>
      <w:r>
        <w:t>信号理论指出，在信息不对称的市场中，信号发送者（候选人）通过特定行为或特征向接收者（评估者）传递难以观察的质量属性。在招聘情境中，社交媒体档案不仅提供技术资格信号，还传递人格-组织匹配（Person-Organization Fit）与性格特质等难以观察的属性。</w:t>
      </w:r>
    </w:p>
    <w:p w14:paraId="4CACD186">
      <w:pPr>
        <w:pStyle w:val="3"/>
      </w:pPr>
      <w:r>
        <w:t>实证研究表明，专业社交媒体内容能显著增强专业能力的感知，而不专业内容可能压倒资格信号产生负面印象。这种正负信息不对称（Positive-Negative Information Asymmetry）使负面信息比正面信息产生更强影响。因此，数字足迹分析能够有效识别候选人的隐性风险信号。</w:t>
      </w:r>
    </w:p>
    <w:bookmarkEnd w:id="7"/>
    <w:p w14:paraId="5BE06C75">
      <w:pPr>
        <w:pStyle w:val="6"/>
      </w:pPr>
      <w:bookmarkStart w:id="8" w:name="社交资本与创业团队形成理论"/>
      <w:r>
        <w:t>1.2.3 社交资本与创业团队形成理论</w:t>
      </w:r>
    </w:p>
    <w:p w14:paraId="1973DAA0">
      <w:pPr>
        <w:pStyle w:val="26"/>
      </w:pPr>
      <w:r>
        <w:t>创业团队形成研究指出，创始人常依赖社交资本（Social Capital）与朋友圈、家庭成员及工作同事的网络建立合伙人关系。团队内部社交资本（Team Internal Social Capital）——包括结构、关系与认知维度——为新创业团队（New Venture Teams, NVTs）的创业学习提供条件支持。</w:t>
      </w:r>
    </w:p>
    <w:p w14:paraId="3DDBEE7E">
      <w:pPr>
        <w:pStyle w:val="3"/>
      </w:pPr>
      <w:r>
        <w:t>结构维度上，内部社交资本促进团队成员间频繁互动与连接，为知识交换创造条件；关系维度上，社交资本增强成员认同感与信任；认知维度上，社交资本帮助建立共同愿景与目标，减少团队知识冲突。因此，评估候选人的社交圈质量与网络结构，可预测其未来在团队中的社会资本贡献。</w:t>
      </w:r>
    </w:p>
    <w:p w14:paraId="3756EEDD">
      <w:r>
        <w:pict>
          <v:rect id="_x0000_i1029" o:spt="1" style="height:1.5pt;width:0pt;" coordsize="21600,21600" o:hr="t" o:hrstd="t" o:hralign="center">
            <v:path/>
            <v:fill focussize="0,0"/>
            <v:stroke/>
            <v:imagedata o:title=""/>
            <o:lock v:ext="edit"/>
            <w10:wrap type="none"/>
            <w10:anchorlock/>
          </v:rect>
        </w:pict>
      </w:r>
    </w:p>
    <w:bookmarkEnd w:id="3"/>
    <w:bookmarkEnd w:id="5"/>
    <w:bookmarkEnd w:id="8"/>
    <w:p w14:paraId="3CE3E488">
      <w:pPr>
        <w:pStyle w:val="4"/>
      </w:pPr>
      <w:bookmarkStart w:id="9" w:name="核心概念界定与操作定义"/>
      <w:r>
        <w:t>2. 核心概念界定与操作定义</w:t>
      </w:r>
    </w:p>
    <w:p w14:paraId="5DBE0FF7">
      <w:pPr>
        <w:pStyle w:val="5"/>
      </w:pPr>
      <w:bookmarkStart w:id="10" w:name="涌现匹配算法emergent-matching-algorithm-ema"/>
      <w:r>
        <w:t>2.1 涌现匹配算法（Emergent Matching Algorithm, EMA）</w:t>
      </w:r>
    </w:p>
    <w:p w14:paraId="712162C0">
      <w:pPr>
        <w:pStyle w:val="26"/>
      </w:pPr>
      <w:r>
        <w:rPr>
          <w:b/>
          <w:bCs/>
        </w:rPr>
        <w:t>[模拟方法论]</w:t>
      </w:r>
      <w:r>
        <w:t xml:space="preserve"> 涌现匹配算法是本框架的核心原创方法论，其定义为：利用现代数字环境中自然产生的海量痕迹数据，通过系统化模式识别技术，以极低甚至零成本实现对候选人匹配度的评估。该方法的”涌现”特性体现在：当数据积累达到一定阈值时，候选人的能力画像、行为模式与价值观倾向从分散信息碎片中自发呈现，形成可识别的整体模式。</w:t>
      </w:r>
    </w:p>
    <w:p w14:paraId="788B4C17">
      <w:pPr>
        <w:pStyle w:val="3"/>
      </w:pPr>
      <w:r>
        <w:t>该算法的理论基础源于两个关键洞察：</w:t>
      </w:r>
      <w:r>
        <w:rPr>
          <w:b/>
          <w:bCs/>
        </w:rPr>
        <w:t>跨情境一致性</w:t>
      </w:r>
      <w:r>
        <w:t>（Cross-Situational Consistency）——人在不同情境下的行为具有可预测的相关性，公开领域的专业表现与私下合作中的行为模式存在关联；</w:t>
      </w:r>
      <w:r>
        <w:rPr>
          <w:b/>
          <w:bCs/>
        </w:rPr>
        <w:t>信任传递</w:t>
      </w:r>
      <w:r>
        <w:t>（Trust Transfer）——社交网络拓扑结构蕴含丰富的信任传递信息，共同联系人构成的关系网络能够有效降低信息不对称。</w:t>
      </w:r>
    </w:p>
    <w:bookmarkEnd w:id="10"/>
    <w:p w14:paraId="2A224009">
      <w:pPr>
        <w:pStyle w:val="5"/>
      </w:pPr>
      <w:bookmarkStart w:id="11" w:name="零成本评估的操作定义"/>
      <w:r>
        <w:t>2.2 零成本评估的操作定义</w:t>
      </w:r>
    </w:p>
    <w:p w14:paraId="11AD41D1">
      <w:pPr>
        <w:pStyle w:val="26"/>
      </w:pPr>
      <w:r>
        <w:rPr>
          <w:b/>
          <w:bCs/>
        </w:rPr>
        <w:t>[模拟方法论]</w:t>
      </w:r>
      <w:r>
        <w:t xml:space="preserve"> 零成本并非绝对意义上的零支出，而是将边际成本降至趋近于零的信息获取模式。其实现依赖三个层面：</w:t>
      </w:r>
    </w:p>
    <w:p w14:paraId="2EC7F86D">
      <w:pPr>
        <w:pStyle w:val="27"/>
        <w:numPr>
          <w:ilvl w:val="0"/>
          <w:numId w:val="1"/>
        </w:numPr>
      </w:pPr>
      <w:r>
        <w:rPr>
          <w:b/>
          <w:bCs/>
        </w:rPr>
        <w:t>信息来源公共化</w:t>
      </w:r>
      <w:r>
        <w:t>：优先使用政府开放数据、学术开放获取资源、平台公开信息等无需付费的数据源；</w:t>
      </w:r>
    </w:p>
    <w:p w14:paraId="3507DEA7">
      <w:pPr>
        <w:pStyle w:val="27"/>
        <w:numPr>
          <w:ilvl w:val="0"/>
          <w:numId w:val="1"/>
        </w:numPr>
      </w:pPr>
      <w:r>
        <w:rPr>
          <w:b/>
          <w:bCs/>
        </w:rPr>
        <w:t>工具链免费化</w:t>
      </w:r>
      <w:r>
        <w:t>：采用开源软件、浏览器插件、免费API等零成本工具；</w:t>
      </w:r>
    </w:p>
    <w:p w14:paraId="214F8BF7">
      <w:pPr>
        <w:pStyle w:val="27"/>
        <w:numPr>
          <w:ilvl w:val="0"/>
          <w:numId w:val="1"/>
        </w:numPr>
      </w:pPr>
      <w:r>
        <w:rPr>
          <w:b/>
          <w:bCs/>
        </w:rPr>
        <w:t>流程嵌入性</w:t>
      </w:r>
      <w:r>
        <w:t>：评估活动与创始人的日常工作、行业活动自然融合，不产生额外的评估专项投入。</w:t>
      </w:r>
    </w:p>
    <w:p w14:paraId="03B65184">
      <w:pPr>
        <w:pStyle w:val="26"/>
      </w:pPr>
      <w:r>
        <w:t>零成本目标的深层价值在于评估的可扩展性。传统高成本评估方法（如专业背调、心理测评、长期试用）在面对多候选人时产生显著的边际成本递增，而零成本方法允许创始人在早期阶段并行评估更多候选人，实现”广撒网、精筛选”。</w:t>
      </w:r>
    </w:p>
    <w:bookmarkEnd w:id="11"/>
    <w:p w14:paraId="0521AB52">
      <w:pPr>
        <w:pStyle w:val="5"/>
      </w:pPr>
      <w:bookmarkStart w:id="12" w:name="无感体验unobtrusive-experience的伦理边界"/>
      <w:r>
        <w:t>2.3 无感体验（Unobtrusive Experience）的伦理边界</w:t>
      </w:r>
    </w:p>
    <w:p w14:paraId="43B94AF7">
      <w:pPr>
        <w:pStyle w:val="26"/>
      </w:pPr>
      <w:r>
        <w:rPr>
          <w:b/>
          <w:bCs/>
        </w:rPr>
        <w:t>[模拟方法论]</w:t>
      </w:r>
      <w:r>
        <w:t xml:space="preserve"> “无感体验”是涌现匹配算法区别于传统评估的关键特征，其操作边界需严格界定以确保伦理合规。无感体验包含三个递进层次：</w:t>
      </w:r>
    </w:p>
    <w:p w14:paraId="270F4B39">
      <w:pPr>
        <w:pStyle w:val="27"/>
        <w:numPr>
          <w:ilvl w:val="0"/>
          <w:numId w:val="2"/>
        </w:numPr>
      </w:pPr>
      <w:r>
        <w:rPr>
          <w:b/>
          <w:bCs/>
        </w:rPr>
        <w:t>基础层次</w:t>
      </w:r>
      <w:r>
        <w:t>：无设备仪器接触（No Device Contact）——不依赖可穿戴设备、生物传感器或监控装置；</w:t>
      </w:r>
    </w:p>
    <w:p w14:paraId="1C5984BE">
      <w:pPr>
        <w:pStyle w:val="27"/>
        <w:numPr>
          <w:ilvl w:val="0"/>
          <w:numId w:val="2"/>
        </w:numPr>
      </w:pPr>
      <w:r>
        <w:rPr>
          <w:b/>
          <w:bCs/>
        </w:rPr>
        <w:t>中间层次</w:t>
      </w:r>
      <w:r>
        <w:t>：最小化直接互动（Minimized Direct Interaction）——减少面对面的正式评估场景，将信息收集嵌入自然社交流程；</w:t>
      </w:r>
    </w:p>
    <w:p w14:paraId="4C44FBB7">
      <w:pPr>
        <w:pStyle w:val="27"/>
        <w:numPr>
          <w:ilvl w:val="0"/>
          <w:numId w:val="2"/>
        </w:numPr>
      </w:pPr>
      <w:r>
        <w:rPr>
          <w:b/>
          <w:bCs/>
        </w:rPr>
        <w:t>高层次</w:t>
      </w:r>
      <w:r>
        <w:t>：隐蔽信息收集（Concealed Information Gathering）——候选人全程不察觉自己正在被评估。</w:t>
      </w:r>
    </w:p>
    <w:p w14:paraId="694830FF">
      <w:pPr>
        <w:pStyle w:val="26"/>
      </w:pPr>
      <w:r>
        <w:t>伦理合法性建立在三个前提之上：</w:t>
      </w:r>
      <w:r>
        <w:rPr>
          <w:b/>
          <w:bCs/>
        </w:rPr>
        <w:t>信息来源的公开性</w:t>
      </w:r>
      <w:r>
        <w:t>（候选人已主动公开）、</w:t>
      </w:r>
      <w:r>
        <w:rPr>
          <w:b/>
          <w:bCs/>
        </w:rPr>
        <w:t>收集目的的正当性</w:t>
      </w:r>
      <w:r>
        <w:t>（保护创始人与企业的合法权益）、以及</w:t>
      </w:r>
      <w:r>
        <w:rPr>
          <w:b/>
          <w:bCs/>
        </w:rPr>
        <w:t>使用范围的限制性</w:t>
      </w:r>
      <w:r>
        <w:t>（仅用于合伙人适配评估）。任何涉及非公开信息获取、身份伪装或欺骗性互动的行为均超出合法边界。</w:t>
      </w:r>
    </w:p>
    <w:p w14:paraId="4014DE40">
      <w:r>
        <w:pict>
          <v:rect id="_x0000_i1030" o:spt="1" style="height:1.5pt;width:0pt;" coordsize="21600,21600" o:hr="t" o:hrstd="t" o:hralign="center">
            <v:path/>
            <v:fill focussize="0,0"/>
            <v:stroke/>
            <v:imagedata o:title=""/>
            <o:lock v:ext="edit"/>
            <w10:wrap type="none"/>
            <w10:anchorlock/>
          </v:rect>
        </w:pict>
      </w:r>
    </w:p>
    <w:bookmarkEnd w:id="9"/>
    <w:bookmarkEnd w:id="12"/>
    <w:p w14:paraId="3FCE1CDB">
      <w:pPr>
        <w:pStyle w:val="4"/>
      </w:pPr>
      <w:bookmarkStart w:id="13" w:name="模块一数据挖掘零成本"/>
      <w:r>
        <w:t>3. 模块一：数据挖掘（零成本）</w:t>
      </w:r>
    </w:p>
    <w:p w14:paraId="0D32796B">
      <w:pPr>
        <w:pStyle w:val="5"/>
      </w:pPr>
      <w:bookmarkStart w:id="14" w:name="职业社交平台信息提取"/>
      <w:r>
        <w:t>3.1 职业社交平台信息提取</w:t>
      </w:r>
    </w:p>
    <w:p w14:paraId="46C9FDFF">
      <w:pPr>
        <w:pStyle w:val="6"/>
      </w:pPr>
      <w:bookmarkStart w:id="15" w:name="核心字段与信号理论映射"/>
      <w:r>
        <w:t>3.1.1 核心字段与信号理论映射</w:t>
      </w:r>
    </w:p>
    <w:p w14:paraId="511DA6C7">
      <w:pPr>
        <w:pStyle w:val="26"/>
      </w:pPr>
      <w:r>
        <w:t>职业社交平台（LinkedIn、脉脉等）构成数据挖掘的核心信息源。基于信号理论，需系统提取以下字段：</w:t>
      </w:r>
    </w:p>
    <w:tbl>
      <w:tblPr>
        <w:tblStyle w:val="44"/>
        <w:tblW w:w="9576" w:type="dxa"/>
        <w:jc w:val="center"/>
        <w:tblLayout w:type="autofit"/>
        <w:tblCellMar>
          <w:top w:w="0" w:type="dxa"/>
          <w:left w:w="108" w:type="dxa"/>
          <w:bottom w:w="0" w:type="dxa"/>
          <w:right w:w="108" w:type="dxa"/>
        </w:tblCellMar>
      </w:tblPr>
      <w:tblGrid>
        <w:gridCol w:w="1781"/>
        <w:gridCol w:w="2415"/>
        <w:gridCol w:w="2261"/>
        <w:gridCol w:w="1820"/>
        <w:gridCol w:w="1299"/>
      </w:tblGrid>
      <w:tr w14:paraId="1A0B674F">
        <w:tblPrEx>
          <w:tblCellMar>
            <w:top w:w="0" w:type="dxa"/>
            <w:left w:w="108" w:type="dxa"/>
            <w:bottom w:w="0" w:type="dxa"/>
            <w:right w:w="108" w:type="dxa"/>
          </w:tblCellMar>
        </w:tblPrEx>
        <w:trPr>
          <w:trHeight w:val="0" w:hRule="atLeast"/>
          <w:tblHeader/>
          <w:jc w:val="center"/>
        </w:trPr>
        <w:tc>
          <w:tcPr>
            <w:tcW w:w="1781" w:type="dxa"/>
            <w:tcBorders>
              <w:top w:val="single" w:color="auto" w:sz="12" w:space="0"/>
              <w:left w:val="nil"/>
              <w:bottom w:val="single" w:color="auto" w:sz="4" w:space="0"/>
              <w:right w:val="nil"/>
            </w:tcBorders>
            <w:vAlign w:val="center"/>
          </w:tcPr>
          <w:p w14:paraId="355A1275">
            <w:pPr>
              <w:pStyle w:val="27"/>
              <w:snapToGrid w:val="0"/>
              <w:spacing w:line="240" w:lineRule="auto"/>
              <w:ind w:left="0" w:leftChars="0" w:right="0" w:rightChars="0" w:firstLine="0" w:firstLineChars="0"/>
              <w:jc w:val="center"/>
              <w:rPr>
                <w:b/>
              </w:rPr>
            </w:pPr>
            <w:r>
              <w:rPr>
                <w:b/>
              </w:rPr>
              <w:t>字段类别</w:t>
            </w:r>
          </w:p>
        </w:tc>
        <w:tc>
          <w:tcPr>
            <w:tcW w:w="2415" w:type="dxa"/>
            <w:tcBorders>
              <w:top w:val="single" w:color="auto" w:sz="12" w:space="0"/>
              <w:left w:val="nil"/>
              <w:bottom w:val="single" w:color="auto" w:sz="4" w:space="0"/>
              <w:right w:val="nil"/>
            </w:tcBorders>
            <w:vAlign w:val="center"/>
          </w:tcPr>
          <w:p w14:paraId="29BFF052">
            <w:pPr>
              <w:pStyle w:val="27"/>
              <w:snapToGrid w:val="0"/>
              <w:spacing w:line="240" w:lineRule="auto"/>
              <w:ind w:left="0" w:leftChars="0" w:right="0" w:rightChars="0" w:firstLine="0" w:firstLineChars="0"/>
              <w:jc w:val="center"/>
              <w:rPr>
                <w:b/>
              </w:rPr>
            </w:pPr>
            <w:r>
              <w:rPr>
                <w:b/>
              </w:rPr>
              <w:t>具体字段</w:t>
            </w:r>
          </w:p>
        </w:tc>
        <w:tc>
          <w:tcPr>
            <w:tcW w:w="2261" w:type="dxa"/>
            <w:tcBorders>
              <w:top w:val="single" w:color="auto" w:sz="12" w:space="0"/>
              <w:left w:val="nil"/>
              <w:bottom w:val="single" w:color="auto" w:sz="4" w:space="0"/>
              <w:right w:val="nil"/>
            </w:tcBorders>
            <w:vAlign w:val="center"/>
          </w:tcPr>
          <w:p w14:paraId="4F7D6280">
            <w:pPr>
              <w:pStyle w:val="27"/>
              <w:snapToGrid w:val="0"/>
              <w:spacing w:line="240" w:lineRule="auto"/>
              <w:ind w:left="0" w:leftChars="0" w:right="0" w:rightChars="0" w:firstLine="0" w:firstLineChars="0"/>
              <w:jc w:val="center"/>
              <w:rPr>
                <w:b/>
              </w:rPr>
            </w:pPr>
            <w:r>
              <w:rPr>
                <w:b/>
              </w:rPr>
              <w:t>信号价值</w:t>
            </w:r>
          </w:p>
        </w:tc>
        <w:tc>
          <w:tcPr>
            <w:tcW w:w="1820" w:type="dxa"/>
            <w:tcBorders>
              <w:top w:val="single" w:color="auto" w:sz="12" w:space="0"/>
              <w:left w:val="nil"/>
              <w:bottom w:val="single" w:color="auto" w:sz="4" w:space="0"/>
              <w:right w:val="nil"/>
            </w:tcBorders>
            <w:vAlign w:val="center"/>
          </w:tcPr>
          <w:p w14:paraId="3C0E12A7">
            <w:pPr>
              <w:pStyle w:val="27"/>
              <w:snapToGrid w:val="0"/>
              <w:spacing w:line="240" w:lineRule="auto"/>
              <w:ind w:left="0" w:leftChars="0" w:right="0" w:rightChars="0" w:firstLine="0" w:firstLineChars="0"/>
              <w:jc w:val="center"/>
              <w:rPr>
                <w:b/>
              </w:rPr>
            </w:pPr>
            <w:r>
              <w:rPr>
                <w:b/>
              </w:rPr>
              <w:t>风险信号</w:t>
            </w:r>
          </w:p>
        </w:tc>
        <w:tc>
          <w:tcPr>
            <w:tcW w:w="1299" w:type="dxa"/>
            <w:tcBorders>
              <w:top w:val="single" w:color="auto" w:sz="12" w:space="0"/>
              <w:left w:val="nil"/>
              <w:bottom w:val="single" w:color="auto" w:sz="4" w:space="0"/>
              <w:right w:val="nil"/>
            </w:tcBorders>
            <w:vAlign w:val="center"/>
          </w:tcPr>
          <w:p w14:paraId="3CE37E99">
            <w:pPr>
              <w:pStyle w:val="27"/>
              <w:snapToGrid w:val="0"/>
              <w:spacing w:line="240" w:lineRule="auto"/>
              <w:ind w:left="0" w:leftChars="0" w:right="0" w:rightChars="0" w:firstLine="0" w:firstLineChars="0"/>
              <w:jc w:val="center"/>
              <w:rPr>
                <w:b/>
              </w:rPr>
            </w:pPr>
            <w:r>
              <w:rPr>
                <w:b/>
              </w:rPr>
              <w:t>数据来源</w:t>
            </w:r>
          </w:p>
        </w:tc>
      </w:tr>
      <w:tr w14:paraId="3177BB10">
        <w:tblPrEx>
          <w:tblCellMar>
            <w:top w:w="0" w:type="dxa"/>
            <w:left w:w="108" w:type="dxa"/>
            <w:bottom w:w="0" w:type="dxa"/>
            <w:right w:w="108" w:type="dxa"/>
          </w:tblCellMar>
        </w:tblPrEx>
        <w:trPr>
          <w:trHeight w:val="0" w:hRule="atLeast"/>
          <w:jc w:val="center"/>
        </w:trPr>
        <w:tc>
          <w:tcPr>
            <w:tcW w:w="1781" w:type="dxa"/>
            <w:tcBorders>
              <w:top w:val="single" w:color="auto" w:sz="4" w:space="0"/>
              <w:left w:val="nil"/>
              <w:bottom w:val="nil"/>
              <w:right w:val="nil"/>
            </w:tcBorders>
            <w:vAlign w:val="center"/>
          </w:tcPr>
          <w:p w14:paraId="4CCB90C1">
            <w:pPr>
              <w:pStyle w:val="27"/>
              <w:snapToGrid w:val="0"/>
              <w:spacing w:line="240" w:lineRule="auto"/>
              <w:ind w:left="0" w:leftChars="0" w:right="0" w:rightChars="0" w:firstLine="0" w:firstLineChars="0"/>
              <w:jc w:val="left"/>
            </w:pPr>
            <w:r>
              <w:rPr>
                <w:b/>
                <w:bCs/>
              </w:rPr>
              <w:t>基础身份标识</w:t>
            </w:r>
          </w:p>
        </w:tc>
        <w:tc>
          <w:tcPr>
            <w:tcW w:w="2415" w:type="dxa"/>
            <w:tcBorders>
              <w:top w:val="single" w:color="auto" w:sz="4" w:space="0"/>
              <w:left w:val="nil"/>
              <w:bottom w:val="nil"/>
              <w:right w:val="nil"/>
            </w:tcBorders>
            <w:vAlign w:val="center"/>
          </w:tcPr>
          <w:p w14:paraId="5BDB2636">
            <w:pPr>
              <w:pStyle w:val="27"/>
              <w:snapToGrid w:val="0"/>
              <w:spacing w:line="240" w:lineRule="auto"/>
              <w:ind w:left="0" w:leftChars="0" w:right="0" w:rightChars="0" w:firstLine="0" w:firstLineChars="0"/>
              <w:jc w:val="left"/>
            </w:pPr>
            <w:r>
              <w:t>姓名、职位、公司、地理位置</w:t>
            </w:r>
          </w:p>
        </w:tc>
        <w:tc>
          <w:tcPr>
            <w:tcW w:w="2261" w:type="dxa"/>
            <w:tcBorders>
              <w:top w:val="single" w:color="auto" w:sz="4" w:space="0"/>
              <w:left w:val="nil"/>
              <w:bottom w:val="nil"/>
              <w:right w:val="nil"/>
            </w:tcBorders>
            <w:vAlign w:val="center"/>
          </w:tcPr>
          <w:p w14:paraId="16E5DDDA">
            <w:pPr>
              <w:pStyle w:val="27"/>
              <w:snapToGrid w:val="0"/>
              <w:spacing w:line="240" w:lineRule="auto"/>
              <w:ind w:left="0" w:leftChars="0" w:right="0" w:rightChars="0" w:firstLine="0" w:firstLineChars="0"/>
              <w:jc w:val="left"/>
            </w:pPr>
            <w:r>
              <w:t>身份确认、职业阶段判断</w:t>
            </w:r>
          </w:p>
        </w:tc>
        <w:tc>
          <w:tcPr>
            <w:tcW w:w="1820" w:type="dxa"/>
            <w:tcBorders>
              <w:top w:val="single" w:color="auto" w:sz="4" w:space="0"/>
              <w:left w:val="nil"/>
              <w:bottom w:val="nil"/>
              <w:right w:val="nil"/>
            </w:tcBorders>
            <w:vAlign w:val="center"/>
          </w:tcPr>
          <w:p w14:paraId="2F0F93E0">
            <w:pPr>
              <w:pStyle w:val="27"/>
              <w:snapToGrid w:val="0"/>
              <w:spacing w:line="240" w:lineRule="auto"/>
              <w:ind w:left="0" w:leftChars="0" w:right="0" w:rightChars="0" w:firstLine="0" w:firstLineChars="0"/>
              <w:jc w:val="center"/>
            </w:pPr>
            <w:r>
              <w:t>信息缺失、频繁变更</w:t>
            </w:r>
          </w:p>
        </w:tc>
        <w:tc>
          <w:tcPr>
            <w:tcW w:w="1299" w:type="dxa"/>
            <w:tcBorders>
              <w:top w:val="single" w:color="auto" w:sz="4" w:space="0"/>
              <w:left w:val="nil"/>
              <w:bottom w:val="nil"/>
              <w:right w:val="nil"/>
            </w:tcBorders>
            <w:vAlign w:val="center"/>
          </w:tcPr>
          <w:p w14:paraId="167005A1">
            <w:pPr>
              <w:pStyle w:val="27"/>
              <w:snapToGrid w:val="0"/>
              <w:spacing w:line="240" w:lineRule="auto"/>
              <w:ind w:left="0" w:leftChars="0" w:right="0" w:rightChars="0" w:firstLine="0" w:firstLineChars="0"/>
              <w:jc w:val="center"/>
            </w:pPr>
            <w:r>
              <w:t>职业平台公开档案</w:t>
            </w:r>
          </w:p>
        </w:tc>
      </w:tr>
      <w:tr w14:paraId="0BA485C9">
        <w:tblPrEx>
          <w:tblCellMar>
            <w:top w:w="0" w:type="dxa"/>
            <w:left w:w="108" w:type="dxa"/>
            <w:bottom w:w="0" w:type="dxa"/>
            <w:right w:w="108" w:type="dxa"/>
          </w:tblCellMar>
        </w:tblPrEx>
        <w:trPr>
          <w:trHeight w:val="0" w:hRule="atLeast"/>
          <w:jc w:val="center"/>
        </w:trPr>
        <w:tc>
          <w:tcPr>
            <w:tcW w:w="1781" w:type="dxa"/>
            <w:tcBorders>
              <w:top w:val="nil"/>
              <w:left w:val="nil"/>
              <w:bottom w:val="nil"/>
              <w:right w:val="nil"/>
            </w:tcBorders>
            <w:vAlign w:val="center"/>
          </w:tcPr>
          <w:p w14:paraId="08FA99A1">
            <w:pPr>
              <w:pStyle w:val="27"/>
              <w:snapToGrid w:val="0"/>
              <w:spacing w:line="240" w:lineRule="auto"/>
              <w:ind w:left="0" w:leftChars="0" w:right="0" w:rightChars="0" w:firstLine="0" w:firstLineChars="0"/>
              <w:jc w:val="left"/>
            </w:pPr>
            <w:r>
              <w:rPr>
                <w:b/>
                <w:bCs/>
              </w:rPr>
              <w:t>职业轨迹</w:t>
            </w:r>
          </w:p>
        </w:tc>
        <w:tc>
          <w:tcPr>
            <w:tcW w:w="2415" w:type="dxa"/>
            <w:tcBorders>
              <w:top w:val="nil"/>
              <w:left w:val="nil"/>
              <w:bottom w:val="nil"/>
              <w:right w:val="nil"/>
            </w:tcBorders>
            <w:vAlign w:val="center"/>
          </w:tcPr>
          <w:p w14:paraId="4D8E910E">
            <w:pPr>
              <w:pStyle w:val="27"/>
              <w:snapToGrid w:val="0"/>
              <w:spacing w:line="240" w:lineRule="auto"/>
              <w:ind w:left="0" w:leftChars="0" w:right="0" w:rightChars="0" w:firstLine="0" w:firstLineChars="0"/>
              <w:jc w:val="left"/>
            </w:pPr>
            <w:r>
              <w:t>时间序列化职位变动、公司规模/阶段</w:t>
            </w:r>
          </w:p>
        </w:tc>
        <w:tc>
          <w:tcPr>
            <w:tcW w:w="2261" w:type="dxa"/>
            <w:tcBorders>
              <w:top w:val="nil"/>
              <w:left w:val="nil"/>
              <w:bottom w:val="nil"/>
              <w:right w:val="nil"/>
            </w:tcBorders>
            <w:vAlign w:val="center"/>
          </w:tcPr>
          <w:p w14:paraId="3E6AB597">
            <w:pPr>
              <w:pStyle w:val="27"/>
              <w:snapToGrid w:val="0"/>
              <w:spacing w:line="240" w:lineRule="auto"/>
              <w:ind w:left="0" w:leftChars="0" w:right="0" w:rightChars="0" w:firstLine="0" w:firstLineChars="0"/>
              <w:jc w:val="left"/>
            </w:pPr>
            <w:r>
              <w:t>晋升模式、稳定性、创业经历识别</w:t>
            </w:r>
          </w:p>
        </w:tc>
        <w:tc>
          <w:tcPr>
            <w:tcW w:w="1820" w:type="dxa"/>
            <w:tcBorders>
              <w:top w:val="nil"/>
              <w:left w:val="nil"/>
              <w:bottom w:val="nil"/>
              <w:right w:val="nil"/>
            </w:tcBorders>
            <w:vAlign w:val="center"/>
          </w:tcPr>
          <w:p w14:paraId="45925CD4">
            <w:pPr>
              <w:pStyle w:val="27"/>
              <w:snapToGrid w:val="0"/>
              <w:spacing w:line="240" w:lineRule="auto"/>
              <w:ind w:left="0" w:leftChars="0" w:right="0" w:rightChars="0" w:firstLine="0" w:firstLineChars="0"/>
              <w:jc w:val="center"/>
            </w:pPr>
            <w:r>
              <w:t>频繁跳槽、履历断档</w:t>
            </w:r>
          </w:p>
        </w:tc>
        <w:tc>
          <w:tcPr>
            <w:tcW w:w="1299" w:type="dxa"/>
            <w:tcBorders>
              <w:top w:val="nil"/>
              <w:left w:val="nil"/>
              <w:bottom w:val="nil"/>
              <w:right w:val="nil"/>
            </w:tcBorders>
            <w:vAlign w:val="center"/>
          </w:tcPr>
          <w:p w14:paraId="25CC59E0">
            <w:pPr>
              <w:pStyle w:val="27"/>
              <w:snapToGrid w:val="0"/>
              <w:spacing w:line="240" w:lineRule="auto"/>
              <w:ind w:left="0" w:leftChars="0" w:right="0" w:rightChars="0" w:firstLine="0" w:firstLineChars="0"/>
              <w:jc w:val="center"/>
            </w:pPr>
            <w:r>
              <w:t>平台时间线数据</w:t>
            </w:r>
          </w:p>
        </w:tc>
      </w:tr>
      <w:tr w14:paraId="5A393C4C">
        <w:tblPrEx>
          <w:tblCellMar>
            <w:top w:w="0" w:type="dxa"/>
            <w:left w:w="108" w:type="dxa"/>
            <w:bottom w:w="0" w:type="dxa"/>
            <w:right w:w="108" w:type="dxa"/>
          </w:tblCellMar>
        </w:tblPrEx>
        <w:trPr>
          <w:trHeight w:val="0" w:hRule="atLeast"/>
          <w:jc w:val="center"/>
        </w:trPr>
        <w:tc>
          <w:tcPr>
            <w:tcW w:w="1781" w:type="dxa"/>
            <w:tcBorders>
              <w:top w:val="nil"/>
              <w:left w:val="nil"/>
              <w:bottom w:val="nil"/>
              <w:right w:val="nil"/>
            </w:tcBorders>
            <w:vAlign w:val="center"/>
          </w:tcPr>
          <w:p w14:paraId="554F3365">
            <w:pPr>
              <w:pStyle w:val="27"/>
              <w:snapToGrid w:val="0"/>
              <w:spacing w:line="240" w:lineRule="auto"/>
              <w:ind w:left="0" w:leftChars="0" w:right="0" w:rightChars="0" w:firstLine="0" w:firstLineChars="0"/>
              <w:jc w:val="left"/>
            </w:pPr>
            <w:r>
              <w:rPr>
                <w:b/>
                <w:bCs/>
              </w:rPr>
              <w:t>教育背景</w:t>
            </w:r>
          </w:p>
        </w:tc>
        <w:tc>
          <w:tcPr>
            <w:tcW w:w="2415" w:type="dxa"/>
            <w:tcBorders>
              <w:top w:val="nil"/>
              <w:left w:val="nil"/>
              <w:bottom w:val="nil"/>
              <w:right w:val="nil"/>
            </w:tcBorders>
            <w:vAlign w:val="center"/>
          </w:tcPr>
          <w:p w14:paraId="71C7368B">
            <w:pPr>
              <w:pStyle w:val="27"/>
              <w:snapToGrid w:val="0"/>
              <w:spacing w:line="240" w:lineRule="auto"/>
              <w:ind w:left="0" w:leftChars="0" w:right="0" w:rightChars="0" w:firstLine="0" w:firstLineChars="0"/>
              <w:jc w:val="left"/>
            </w:pPr>
            <w:r>
              <w:t>院校、专业、学位、时间</w:t>
            </w:r>
          </w:p>
        </w:tc>
        <w:tc>
          <w:tcPr>
            <w:tcW w:w="2261" w:type="dxa"/>
            <w:tcBorders>
              <w:top w:val="nil"/>
              <w:left w:val="nil"/>
              <w:bottom w:val="nil"/>
              <w:right w:val="nil"/>
            </w:tcBorders>
            <w:vAlign w:val="center"/>
          </w:tcPr>
          <w:p w14:paraId="7A499AF1">
            <w:pPr>
              <w:pStyle w:val="27"/>
              <w:snapToGrid w:val="0"/>
              <w:spacing w:line="240" w:lineRule="auto"/>
              <w:ind w:left="0" w:leftChars="0" w:right="0" w:rightChars="0" w:firstLine="0" w:firstLineChars="0"/>
              <w:jc w:val="left"/>
            </w:pPr>
            <w:r>
              <w:t>基础能力信号、校友网络</w:t>
            </w:r>
          </w:p>
        </w:tc>
        <w:tc>
          <w:tcPr>
            <w:tcW w:w="1820" w:type="dxa"/>
            <w:tcBorders>
              <w:top w:val="nil"/>
              <w:left w:val="nil"/>
              <w:bottom w:val="nil"/>
              <w:right w:val="nil"/>
            </w:tcBorders>
            <w:vAlign w:val="center"/>
          </w:tcPr>
          <w:p w14:paraId="640F2E2E">
            <w:pPr>
              <w:pStyle w:val="27"/>
              <w:snapToGrid w:val="0"/>
              <w:spacing w:line="240" w:lineRule="auto"/>
              <w:ind w:left="0" w:leftChars="0" w:right="0" w:rightChars="0" w:firstLine="0" w:firstLineChars="0"/>
              <w:jc w:val="center"/>
            </w:pPr>
            <w:r>
              <w:t>学历-职位不匹配</w:t>
            </w:r>
          </w:p>
        </w:tc>
        <w:tc>
          <w:tcPr>
            <w:tcW w:w="1299" w:type="dxa"/>
            <w:tcBorders>
              <w:top w:val="nil"/>
              <w:left w:val="nil"/>
              <w:bottom w:val="nil"/>
              <w:right w:val="nil"/>
            </w:tcBorders>
            <w:vAlign w:val="center"/>
          </w:tcPr>
          <w:p w14:paraId="22B8CC35">
            <w:pPr>
              <w:pStyle w:val="27"/>
              <w:snapToGrid w:val="0"/>
              <w:spacing w:line="240" w:lineRule="auto"/>
              <w:ind w:left="0" w:leftChars="0" w:right="0" w:rightChars="0" w:firstLine="0" w:firstLineChars="0"/>
              <w:jc w:val="center"/>
            </w:pPr>
            <w:r>
              <w:t>公开教育记录</w:t>
            </w:r>
          </w:p>
        </w:tc>
      </w:tr>
      <w:tr w14:paraId="402A9611">
        <w:tblPrEx>
          <w:tblCellMar>
            <w:top w:w="0" w:type="dxa"/>
            <w:left w:w="108" w:type="dxa"/>
            <w:bottom w:w="0" w:type="dxa"/>
            <w:right w:w="108" w:type="dxa"/>
          </w:tblCellMar>
        </w:tblPrEx>
        <w:trPr>
          <w:trHeight w:val="0" w:hRule="atLeast"/>
          <w:jc w:val="center"/>
        </w:trPr>
        <w:tc>
          <w:tcPr>
            <w:tcW w:w="1781" w:type="dxa"/>
            <w:tcBorders>
              <w:top w:val="nil"/>
              <w:left w:val="nil"/>
              <w:bottom w:val="nil"/>
              <w:right w:val="nil"/>
            </w:tcBorders>
            <w:vAlign w:val="center"/>
          </w:tcPr>
          <w:p w14:paraId="020E37E0">
            <w:pPr>
              <w:pStyle w:val="27"/>
              <w:snapToGrid w:val="0"/>
              <w:spacing w:line="240" w:lineRule="auto"/>
              <w:ind w:left="0" w:leftChars="0" w:right="0" w:rightChars="0" w:firstLine="0" w:firstLineChars="0"/>
              <w:jc w:val="left"/>
            </w:pPr>
            <w:r>
              <w:rPr>
                <w:b/>
                <w:bCs/>
              </w:rPr>
              <w:t>技能图谱</w:t>
            </w:r>
          </w:p>
        </w:tc>
        <w:tc>
          <w:tcPr>
            <w:tcW w:w="2415" w:type="dxa"/>
            <w:tcBorders>
              <w:top w:val="nil"/>
              <w:left w:val="nil"/>
              <w:bottom w:val="nil"/>
              <w:right w:val="nil"/>
            </w:tcBorders>
            <w:vAlign w:val="center"/>
          </w:tcPr>
          <w:p w14:paraId="7E745700">
            <w:pPr>
              <w:pStyle w:val="27"/>
              <w:snapToGrid w:val="0"/>
              <w:spacing w:line="240" w:lineRule="auto"/>
              <w:ind w:left="0" w:leftChars="0" w:right="0" w:rightChars="0" w:firstLine="0" w:firstLineChars="0"/>
              <w:jc w:val="left"/>
            </w:pPr>
            <w:r>
              <w:t>自评技能、背书数量与质量</w:t>
            </w:r>
          </w:p>
        </w:tc>
        <w:tc>
          <w:tcPr>
            <w:tcW w:w="2261" w:type="dxa"/>
            <w:tcBorders>
              <w:top w:val="nil"/>
              <w:left w:val="nil"/>
              <w:bottom w:val="nil"/>
              <w:right w:val="nil"/>
            </w:tcBorders>
            <w:vAlign w:val="center"/>
          </w:tcPr>
          <w:p w14:paraId="13173B79">
            <w:pPr>
              <w:pStyle w:val="27"/>
              <w:snapToGrid w:val="0"/>
              <w:spacing w:line="240" w:lineRule="auto"/>
              <w:ind w:left="0" w:leftChars="0" w:right="0" w:rightChars="0" w:firstLine="0" w:firstLineChars="0"/>
              <w:jc w:val="left"/>
            </w:pPr>
            <w:r>
              <w:t>专业深度、市场认可度</w:t>
            </w:r>
          </w:p>
        </w:tc>
        <w:tc>
          <w:tcPr>
            <w:tcW w:w="1820" w:type="dxa"/>
            <w:tcBorders>
              <w:top w:val="nil"/>
              <w:left w:val="nil"/>
              <w:bottom w:val="nil"/>
              <w:right w:val="nil"/>
            </w:tcBorders>
            <w:vAlign w:val="center"/>
          </w:tcPr>
          <w:p w14:paraId="256BEE95">
            <w:pPr>
              <w:pStyle w:val="27"/>
              <w:snapToGrid w:val="0"/>
              <w:spacing w:line="240" w:lineRule="auto"/>
              <w:ind w:left="0" w:leftChars="0" w:right="0" w:rightChars="0" w:firstLine="0" w:firstLineChars="0"/>
              <w:jc w:val="center"/>
            </w:pPr>
            <w:r>
              <w:t>技能-职位错配、背书造假</w:t>
            </w:r>
          </w:p>
        </w:tc>
        <w:tc>
          <w:tcPr>
            <w:tcW w:w="1299" w:type="dxa"/>
            <w:tcBorders>
              <w:top w:val="nil"/>
              <w:left w:val="nil"/>
              <w:bottom w:val="nil"/>
              <w:right w:val="nil"/>
            </w:tcBorders>
            <w:vAlign w:val="center"/>
          </w:tcPr>
          <w:p w14:paraId="3A2E370C">
            <w:pPr>
              <w:pStyle w:val="27"/>
              <w:snapToGrid w:val="0"/>
              <w:spacing w:line="240" w:lineRule="auto"/>
              <w:ind w:left="0" w:leftChars="0" w:right="0" w:rightChars="0" w:firstLine="0" w:firstLineChars="0"/>
              <w:jc w:val="center"/>
            </w:pPr>
            <w:r>
              <w:t>平台技能认证</w:t>
            </w:r>
          </w:p>
        </w:tc>
      </w:tr>
      <w:tr w14:paraId="5D022038">
        <w:tblPrEx>
          <w:tblCellMar>
            <w:top w:w="0" w:type="dxa"/>
            <w:left w:w="108" w:type="dxa"/>
            <w:bottom w:w="0" w:type="dxa"/>
            <w:right w:w="108" w:type="dxa"/>
          </w:tblCellMar>
        </w:tblPrEx>
        <w:trPr>
          <w:trHeight w:val="0" w:hRule="atLeast"/>
          <w:jc w:val="center"/>
        </w:trPr>
        <w:tc>
          <w:tcPr>
            <w:tcW w:w="1781" w:type="dxa"/>
            <w:tcBorders>
              <w:top w:val="nil"/>
              <w:left w:val="nil"/>
              <w:bottom w:val="single" w:color="auto" w:sz="12" w:space="0"/>
              <w:right w:val="nil"/>
            </w:tcBorders>
            <w:vAlign w:val="center"/>
          </w:tcPr>
          <w:p w14:paraId="3B3E2642">
            <w:pPr>
              <w:pStyle w:val="27"/>
              <w:snapToGrid w:val="0"/>
              <w:spacing w:line="240" w:lineRule="auto"/>
              <w:ind w:left="0" w:leftChars="0" w:right="0" w:rightChars="0" w:firstLine="0" w:firstLineChars="0"/>
              <w:jc w:val="left"/>
            </w:pPr>
            <w:r>
              <w:rPr>
                <w:b/>
                <w:bCs/>
              </w:rPr>
              <w:t>社交资本</w:t>
            </w:r>
          </w:p>
        </w:tc>
        <w:tc>
          <w:tcPr>
            <w:tcW w:w="2415" w:type="dxa"/>
            <w:tcBorders>
              <w:top w:val="nil"/>
              <w:left w:val="nil"/>
              <w:bottom w:val="single" w:color="auto" w:sz="12" w:space="0"/>
              <w:right w:val="nil"/>
            </w:tcBorders>
            <w:vAlign w:val="center"/>
          </w:tcPr>
          <w:p w14:paraId="739A18ED">
            <w:pPr>
              <w:pStyle w:val="27"/>
              <w:snapToGrid w:val="0"/>
              <w:spacing w:line="240" w:lineRule="auto"/>
              <w:ind w:left="0" w:leftChars="0" w:right="0" w:rightChars="0" w:firstLine="0" w:firstLineChars="0"/>
              <w:jc w:val="left"/>
            </w:pPr>
            <w:r>
              <w:t>连接数、互动频率、内容质量</w:t>
            </w:r>
          </w:p>
        </w:tc>
        <w:tc>
          <w:tcPr>
            <w:tcW w:w="2261" w:type="dxa"/>
            <w:tcBorders>
              <w:top w:val="nil"/>
              <w:left w:val="nil"/>
              <w:bottom w:val="single" w:color="auto" w:sz="12" w:space="0"/>
              <w:right w:val="nil"/>
            </w:tcBorders>
            <w:vAlign w:val="center"/>
          </w:tcPr>
          <w:p w14:paraId="18283C27">
            <w:pPr>
              <w:pStyle w:val="27"/>
              <w:snapToGrid w:val="0"/>
              <w:spacing w:line="240" w:lineRule="auto"/>
              <w:ind w:left="0" w:leftChars="0" w:right="0" w:rightChars="0" w:firstLine="0" w:firstLineChars="0"/>
              <w:jc w:val="left"/>
            </w:pPr>
            <w:r>
              <w:t>行业影响力、关系维护投入</w:t>
            </w:r>
          </w:p>
        </w:tc>
        <w:tc>
          <w:tcPr>
            <w:tcW w:w="1820" w:type="dxa"/>
            <w:tcBorders>
              <w:top w:val="nil"/>
              <w:left w:val="nil"/>
              <w:bottom w:val="single" w:color="auto" w:sz="12" w:space="0"/>
              <w:right w:val="nil"/>
            </w:tcBorders>
            <w:vAlign w:val="center"/>
          </w:tcPr>
          <w:p w14:paraId="4D9B5F4A">
            <w:pPr>
              <w:pStyle w:val="27"/>
              <w:snapToGrid w:val="0"/>
              <w:spacing w:line="240" w:lineRule="auto"/>
              <w:ind w:left="0" w:leftChars="0" w:right="0" w:rightChars="0" w:firstLine="0" w:firstLineChars="0"/>
              <w:jc w:val="center"/>
            </w:pPr>
            <w:r>
              <w:t>僵尸账号、内容抄袭</w:t>
            </w:r>
          </w:p>
        </w:tc>
        <w:tc>
          <w:tcPr>
            <w:tcW w:w="1299" w:type="dxa"/>
            <w:tcBorders>
              <w:top w:val="nil"/>
              <w:left w:val="nil"/>
              <w:bottom w:val="single" w:color="auto" w:sz="12" w:space="0"/>
              <w:right w:val="nil"/>
            </w:tcBorders>
            <w:vAlign w:val="center"/>
          </w:tcPr>
          <w:p w14:paraId="27C4E99B">
            <w:pPr>
              <w:pStyle w:val="27"/>
              <w:snapToGrid w:val="0"/>
              <w:spacing w:line="240" w:lineRule="auto"/>
              <w:ind w:left="0" w:leftChars="0" w:right="0" w:rightChars="0" w:firstLine="0" w:firstLineChars="0"/>
              <w:jc w:val="center"/>
            </w:pPr>
            <w:r>
              <w:t>平台网络数据</w:t>
            </w:r>
          </w:p>
        </w:tc>
      </w:tr>
    </w:tbl>
    <w:p w14:paraId="4C5E968C">
      <w:pPr>
        <w:pStyle w:val="3"/>
      </w:pPr>
      <w:r>
        <w:rPr>
          <w:b/>
          <w:bCs/>
        </w:rPr>
        <w:t>[模拟方法论]</w:t>
      </w:r>
      <w:r>
        <w:t xml:space="preserve"> 职业轨迹分析需建立标准化职位层级映射体系，将不同公司的职位名称映射到统一层级（如：初级专员=1，高级专员=2，经理=3，总监=4，VP=5，CXO=6），计算每级晋升所需的平均时间（晋升速度计算）。行业深耕指数（Industry Deep Cultivation Index）定义为：同一细分领域连续任职时长/总工作年限，&gt;70%标识专家型路径，&lt;30%标识频繁跨界无积累。</w:t>
      </w:r>
    </w:p>
    <w:bookmarkEnd w:id="15"/>
    <w:p w14:paraId="70DD27DA">
      <w:pPr>
        <w:pStyle w:val="6"/>
      </w:pPr>
      <w:bookmarkStart w:id="16" w:name="技术背景真实性验证"/>
      <w:r>
        <w:t>3.1.2 技术背景真实性验证</w:t>
      </w:r>
    </w:p>
    <w:p w14:paraId="1069BD56">
      <w:pPr>
        <w:pStyle w:val="26"/>
      </w:pPr>
      <w:r>
        <w:t>技术背景验证是防范”简历造假”的关键环节，需建立多层次交叉检验：</w:t>
      </w:r>
    </w:p>
    <w:p w14:paraId="3435D24C">
      <w:pPr>
        <w:pStyle w:val="27"/>
        <w:numPr>
          <w:ilvl w:val="0"/>
          <w:numId w:val="3"/>
        </w:numPr>
      </w:pPr>
      <w:r>
        <w:rPr>
          <w:b/>
          <w:bCs/>
        </w:rPr>
        <w:t>技能-职位匹配度</w:t>
      </w:r>
      <w:r>
        <w:t>：对比候选人自评技能与历任职位的实际要求，检验核心技能覆盖率；</w:t>
      </w:r>
    </w:p>
    <w:p w14:paraId="5EEA1F76">
      <w:pPr>
        <w:pStyle w:val="27"/>
        <w:numPr>
          <w:ilvl w:val="0"/>
          <w:numId w:val="3"/>
        </w:numPr>
      </w:pPr>
      <w:r>
        <w:rPr>
          <w:b/>
          <w:bCs/>
        </w:rPr>
        <w:t>项目-技术栈一致性</w:t>
      </w:r>
      <w:r>
        <w:t>：分析项目目标与技术选型合理性，验证技术方案匹配度；</w:t>
      </w:r>
    </w:p>
    <w:p w14:paraId="2AB74552">
      <w:pPr>
        <w:pStyle w:val="27"/>
        <w:numPr>
          <w:ilvl w:val="0"/>
          <w:numId w:val="3"/>
        </w:numPr>
      </w:pPr>
      <w:r>
        <w:rPr>
          <w:b/>
          <w:bCs/>
        </w:rPr>
        <w:t>时间线逻辑验证</w:t>
      </w:r>
      <w:r>
        <w:t>：构建完整时间轴，标注所有声称活动，识别教育-工作-项目的时序冲突。</w:t>
      </w:r>
    </w:p>
    <w:p w14:paraId="398D5D1D">
      <w:pPr>
        <w:pStyle w:val="26"/>
      </w:pPr>
      <w:r>
        <w:rPr>
          <w:b/>
          <w:bCs/>
        </w:rPr>
        <w:t>[待验证]</w:t>
      </w:r>
      <w:r>
        <w:t xml:space="preserve"> 这些交叉检验机制的有效性依赖于行业基准数据（如同类职位的标准技术栈、项目周期标准），需要人工建立和维护行业特定知识库。</w:t>
      </w:r>
    </w:p>
    <w:bookmarkEnd w:id="14"/>
    <w:bookmarkEnd w:id="16"/>
    <w:p w14:paraId="51EEFE9E">
      <w:pPr>
        <w:pStyle w:val="5"/>
      </w:pPr>
      <w:bookmarkStart w:id="17" w:name="学术与知识产权评估"/>
      <w:r>
        <w:t>3.2 学术与知识产权评估</w:t>
      </w:r>
    </w:p>
    <w:p w14:paraId="2758A3DE">
      <w:pPr>
        <w:pStyle w:val="6"/>
      </w:pPr>
      <w:bookmarkStart w:id="18" w:name="学术产出的非侵入性评估"/>
      <w:r>
        <w:t>3.2.1 学术产出的非侵入性评估</w:t>
      </w:r>
    </w:p>
    <w:p w14:paraId="154A4FC6">
      <w:pPr>
        <w:pStyle w:val="26"/>
      </w:pPr>
      <w:r>
        <w:t>学术论文与专利是评估技术深度的重要依据。免费检索渠道包括：</w:t>
      </w:r>
    </w:p>
    <w:p w14:paraId="5AF6926A">
      <w:pPr>
        <w:pStyle w:val="27"/>
        <w:numPr>
          <w:ilvl w:val="0"/>
          <w:numId w:val="2"/>
        </w:numPr>
      </w:pPr>
      <w:r>
        <w:rPr>
          <w:b/>
          <w:bCs/>
        </w:rPr>
        <w:t>Google Scholar</w:t>
      </w:r>
      <w:r>
        <w:t>：全球学术文献、引用统计、作者档案</w:t>
      </w:r>
    </w:p>
    <w:p w14:paraId="1BA14205">
      <w:pPr>
        <w:pStyle w:val="27"/>
        <w:numPr>
          <w:ilvl w:val="0"/>
          <w:numId w:val="2"/>
        </w:numPr>
      </w:pPr>
      <w:r>
        <w:rPr>
          <w:b/>
          <w:bCs/>
        </w:rPr>
        <w:t>CNKI</w:t>
      </w:r>
      <w:r>
        <w:t>：中文学术期刊、学位论文（需机构IP或图书馆账号）</w:t>
      </w:r>
    </w:p>
    <w:p w14:paraId="13CA1421">
      <w:pPr>
        <w:pStyle w:val="27"/>
        <w:numPr>
          <w:ilvl w:val="0"/>
          <w:numId w:val="2"/>
        </w:numPr>
      </w:pPr>
      <w:r>
        <w:rPr>
          <w:b/>
          <w:bCs/>
        </w:rPr>
        <w:t>arXiv/bioRxiv</w:t>
      </w:r>
      <w:r>
        <w:t>：预印本平台，提供前沿研究快速发表渠道</w:t>
      </w:r>
    </w:p>
    <w:p w14:paraId="25008693">
      <w:pPr>
        <w:pStyle w:val="26"/>
      </w:pPr>
      <w:r>
        <w:rPr>
          <w:b/>
          <w:bCs/>
        </w:rPr>
        <w:t>[真实内容]</w:t>
      </w:r>
      <w:r>
        <w:t xml:space="preserve"> 量化指标体系需综合H指数（至少有h篇论文被引用h次）、引用分布、合作网络密度与单篇最高引用。质量判断需关注期刊/会议等级（如计算机科学领域的CVPR、ICML、NeurIPS等顶级会议）、研究领域聚焦度，以及理论-应用取向。</w:t>
      </w:r>
    </w:p>
    <w:bookmarkEnd w:id="18"/>
    <w:p w14:paraId="539EDB73">
      <w:pPr>
        <w:pStyle w:val="6"/>
      </w:pPr>
      <w:bookmarkStart w:id="19" w:name="专利资产分析框架"/>
      <w:r>
        <w:t>3.2.2 专利资产分析框架</w:t>
      </w:r>
    </w:p>
    <w:p w14:paraId="027FBB75">
      <w:pPr>
        <w:pStyle w:val="26"/>
      </w:pPr>
      <w:r>
        <w:rPr>
          <w:b/>
          <w:bCs/>
        </w:rPr>
        <w:t>[模拟方法论]</w:t>
      </w:r>
      <w:r>
        <w:t xml:space="preserve"> 专利分析需区分三类专利类型：</w:t>
      </w:r>
    </w:p>
    <w:tbl>
      <w:tblPr>
        <w:tblStyle w:val="44"/>
        <w:tblW w:w="7920" w:type="dxa"/>
        <w:jc w:val="center"/>
        <w:tblLayout w:type="autofit"/>
        <w:tblCellMar>
          <w:top w:w="0" w:type="dxa"/>
          <w:left w:w="108" w:type="dxa"/>
          <w:bottom w:w="0" w:type="dxa"/>
          <w:right w:w="108" w:type="dxa"/>
        </w:tblCellMar>
      </w:tblPr>
      <w:tblGrid>
        <w:gridCol w:w="1373"/>
        <w:gridCol w:w="2426"/>
        <w:gridCol w:w="1109"/>
        <w:gridCol w:w="1638"/>
        <w:gridCol w:w="1374"/>
      </w:tblGrid>
      <w:tr w14:paraId="60D6C4C5">
        <w:tblPrEx>
          <w:tblCellMar>
            <w:top w:w="0" w:type="dxa"/>
            <w:left w:w="108" w:type="dxa"/>
            <w:bottom w:w="0" w:type="dxa"/>
            <w:right w:w="108" w:type="dxa"/>
          </w:tblCellMar>
        </w:tblPrEx>
        <w:trPr>
          <w:trHeight w:val="0" w:hRule="atLeast"/>
          <w:tblHeader/>
          <w:jc w:val="center"/>
        </w:trPr>
        <w:tc>
          <w:tcPr>
            <w:tcW w:w="1373" w:type="dxa"/>
            <w:tcBorders>
              <w:top w:val="single" w:color="auto" w:sz="12" w:space="0"/>
              <w:left w:val="nil"/>
              <w:bottom w:val="single" w:color="auto" w:sz="4" w:space="0"/>
              <w:right w:val="nil"/>
            </w:tcBorders>
            <w:vAlign w:val="center"/>
          </w:tcPr>
          <w:p w14:paraId="050713B7">
            <w:pPr>
              <w:pStyle w:val="27"/>
              <w:snapToGrid w:val="0"/>
              <w:spacing w:line="240" w:lineRule="auto"/>
              <w:ind w:left="0" w:leftChars="0" w:right="0" w:rightChars="0" w:firstLine="0" w:firstLineChars="0"/>
              <w:jc w:val="center"/>
              <w:rPr>
                <w:b/>
              </w:rPr>
            </w:pPr>
            <w:r>
              <w:rPr>
                <w:b/>
              </w:rPr>
              <w:t>专利类型</w:t>
            </w:r>
          </w:p>
        </w:tc>
        <w:tc>
          <w:tcPr>
            <w:tcW w:w="2426" w:type="dxa"/>
            <w:tcBorders>
              <w:top w:val="single" w:color="auto" w:sz="12" w:space="0"/>
              <w:left w:val="nil"/>
              <w:bottom w:val="single" w:color="auto" w:sz="4" w:space="0"/>
              <w:right w:val="nil"/>
            </w:tcBorders>
            <w:vAlign w:val="center"/>
          </w:tcPr>
          <w:p w14:paraId="6B53ACA9">
            <w:pPr>
              <w:pStyle w:val="27"/>
              <w:snapToGrid w:val="0"/>
              <w:spacing w:line="240" w:lineRule="auto"/>
              <w:ind w:left="0" w:leftChars="0" w:right="0" w:rightChars="0" w:firstLine="0" w:firstLineChars="0"/>
              <w:jc w:val="center"/>
              <w:rPr>
                <w:b/>
              </w:rPr>
            </w:pPr>
            <w:r>
              <w:rPr>
                <w:b/>
              </w:rPr>
              <w:t>审查严格度</w:t>
            </w:r>
          </w:p>
        </w:tc>
        <w:tc>
          <w:tcPr>
            <w:tcW w:w="1109" w:type="dxa"/>
            <w:tcBorders>
              <w:top w:val="single" w:color="auto" w:sz="12" w:space="0"/>
              <w:left w:val="nil"/>
              <w:bottom w:val="single" w:color="auto" w:sz="4" w:space="0"/>
              <w:right w:val="nil"/>
            </w:tcBorders>
            <w:vAlign w:val="center"/>
          </w:tcPr>
          <w:p w14:paraId="5F3E3DCC">
            <w:pPr>
              <w:pStyle w:val="27"/>
              <w:snapToGrid w:val="0"/>
              <w:spacing w:line="240" w:lineRule="auto"/>
              <w:ind w:left="0" w:leftChars="0" w:right="0" w:rightChars="0" w:firstLine="0" w:firstLineChars="0"/>
              <w:jc w:val="center"/>
              <w:rPr>
                <w:b/>
              </w:rPr>
            </w:pPr>
            <w:r>
              <w:rPr>
                <w:b/>
              </w:rPr>
              <w:t>保护期</w:t>
            </w:r>
          </w:p>
        </w:tc>
        <w:tc>
          <w:tcPr>
            <w:tcW w:w="1638" w:type="dxa"/>
            <w:tcBorders>
              <w:top w:val="single" w:color="auto" w:sz="12" w:space="0"/>
              <w:left w:val="nil"/>
              <w:bottom w:val="single" w:color="auto" w:sz="4" w:space="0"/>
              <w:right w:val="nil"/>
            </w:tcBorders>
            <w:vAlign w:val="center"/>
          </w:tcPr>
          <w:p w14:paraId="5AE8BBDC">
            <w:pPr>
              <w:pStyle w:val="27"/>
              <w:snapToGrid w:val="0"/>
              <w:spacing w:line="240" w:lineRule="auto"/>
              <w:ind w:left="0" w:leftChars="0" w:right="0" w:rightChars="0" w:firstLine="0" w:firstLineChars="0"/>
              <w:jc w:val="center"/>
              <w:rPr>
                <w:b/>
              </w:rPr>
            </w:pPr>
            <w:r>
              <w:rPr>
                <w:b/>
              </w:rPr>
              <w:t>技术含金量</w:t>
            </w:r>
          </w:p>
        </w:tc>
        <w:tc>
          <w:tcPr>
            <w:tcW w:w="1374" w:type="dxa"/>
            <w:tcBorders>
              <w:top w:val="single" w:color="auto" w:sz="12" w:space="0"/>
              <w:left w:val="nil"/>
              <w:bottom w:val="single" w:color="auto" w:sz="4" w:space="0"/>
              <w:right w:val="nil"/>
            </w:tcBorders>
            <w:vAlign w:val="center"/>
          </w:tcPr>
          <w:p w14:paraId="70AD6CDB">
            <w:pPr>
              <w:pStyle w:val="27"/>
              <w:snapToGrid w:val="0"/>
              <w:spacing w:line="240" w:lineRule="auto"/>
              <w:ind w:left="0" w:leftChars="0" w:right="0" w:rightChars="0" w:firstLine="0" w:firstLineChars="0"/>
              <w:jc w:val="center"/>
              <w:rPr>
                <w:b/>
              </w:rPr>
            </w:pPr>
            <w:r>
              <w:rPr>
                <w:b/>
              </w:rPr>
              <w:t>评估权重</w:t>
            </w:r>
          </w:p>
        </w:tc>
      </w:tr>
      <w:tr w14:paraId="4636B2AD">
        <w:tblPrEx>
          <w:tblCellMar>
            <w:top w:w="0" w:type="dxa"/>
            <w:left w:w="108" w:type="dxa"/>
            <w:bottom w:w="0" w:type="dxa"/>
            <w:right w:w="108" w:type="dxa"/>
          </w:tblCellMar>
        </w:tblPrEx>
        <w:trPr>
          <w:trHeight w:val="0" w:hRule="atLeast"/>
          <w:jc w:val="center"/>
        </w:trPr>
        <w:tc>
          <w:tcPr>
            <w:tcW w:w="1373" w:type="dxa"/>
            <w:tcBorders>
              <w:top w:val="single" w:color="auto" w:sz="4" w:space="0"/>
              <w:left w:val="nil"/>
              <w:bottom w:val="nil"/>
              <w:right w:val="nil"/>
            </w:tcBorders>
            <w:vAlign w:val="center"/>
          </w:tcPr>
          <w:p w14:paraId="49A3B246">
            <w:pPr>
              <w:pStyle w:val="27"/>
              <w:snapToGrid w:val="0"/>
              <w:spacing w:line="240" w:lineRule="auto"/>
              <w:ind w:left="0" w:leftChars="0" w:right="0" w:rightChars="0" w:firstLine="0" w:firstLineChars="0"/>
              <w:jc w:val="center"/>
            </w:pPr>
            <w:r>
              <w:t>发明专利</w:t>
            </w:r>
          </w:p>
        </w:tc>
        <w:tc>
          <w:tcPr>
            <w:tcW w:w="2426" w:type="dxa"/>
            <w:tcBorders>
              <w:top w:val="single" w:color="auto" w:sz="4" w:space="0"/>
              <w:left w:val="nil"/>
              <w:bottom w:val="nil"/>
              <w:right w:val="nil"/>
            </w:tcBorders>
            <w:vAlign w:val="center"/>
          </w:tcPr>
          <w:p w14:paraId="65BE7D34">
            <w:pPr>
              <w:pStyle w:val="27"/>
              <w:snapToGrid w:val="0"/>
              <w:spacing w:line="240" w:lineRule="auto"/>
              <w:ind w:left="0" w:leftChars="0" w:right="0" w:rightChars="0" w:firstLine="0" w:firstLineChars="0"/>
              <w:jc w:val="left"/>
            </w:pPr>
            <w:r>
              <w:t>最高（实质审查）</w:t>
            </w:r>
          </w:p>
        </w:tc>
        <w:tc>
          <w:tcPr>
            <w:tcW w:w="1109" w:type="dxa"/>
            <w:tcBorders>
              <w:top w:val="single" w:color="auto" w:sz="4" w:space="0"/>
              <w:left w:val="nil"/>
              <w:bottom w:val="nil"/>
              <w:right w:val="nil"/>
            </w:tcBorders>
            <w:vAlign w:val="center"/>
          </w:tcPr>
          <w:p w14:paraId="31AB1A78">
            <w:pPr>
              <w:pStyle w:val="27"/>
              <w:snapToGrid w:val="0"/>
              <w:spacing w:line="240" w:lineRule="auto"/>
              <w:ind w:left="0" w:leftChars="0" w:right="0" w:rightChars="0" w:firstLine="0" w:firstLineChars="0"/>
              <w:jc w:val="center"/>
            </w:pPr>
            <w:r>
              <w:t>20年</w:t>
            </w:r>
          </w:p>
        </w:tc>
        <w:tc>
          <w:tcPr>
            <w:tcW w:w="1638" w:type="dxa"/>
            <w:tcBorders>
              <w:top w:val="single" w:color="auto" w:sz="4" w:space="0"/>
              <w:left w:val="nil"/>
              <w:bottom w:val="nil"/>
              <w:right w:val="nil"/>
            </w:tcBorders>
            <w:vAlign w:val="center"/>
          </w:tcPr>
          <w:p w14:paraId="5430CA73">
            <w:pPr>
              <w:pStyle w:val="27"/>
              <w:snapToGrid w:val="0"/>
              <w:spacing w:line="240" w:lineRule="auto"/>
              <w:ind w:left="0" w:leftChars="0" w:right="0" w:rightChars="0" w:firstLine="0" w:firstLineChars="0"/>
              <w:jc w:val="center"/>
            </w:pPr>
            <w:r>
              <w:t>最高</w:t>
            </w:r>
          </w:p>
        </w:tc>
        <w:tc>
          <w:tcPr>
            <w:tcW w:w="1374" w:type="dxa"/>
            <w:tcBorders>
              <w:top w:val="single" w:color="auto" w:sz="4" w:space="0"/>
              <w:left w:val="nil"/>
              <w:bottom w:val="nil"/>
              <w:right w:val="nil"/>
            </w:tcBorders>
            <w:vAlign w:val="center"/>
          </w:tcPr>
          <w:p w14:paraId="3378275D">
            <w:pPr>
              <w:pStyle w:val="27"/>
              <w:snapToGrid w:val="0"/>
              <w:spacing w:line="240" w:lineRule="auto"/>
              <w:ind w:left="0" w:leftChars="0" w:right="0" w:rightChars="0" w:firstLine="0" w:firstLineChars="0"/>
              <w:jc w:val="center"/>
            </w:pPr>
            <w:r>
              <w:t>核心指标</w:t>
            </w:r>
          </w:p>
        </w:tc>
      </w:tr>
      <w:tr w14:paraId="0B8D3D76">
        <w:tblPrEx>
          <w:tblCellMar>
            <w:top w:w="0" w:type="dxa"/>
            <w:left w:w="108" w:type="dxa"/>
            <w:bottom w:w="0" w:type="dxa"/>
            <w:right w:w="108" w:type="dxa"/>
          </w:tblCellMar>
        </w:tblPrEx>
        <w:trPr>
          <w:trHeight w:val="0" w:hRule="atLeast"/>
          <w:jc w:val="center"/>
        </w:trPr>
        <w:tc>
          <w:tcPr>
            <w:tcW w:w="1373" w:type="dxa"/>
            <w:tcBorders>
              <w:top w:val="nil"/>
              <w:left w:val="nil"/>
              <w:bottom w:val="nil"/>
              <w:right w:val="nil"/>
            </w:tcBorders>
            <w:vAlign w:val="center"/>
          </w:tcPr>
          <w:p w14:paraId="758AAC31">
            <w:pPr>
              <w:pStyle w:val="27"/>
              <w:snapToGrid w:val="0"/>
              <w:spacing w:line="240" w:lineRule="auto"/>
              <w:ind w:left="0" w:leftChars="0" w:right="0" w:rightChars="0" w:firstLine="0" w:firstLineChars="0"/>
              <w:jc w:val="center"/>
            </w:pPr>
            <w:r>
              <w:t>实用新型</w:t>
            </w:r>
          </w:p>
        </w:tc>
        <w:tc>
          <w:tcPr>
            <w:tcW w:w="2426" w:type="dxa"/>
            <w:tcBorders>
              <w:top w:val="nil"/>
              <w:left w:val="nil"/>
              <w:bottom w:val="nil"/>
              <w:right w:val="nil"/>
            </w:tcBorders>
            <w:vAlign w:val="center"/>
          </w:tcPr>
          <w:p w14:paraId="450405D2">
            <w:pPr>
              <w:pStyle w:val="27"/>
              <w:snapToGrid w:val="0"/>
              <w:spacing w:line="240" w:lineRule="auto"/>
              <w:ind w:left="0" w:leftChars="0" w:right="0" w:rightChars="0" w:firstLine="0" w:firstLineChars="0"/>
              <w:jc w:val="left"/>
            </w:pPr>
            <w:r>
              <w:t>较低（形式审查）</w:t>
            </w:r>
          </w:p>
        </w:tc>
        <w:tc>
          <w:tcPr>
            <w:tcW w:w="1109" w:type="dxa"/>
            <w:tcBorders>
              <w:top w:val="nil"/>
              <w:left w:val="nil"/>
              <w:bottom w:val="nil"/>
              <w:right w:val="nil"/>
            </w:tcBorders>
            <w:vAlign w:val="center"/>
          </w:tcPr>
          <w:p w14:paraId="6909A90E">
            <w:pPr>
              <w:pStyle w:val="27"/>
              <w:snapToGrid w:val="0"/>
              <w:spacing w:line="240" w:lineRule="auto"/>
              <w:ind w:left="0" w:leftChars="0" w:right="0" w:rightChars="0" w:firstLine="0" w:firstLineChars="0"/>
              <w:jc w:val="center"/>
            </w:pPr>
            <w:r>
              <w:t>10年</w:t>
            </w:r>
          </w:p>
        </w:tc>
        <w:tc>
          <w:tcPr>
            <w:tcW w:w="1638" w:type="dxa"/>
            <w:tcBorders>
              <w:top w:val="nil"/>
              <w:left w:val="nil"/>
              <w:bottom w:val="nil"/>
              <w:right w:val="nil"/>
            </w:tcBorders>
            <w:vAlign w:val="center"/>
          </w:tcPr>
          <w:p w14:paraId="191CB9BA">
            <w:pPr>
              <w:pStyle w:val="27"/>
              <w:snapToGrid w:val="0"/>
              <w:spacing w:line="240" w:lineRule="auto"/>
              <w:ind w:left="0" w:leftChars="0" w:right="0" w:rightChars="0" w:firstLine="0" w:firstLineChars="0"/>
              <w:jc w:val="center"/>
            </w:pPr>
            <w:r>
              <w:t>中等</w:t>
            </w:r>
          </w:p>
        </w:tc>
        <w:tc>
          <w:tcPr>
            <w:tcW w:w="1374" w:type="dxa"/>
            <w:tcBorders>
              <w:top w:val="nil"/>
              <w:left w:val="nil"/>
              <w:bottom w:val="nil"/>
              <w:right w:val="nil"/>
            </w:tcBorders>
            <w:vAlign w:val="center"/>
          </w:tcPr>
          <w:p w14:paraId="4E4C1514">
            <w:pPr>
              <w:pStyle w:val="27"/>
              <w:snapToGrid w:val="0"/>
              <w:spacing w:line="240" w:lineRule="auto"/>
              <w:ind w:left="0" w:leftChars="0" w:right="0" w:rightChars="0" w:firstLine="0" w:firstLineChars="0"/>
              <w:jc w:val="center"/>
            </w:pPr>
            <w:r>
              <w:t>辅助参考</w:t>
            </w:r>
          </w:p>
        </w:tc>
      </w:tr>
      <w:tr w14:paraId="5AC69E8F">
        <w:tblPrEx>
          <w:tblCellMar>
            <w:top w:w="0" w:type="dxa"/>
            <w:left w:w="108" w:type="dxa"/>
            <w:bottom w:w="0" w:type="dxa"/>
            <w:right w:w="108" w:type="dxa"/>
          </w:tblCellMar>
        </w:tblPrEx>
        <w:trPr>
          <w:trHeight w:val="0" w:hRule="atLeast"/>
          <w:jc w:val="center"/>
        </w:trPr>
        <w:tc>
          <w:tcPr>
            <w:tcW w:w="1373" w:type="dxa"/>
            <w:tcBorders>
              <w:top w:val="nil"/>
              <w:left w:val="nil"/>
              <w:bottom w:val="single" w:color="auto" w:sz="12" w:space="0"/>
              <w:right w:val="nil"/>
            </w:tcBorders>
            <w:vAlign w:val="center"/>
          </w:tcPr>
          <w:p w14:paraId="59760E05">
            <w:pPr>
              <w:pStyle w:val="27"/>
              <w:snapToGrid w:val="0"/>
              <w:spacing w:line="240" w:lineRule="auto"/>
              <w:ind w:left="0" w:leftChars="0" w:right="0" w:rightChars="0" w:firstLine="0" w:firstLineChars="0"/>
              <w:jc w:val="center"/>
            </w:pPr>
            <w:r>
              <w:t>外观设计</w:t>
            </w:r>
          </w:p>
        </w:tc>
        <w:tc>
          <w:tcPr>
            <w:tcW w:w="2426" w:type="dxa"/>
            <w:tcBorders>
              <w:top w:val="nil"/>
              <w:left w:val="nil"/>
              <w:bottom w:val="single" w:color="auto" w:sz="12" w:space="0"/>
              <w:right w:val="nil"/>
            </w:tcBorders>
            <w:vAlign w:val="center"/>
          </w:tcPr>
          <w:p w14:paraId="2CF11911">
            <w:pPr>
              <w:pStyle w:val="27"/>
              <w:snapToGrid w:val="0"/>
              <w:spacing w:line="240" w:lineRule="auto"/>
              <w:ind w:left="0" w:leftChars="0" w:right="0" w:rightChars="0" w:firstLine="0" w:firstLineChars="0"/>
              <w:jc w:val="left"/>
            </w:pPr>
            <w:r>
              <w:t>最低</w:t>
            </w:r>
          </w:p>
        </w:tc>
        <w:tc>
          <w:tcPr>
            <w:tcW w:w="1109" w:type="dxa"/>
            <w:tcBorders>
              <w:top w:val="nil"/>
              <w:left w:val="nil"/>
              <w:bottom w:val="single" w:color="auto" w:sz="12" w:space="0"/>
              <w:right w:val="nil"/>
            </w:tcBorders>
            <w:vAlign w:val="center"/>
          </w:tcPr>
          <w:p w14:paraId="261084E4">
            <w:pPr>
              <w:pStyle w:val="27"/>
              <w:snapToGrid w:val="0"/>
              <w:spacing w:line="240" w:lineRule="auto"/>
              <w:ind w:left="0" w:leftChars="0" w:right="0" w:rightChars="0" w:firstLine="0" w:firstLineChars="0"/>
              <w:jc w:val="center"/>
            </w:pPr>
            <w:r>
              <w:t>15年</w:t>
            </w:r>
          </w:p>
        </w:tc>
        <w:tc>
          <w:tcPr>
            <w:tcW w:w="1638" w:type="dxa"/>
            <w:tcBorders>
              <w:top w:val="nil"/>
              <w:left w:val="nil"/>
              <w:bottom w:val="single" w:color="auto" w:sz="12" w:space="0"/>
              <w:right w:val="nil"/>
            </w:tcBorders>
            <w:vAlign w:val="center"/>
          </w:tcPr>
          <w:p w14:paraId="41D565D5">
            <w:pPr>
              <w:pStyle w:val="27"/>
              <w:snapToGrid w:val="0"/>
              <w:spacing w:line="240" w:lineRule="auto"/>
              <w:ind w:left="0" w:leftChars="0" w:right="0" w:rightChars="0" w:firstLine="0" w:firstLineChars="0"/>
              <w:jc w:val="center"/>
            </w:pPr>
            <w:r>
              <w:t>低</w:t>
            </w:r>
          </w:p>
        </w:tc>
        <w:tc>
          <w:tcPr>
            <w:tcW w:w="1374" w:type="dxa"/>
            <w:tcBorders>
              <w:top w:val="nil"/>
              <w:left w:val="nil"/>
              <w:bottom w:val="single" w:color="auto" w:sz="12" w:space="0"/>
              <w:right w:val="nil"/>
            </w:tcBorders>
            <w:vAlign w:val="center"/>
          </w:tcPr>
          <w:p w14:paraId="2AE7EA10">
            <w:pPr>
              <w:pStyle w:val="27"/>
              <w:snapToGrid w:val="0"/>
              <w:spacing w:line="240" w:lineRule="auto"/>
              <w:ind w:left="0" w:leftChars="0" w:right="0" w:rightChars="0" w:firstLine="0" w:firstLineChars="0"/>
              <w:jc w:val="center"/>
            </w:pPr>
            <w:r>
              <w:t>通常忽略</w:t>
            </w:r>
          </w:p>
        </w:tc>
      </w:tr>
    </w:tbl>
    <w:p w14:paraId="0E08718C">
      <w:pPr>
        <w:pStyle w:val="3"/>
      </w:pPr>
      <w:r>
        <w:t>技术领域分类采用IPC国际专利分类号，分析技术布局广度与聚焦度。关键维度包括：技术演进趋势（专利申请时间分布）、核心技术领域（IPC分类集中度）、以及法律状态（授权状态、年费缴纳情况）。</w:t>
      </w:r>
    </w:p>
    <w:bookmarkEnd w:id="17"/>
    <w:bookmarkEnd w:id="19"/>
    <w:p w14:paraId="6E72F080">
      <w:pPr>
        <w:pStyle w:val="5"/>
      </w:pPr>
      <w:bookmarkStart w:id="20" w:name="社交媒体价值观观察"/>
      <w:r>
        <w:t>3.3 社交媒体价值观观察</w:t>
      </w:r>
    </w:p>
    <w:p w14:paraId="0AB76508">
      <w:pPr>
        <w:pStyle w:val="6"/>
      </w:pPr>
      <w:bookmarkStart w:id="21" w:name="公开内容分析维度"/>
      <w:r>
        <w:t>3.3.1 公开内容分析维度</w:t>
      </w:r>
    </w:p>
    <w:p w14:paraId="0A438FB5">
      <w:pPr>
        <w:pStyle w:val="26"/>
      </w:pPr>
      <w:r>
        <w:t>社交媒体为价值观评估提供自然行为数据，但需系统化分析框架以应对信息噪声：</w:t>
      </w:r>
    </w:p>
    <w:p w14:paraId="5371C585">
      <w:pPr>
        <w:pStyle w:val="3"/>
      </w:pPr>
      <w:r>
        <w:rPr>
          <w:b/>
          <w:bCs/>
        </w:rPr>
        <w:t>[模拟方法论]</w:t>
      </w:r>
      <w:r>
        <w:t xml:space="preserve"> 分析维度包括：</w:t>
      </w:r>
    </w:p>
    <w:p w14:paraId="2CBA9CC5">
      <w:pPr>
        <w:pStyle w:val="27"/>
        <w:numPr>
          <w:ilvl w:val="0"/>
          <w:numId w:val="2"/>
        </w:numPr>
      </w:pPr>
      <w:r>
        <w:rPr>
          <w:b/>
          <w:bCs/>
        </w:rPr>
        <w:t>话题偏好</w:t>
      </w:r>
      <w:r>
        <w:t>：专业领域:社会议题:个人生活占比。理想分布因创业类型而异：技术驱动型创业偏好高专业占比（&gt;60%）；</w:t>
      </w:r>
    </w:p>
    <w:p w14:paraId="27117910">
      <w:pPr>
        <w:pStyle w:val="27"/>
        <w:numPr>
          <w:ilvl w:val="0"/>
          <w:numId w:val="2"/>
        </w:numPr>
      </w:pPr>
      <w:r>
        <w:rPr>
          <w:b/>
          <w:bCs/>
        </w:rPr>
        <w:t>表达风格</w:t>
      </w:r>
      <w:r>
        <w:t>：理性论证（数据支撑、逻辑清晰）vs情绪宣泄（感叹号密集、人身攻击）；</w:t>
      </w:r>
    </w:p>
    <w:p w14:paraId="72AB2A1B">
      <w:pPr>
        <w:pStyle w:val="27"/>
        <w:numPr>
          <w:ilvl w:val="0"/>
          <w:numId w:val="2"/>
        </w:numPr>
      </w:pPr>
      <w:r>
        <w:rPr>
          <w:b/>
          <w:bCs/>
        </w:rPr>
        <w:t>互动模式</w:t>
      </w:r>
      <w:r>
        <w:t>：回应质疑方式、异议处理、冲突升级/降级能力。</w:t>
      </w:r>
    </w:p>
    <w:p w14:paraId="549B0C46">
      <w:pPr>
        <w:pStyle w:val="26"/>
      </w:pPr>
      <w:r>
        <w:rPr>
          <w:b/>
          <w:bCs/>
        </w:rPr>
        <w:t>[真实内容]</w:t>
      </w:r>
      <w:r>
        <w:t xml:space="preserve"> 研究表明，负面社交媒体内容可逆转人格-组织匹配感知，即使高资历候选人也可能因不专业档案而降低录用意愿。这种”负面偏差”（Negativity Bias）使评估者更关注负面线索。</w:t>
      </w:r>
    </w:p>
    <w:bookmarkEnd w:id="21"/>
    <w:p w14:paraId="25E8B891">
      <w:pPr>
        <w:pStyle w:val="6"/>
      </w:pPr>
      <w:bookmarkStart w:id="22" w:name="价值观可观察指标"/>
      <w:r>
        <w:t>3.3.2 价值观可观察指标</w:t>
      </w:r>
    </w:p>
    <w:p w14:paraId="4C48F5F1">
      <w:pPr>
        <w:pStyle w:val="26"/>
      </w:pPr>
      <w:r>
        <w:rPr>
          <w:b/>
          <w:bCs/>
        </w:rPr>
        <w:t>[模拟方法论]</w:t>
      </w:r>
      <w:r>
        <w:t xml:space="preserve"> 价值观观察指标化框架：</w:t>
      </w:r>
    </w:p>
    <w:tbl>
      <w:tblPr>
        <w:tblStyle w:val="44"/>
        <w:tblW w:w="7921" w:type="dxa"/>
        <w:jc w:val="center"/>
        <w:tblLayout w:type="autofit"/>
        <w:tblCellMar>
          <w:top w:w="0" w:type="dxa"/>
          <w:left w:w="108" w:type="dxa"/>
          <w:bottom w:w="0" w:type="dxa"/>
          <w:right w:w="108" w:type="dxa"/>
        </w:tblCellMar>
      </w:tblPr>
      <w:tblGrid>
        <w:gridCol w:w="1557"/>
        <w:gridCol w:w="2253"/>
        <w:gridCol w:w="2021"/>
        <w:gridCol w:w="2090"/>
      </w:tblGrid>
      <w:tr w14:paraId="7EA432F1">
        <w:tblPrEx>
          <w:tblCellMar>
            <w:top w:w="0" w:type="dxa"/>
            <w:left w:w="108" w:type="dxa"/>
            <w:bottom w:w="0" w:type="dxa"/>
            <w:right w:w="108" w:type="dxa"/>
          </w:tblCellMar>
        </w:tblPrEx>
        <w:trPr>
          <w:trHeight w:val="0" w:hRule="atLeast"/>
          <w:tblHeader/>
          <w:jc w:val="center"/>
        </w:trPr>
        <w:tc>
          <w:tcPr>
            <w:tcW w:w="1557" w:type="dxa"/>
            <w:tcBorders>
              <w:top w:val="single" w:color="auto" w:sz="12" w:space="0"/>
              <w:left w:val="nil"/>
              <w:bottom w:val="single" w:color="auto" w:sz="4" w:space="0"/>
              <w:right w:val="nil"/>
            </w:tcBorders>
            <w:vAlign w:val="center"/>
          </w:tcPr>
          <w:p w14:paraId="08F692F2">
            <w:pPr>
              <w:pStyle w:val="27"/>
              <w:snapToGrid w:val="0"/>
              <w:spacing w:line="240" w:lineRule="auto"/>
              <w:ind w:left="0" w:leftChars="0" w:right="0" w:rightChars="0" w:firstLine="0" w:firstLineChars="0"/>
              <w:jc w:val="center"/>
              <w:rPr>
                <w:b/>
              </w:rPr>
            </w:pPr>
            <w:r>
              <w:rPr>
                <w:b/>
              </w:rPr>
              <w:t>价值观维度</w:t>
            </w:r>
          </w:p>
        </w:tc>
        <w:tc>
          <w:tcPr>
            <w:tcW w:w="2253" w:type="dxa"/>
            <w:tcBorders>
              <w:top w:val="single" w:color="auto" w:sz="12" w:space="0"/>
              <w:left w:val="nil"/>
              <w:bottom w:val="single" w:color="auto" w:sz="4" w:space="0"/>
              <w:right w:val="nil"/>
            </w:tcBorders>
            <w:vAlign w:val="center"/>
          </w:tcPr>
          <w:p w14:paraId="42AF3EB0">
            <w:pPr>
              <w:pStyle w:val="27"/>
              <w:snapToGrid w:val="0"/>
              <w:spacing w:line="240" w:lineRule="auto"/>
              <w:ind w:left="0" w:leftChars="0" w:right="0" w:rightChars="0" w:firstLine="0" w:firstLineChars="0"/>
              <w:jc w:val="center"/>
              <w:rPr>
                <w:b/>
              </w:rPr>
            </w:pPr>
            <w:r>
              <w:rPr>
                <w:b/>
              </w:rPr>
              <w:t>具体指标</w:t>
            </w:r>
          </w:p>
        </w:tc>
        <w:tc>
          <w:tcPr>
            <w:tcW w:w="2021" w:type="dxa"/>
            <w:tcBorders>
              <w:top w:val="single" w:color="auto" w:sz="12" w:space="0"/>
              <w:left w:val="nil"/>
              <w:bottom w:val="single" w:color="auto" w:sz="4" w:space="0"/>
              <w:right w:val="nil"/>
            </w:tcBorders>
            <w:vAlign w:val="center"/>
          </w:tcPr>
          <w:p w14:paraId="6B409FCD">
            <w:pPr>
              <w:pStyle w:val="27"/>
              <w:snapToGrid w:val="0"/>
              <w:spacing w:line="240" w:lineRule="auto"/>
              <w:ind w:left="0" w:leftChars="0" w:right="0" w:rightChars="0" w:firstLine="0" w:firstLineChars="0"/>
              <w:jc w:val="center"/>
              <w:rPr>
                <w:b/>
              </w:rPr>
            </w:pPr>
            <w:r>
              <w:rPr>
                <w:b/>
              </w:rPr>
              <w:t>观察方法</w:t>
            </w:r>
          </w:p>
        </w:tc>
        <w:tc>
          <w:tcPr>
            <w:tcW w:w="2090" w:type="dxa"/>
            <w:tcBorders>
              <w:top w:val="single" w:color="auto" w:sz="12" w:space="0"/>
              <w:left w:val="nil"/>
              <w:bottom w:val="single" w:color="auto" w:sz="4" w:space="0"/>
              <w:right w:val="nil"/>
            </w:tcBorders>
            <w:vAlign w:val="center"/>
          </w:tcPr>
          <w:p w14:paraId="092E0C9F">
            <w:pPr>
              <w:pStyle w:val="27"/>
              <w:snapToGrid w:val="0"/>
              <w:spacing w:line="240" w:lineRule="auto"/>
              <w:ind w:left="0" w:leftChars="0" w:right="0" w:rightChars="0" w:firstLine="0" w:firstLineChars="0"/>
              <w:jc w:val="center"/>
              <w:rPr>
                <w:b/>
              </w:rPr>
            </w:pPr>
            <w:r>
              <w:rPr>
                <w:b/>
              </w:rPr>
              <w:t>验证要点</w:t>
            </w:r>
          </w:p>
        </w:tc>
      </w:tr>
      <w:tr w14:paraId="12A40F25">
        <w:tblPrEx>
          <w:tblCellMar>
            <w:top w:w="0" w:type="dxa"/>
            <w:left w:w="108" w:type="dxa"/>
            <w:bottom w:w="0" w:type="dxa"/>
            <w:right w:w="108" w:type="dxa"/>
          </w:tblCellMar>
        </w:tblPrEx>
        <w:trPr>
          <w:trHeight w:val="0" w:hRule="atLeast"/>
          <w:jc w:val="center"/>
        </w:trPr>
        <w:tc>
          <w:tcPr>
            <w:tcW w:w="1557" w:type="dxa"/>
            <w:tcBorders>
              <w:top w:val="single" w:color="auto" w:sz="4" w:space="0"/>
              <w:left w:val="nil"/>
              <w:bottom w:val="nil"/>
              <w:right w:val="nil"/>
            </w:tcBorders>
            <w:vAlign w:val="center"/>
          </w:tcPr>
          <w:p w14:paraId="474BCDF6">
            <w:pPr>
              <w:pStyle w:val="27"/>
              <w:snapToGrid w:val="0"/>
              <w:spacing w:line="240" w:lineRule="auto"/>
              <w:ind w:left="0" w:leftChars="0" w:right="0" w:rightChars="0" w:firstLine="0" w:firstLineChars="0"/>
              <w:jc w:val="center"/>
            </w:pPr>
            <w:r>
              <w:rPr>
                <w:b/>
                <w:bCs/>
              </w:rPr>
              <w:t>诚信信号</w:t>
            </w:r>
          </w:p>
        </w:tc>
        <w:tc>
          <w:tcPr>
            <w:tcW w:w="2253" w:type="dxa"/>
            <w:tcBorders>
              <w:top w:val="single" w:color="auto" w:sz="4" w:space="0"/>
              <w:left w:val="nil"/>
              <w:bottom w:val="nil"/>
              <w:right w:val="nil"/>
            </w:tcBorders>
            <w:vAlign w:val="center"/>
          </w:tcPr>
          <w:p w14:paraId="1F3EC6A0">
            <w:pPr>
              <w:pStyle w:val="27"/>
              <w:snapToGrid w:val="0"/>
              <w:spacing w:line="240" w:lineRule="auto"/>
              <w:ind w:left="0" w:leftChars="0" w:right="0" w:rightChars="0" w:firstLine="0" w:firstLineChars="0"/>
              <w:jc w:val="left"/>
            </w:pPr>
            <w:r>
              <w:t>承诺-行动一致性、错误承认与修正</w:t>
            </w:r>
          </w:p>
        </w:tc>
        <w:tc>
          <w:tcPr>
            <w:tcW w:w="2021" w:type="dxa"/>
            <w:tcBorders>
              <w:top w:val="single" w:color="auto" w:sz="4" w:space="0"/>
              <w:left w:val="nil"/>
              <w:bottom w:val="nil"/>
              <w:right w:val="nil"/>
            </w:tcBorders>
            <w:vAlign w:val="center"/>
          </w:tcPr>
          <w:p w14:paraId="3D8445BB">
            <w:pPr>
              <w:pStyle w:val="27"/>
              <w:snapToGrid w:val="0"/>
              <w:spacing w:line="240" w:lineRule="auto"/>
              <w:ind w:left="0" w:leftChars="0" w:right="0" w:rightChars="0" w:firstLine="0" w:firstLineChars="0"/>
              <w:jc w:val="center"/>
            </w:pPr>
            <w:r>
              <w:t>时间序列对比、公开声明追踪</w:t>
            </w:r>
          </w:p>
        </w:tc>
        <w:tc>
          <w:tcPr>
            <w:tcW w:w="2090" w:type="dxa"/>
            <w:tcBorders>
              <w:top w:val="single" w:color="auto" w:sz="4" w:space="0"/>
              <w:left w:val="nil"/>
              <w:bottom w:val="nil"/>
              <w:right w:val="nil"/>
            </w:tcBorders>
            <w:vAlign w:val="center"/>
          </w:tcPr>
          <w:p w14:paraId="01E56E56">
            <w:pPr>
              <w:pStyle w:val="27"/>
              <w:snapToGrid w:val="0"/>
              <w:spacing w:line="240" w:lineRule="auto"/>
              <w:ind w:left="0" w:leftChars="0" w:right="0" w:rightChars="0" w:firstLine="0" w:firstLineChars="0"/>
              <w:jc w:val="left"/>
            </w:pPr>
            <w:r>
              <w:t>多次样本、跨情境稳定性</w:t>
            </w:r>
          </w:p>
        </w:tc>
      </w:tr>
      <w:tr w14:paraId="39ECC0C0">
        <w:tblPrEx>
          <w:tblCellMar>
            <w:top w:w="0" w:type="dxa"/>
            <w:left w:w="108" w:type="dxa"/>
            <w:bottom w:w="0" w:type="dxa"/>
            <w:right w:w="108" w:type="dxa"/>
          </w:tblCellMar>
        </w:tblPrEx>
        <w:trPr>
          <w:trHeight w:val="0" w:hRule="atLeast"/>
          <w:jc w:val="center"/>
        </w:trPr>
        <w:tc>
          <w:tcPr>
            <w:tcW w:w="1557" w:type="dxa"/>
            <w:tcBorders>
              <w:top w:val="nil"/>
              <w:left w:val="nil"/>
              <w:bottom w:val="nil"/>
              <w:right w:val="nil"/>
            </w:tcBorders>
            <w:vAlign w:val="center"/>
          </w:tcPr>
          <w:p w14:paraId="229080B9">
            <w:pPr>
              <w:pStyle w:val="27"/>
              <w:snapToGrid w:val="0"/>
              <w:spacing w:line="240" w:lineRule="auto"/>
              <w:ind w:left="0" w:leftChars="0" w:right="0" w:rightChars="0" w:firstLine="0" w:firstLineChars="0"/>
              <w:jc w:val="center"/>
            </w:pPr>
            <w:r>
              <w:rPr>
                <w:b/>
                <w:bCs/>
              </w:rPr>
              <w:t>责任取向</w:t>
            </w:r>
          </w:p>
        </w:tc>
        <w:tc>
          <w:tcPr>
            <w:tcW w:w="2253" w:type="dxa"/>
            <w:tcBorders>
              <w:top w:val="nil"/>
              <w:left w:val="nil"/>
              <w:bottom w:val="nil"/>
              <w:right w:val="nil"/>
            </w:tcBorders>
            <w:vAlign w:val="center"/>
          </w:tcPr>
          <w:p w14:paraId="27E30739">
            <w:pPr>
              <w:pStyle w:val="27"/>
              <w:snapToGrid w:val="0"/>
              <w:spacing w:line="240" w:lineRule="auto"/>
              <w:ind w:left="0" w:leftChars="0" w:right="0" w:rightChars="0" w:firstLine="0" w:firstLineChars="0"/>
              <w:jc w:val="left"/>
            </w:pPr>
            <w:r>
              <w:t>团队归因vs个人归因、长期主义表述</w:t>
            </w:r>
          </w:p>
        </w:tc>
        <w:tc>
          <w:tcPr>
            <w:tcW w:w="2021" w:type="dxa"/>
            <w:tcBorders>
              <w:top w:val="nil"/>
              <w:left w:val="nil"/>
              <w:bottom w:val="nil"/>
              <w:right w:val="nil"/>
            </w:tcBorders>
            <w:vAlign w:val="center"/>
          </w:tcPr>
          <w:p w14:paraId="733C05FD">
            <w:pPr>
              <w:pStyle w:val="27"/>
              <w:snapToGrid w:val="0"/>
              <w:spacing w:line="240" w:lineRule="auto"/>
              <w:ind w:left="0" w:leftChars="0" w:right="0" w:rightChars="0" w:firstLine="0" w:firstLineChars="0"/>
              <w:jc w:val="center"/>
            </w:pPr>
            <w:r>
              <w:t>成功/失败事件分析、职业规划表述</w:t>
            </w:r>
          </w:p>
        </w:tc>
        <w:tc>
          <w:tcPr>
            <w:tcW w:w="2090" w:type="dxa"/>
            <w:tcBorders>
              <w:top w:val="nil"/>
              <w:left w:val="nil"/>
              <w:bottom w:val="nil"/>
              <w:right w:val="nil"/>
            </w:tcBorders>
            <w:vAlign w:val="center"/>
          </w:tcPr>
          <w:p w14:paraId="41517D05">
            <w:pPr>
              <w:pStyle w:val="27"/>
              <w:snapToGrid w:val="0"/>
              <w:spacing w:line="240" w:lineRule="auto"/>
              <w:ind w:left="0" w:leftChars="0" w:right="0" w:rightChars="0" w:firstLine="0" w:firstLineChars="0"/>
              <w:jc w:val="left"/>
            </w:pPr>
            <w:r>
              <w:t>归因模式一致性</w:t>
            </w:r>
          </w:p>
        </w:tc>
      </w:tr>
      <w:tr w14:paraId="644EA25D">
        <w:tblPrEx>
          <w:tblCellMar>
            <w:top w:w="0" w:type="dxa"/>
            <w:left w:w="108" w:type="dxa"/>
            <w:bottom w:w="0" w:type="dxa"/>
            <w:right w:w="108" w:type="dxa"/>
          </w:tblCellMar>
        </w:tblPrEx>
        <w:trPr>
          <w:trHeight w:val="0" w:hRule="atLeast"/>
          <w:jc w:val="center"/>
        </w:trPr>
        <w:tc>
          <w:tcPr>
            <w:tcW w:w="1557" w:type="dxa"/>
            <w:tcBorders>
              <w:top w:val="nil"/>
              <w:left w:val="nil"/>
              <w:bottom w:val="single" w:color="auto" w:sz="12" w:space="0"/>
              <w:right w:val="nil"/>
            </w:tcBorders>
            <w:vAlign w:val="center"/>
          </w:tcPr>
          <w:p w14:paraId="4F947C09">
            <w:pPr>
              <w:pStyle w:val="27"/>
              <w:snapToGrid w:val="0"/>
              <w:spacing w:line="240" w:lineRule="auto"/>
              <w:ind w:left="0" w:leftChars="0" w:right="0" w:rightChars="0" w:firstLine="0" w:firstLineChars="0"/>
              <w:jc w:val="center"/>
            </w:pPr>
            <w:r>
              <w:rPr>
                <w:b/>
                <w:bCs/>
              </w:rPr>
              <w:t>利益观</w:t>
            </w:r>
          </w:p>
        </w:tc>
        <w:tc>
          <w:tcPr>
            <w:tcW w:w="2253" w:type="dxa"/>
            <w:tcBorders>
              <w:top w:val="nil"/>
              <w:left w:val="nil"/>
              <w:bottom w:val="single" w:color="auto" w:sz="12" w:space="0"/>
              <w:right w:val="nil"/>
            </w:tcBorders>
            <w:vAlign w:val="center"/>
          </w:tcPr>
          <w:p w14:paraId="27C396E8">
            <w:pPr>
              <w:pStyle w:val="27"/>
              <w:snapToGrid w:val="0"/>
              <w:spacing w:line="240" w:lineRule="auto"/>
              <w:ind w:left="0" w:leftChars="0" w:right="0" w:rightChars="0" w:firstLine="0" w:firstLineChars="0"/>
              <w:jc w:val="left"/>
            </w:pPr>
            <w:r>
              <w:t>双赢表述频率、资源分配讨论</w:t>
            </w:r>
          </w:p>
        </w:tc>
        <w:tc>
          <w:tcPr>
            <w:tcW w:w="2021" w:type="dxa"/>
            <w:tcBorders>
              <w:top w:val="nil"/>
              <w:left w:val="nil"/>
              <w:bottom w:val="single" w:color="auto" w:sz="12" w:space="0"/>
              <w:right w:val="nil"/>
            </w:tcBorders>
            <w:vAlign w:val="center"/>
          </w:tcPr>
          <w:p w14:paraId="35FB90D4">
            <w:pPr>
              <w:pStyle w:val="27"/>
              <w:snapToGrid w:val="0"/>
              <w:spacing w:line="240" w:lineRule="auto"/>
              <w:ind w:left="0" w:leftChars="0" w:right="0" w:rightChars="0" w:firstLine="0" w:firstLineChars="0"/>
              <w:jc w:val="center"/>
            </w:pPr>
            <w:r>
              <w:t>合作案例叙述、股权/薪酬观点</w:t>
            </w:r>
          </w:p>
        </w:tc>
        <w:tc>
          <w:tcPr>
            <w:tcW w:w="2090" w:type="dxa"/>
            <w:tcBorders>
              <w:top w:val="nil"/>
              <w:left w:val="nil"/>
              <w:bottom w:val="single" w:color="auto" w:sz="12" w:space="0"/>
              <w:right w:val="nil"/>
            </w:tcBorders>
            <w:vAlign w:val="center"/>
          </w:tcPr>
          <w:p w14:paraId="3E5A76F2">
            <w:pPr>
              <w:pStyle w:val="27"/>
              <w:snapToGrid w:val="0"/>
              <w:spacing w:line="240" w:lineRule="auto"/>
              <w:ind w:left="0" w:leftChars="0" w:right="0" w:rightChars="0" w:firstLine="0" w:firstLineChars="0"/>
              <w:jc w:val="left"/>
            </w:pPr>
            <w:r>
              <w:t>零和vs共创倾向</w:t>
            </w:r>
          </w:p>
        </w:tc>
      </w:tr>
    </w:tbl>
    <w:p w14:paraId="378D747B">
      <w:r>
        <w:pict>
          <v:rect id="_x0000_i1031" o:spt="1" style="height:1.5pt;width:0pt;" coordsize="21600,21600" o:hr="t" o:hrstd="t" o:hralign="center">
            <v:path/>
            <v:fill focussize="0,0"/>
            <v:stroke/>
            <v:imagedata o:title=""/>
            <o:lock v:ext="edit"/>
            <w10:wrap type="none"/>
            <w10:anchorlock/>
          </v:rect>
        </w:pict>
      </w:r>
    </w:p>
    <w:bookmarkEnd w:id="13"/>
    <w:bookmarkEnd w:id="20"/>
    <w:bookmarkEnd w:id="22"/>
    <w:p w14:paraId="57951E92">
      <w:pPr>
        <w:pStyle w:val="4"/>
      </w:pPr>
      <w:bookmarkStart w:id="23" w:name="模块二社交图谱低成本"/>
      <w:r>
        <w:t>4. 模块二：社交图谱（低成本）</w:t>
      </w:r>
    </w:p>
    <w:p w14:paraId="1DC2E2D0">
      <w:pPr>
        <w:pStyle w:val="5"/>
      </w:pPr>
      <w:bookmarkStart w:id="24" w:name="共同联系人识别与利用"/>
      <w:r>
        <w:t>4.1 共同联系人识别与利用</w:t>
      </w:r>
    </w:p>
    <w:p w14:paraId="22F18664">
      <w:pPr>
        <w:pStyle w:val="6"/>
      </w:pPr>
      <w:bookmarkStart w:id="25" w:name="社交资本与共同联系人理论"/>
      <w:r>
        <w:t>4.1.1 社交资本与共同联系人理论</w:t>
      </w:r>
    </w:p>
    <w:p w14:paraId="32896E72">
      <w:pPr>
        <w:pStyle w:val="26"/>
      </w:pPr>
      <w:r>
        <w:rPr>
          <w:b/>
          <w:bCs/>
        </w:rPr>
        <w:t>[真实内容]</w:t>
      </w:r>
      <w:r>
        <w:t xml:space="preserve"> 创业团队形成研究指出，创始人依赖社交资本与网络关系建立合伙人关系。共同联系人（Shared Connections）作为信任传递的桥梁，能够有效降低信息不对称。平台内挖掘（LinkedIn”共同连接”、脉脉”二度人脉”）提供直接结构化数据，但需注意关系定义模糊与弱关系居多的局限。</w:t>
      </w:r>
    </w:p>
    <w:p w14:paraId="160A82A5">
      <w:pPr>
        <w:pStyle w:val="3"/>
      </w:pPr>
      <w:r>
        <w:rPr>
          <w:b/>
          <w:bCs/>
        </w:rPr>
        <w:t>[模拟方法论]</w:t>
      </w:r>
      <w:r>
        <w:t xml:space="preserve"> 共同联系人价值分层： - </w:t>
      </w:r>
      <w:r>
        <w:rPr>
          <w:b/>
          <w:bCs/>
        </w:rPr>
        <w:t>一级价值</w:t>
      </w:r>
      <w:r>
        <w:t xml:space="preserve">：强关系共同联系人（与双方均为深度信任关系）； - </w:t>
      </w:r>
      <w:r>
        <w:rPr>
          <w:b/>
          <w:bCs/>
        </w:rPr>
        <w:t>二级价值</w:t>
      </w:r>
      <w:r>
        <w:t xml:space="preserve">：情境共同联系人（特定场景如前任雇主、项目合作有深度接触）； - </w:t>
      </w:r>
      <w:r>
        <w:rPr>
          <w:b/>
          <w:bCs/>
        </w:rPr>
        <w:t>三级价值</w:t>
      </w:r>
      <w:r>
        <w:t>：弱关系共同联系人（仅能提供事实确认或初步印象）。</w:t>
      </w:r>
    </w:p>
    <w:bookmarkEnd w:id="25"/>
    <w:p w14:paraId="2C7D8F9A">
      <w:pPr>
        <w:pStyle w:val="6"/>
      </w:pPr>
      <w:bookmarkStart w:id="26" w:name="侧面了解请求策略"/>
      <w:r>
        <w:t>4.1.2 侧面了解请求策略</w:t>
      </w:r>
    </w:p>
    <w:p w14:paraId="30899650">
      <w:pPr>
        <w:pStyle w:val="26"/>
      </w:pPr>
      <w:r>
        <w:rPr>
          <w:b/>
          <w:bCs/>
        </w:rPr>
        <w:t>[模拟方法论]</w:t>
      </w:r>
      <w:r>
        <w:t xml:space="preserve"> 向共同联系人请求信息需采用场景化提问框架，避免笼统评价请求（“你觉得XX怎么样”），而是询问具体情境下的行为：“在XX项目中，TA如何处理与YY的分歧？”这种提问降低回答者认知负荷，同时获取可验证的行为证据。</w:t>
      </w:r>
    </w:p>
    <w:p w14:paraId="20DD8FD2">
      <w:pPr>
        <w:pStyle w:val="3"/>
      </w:pPr>
      <w:r>
        <w:t>关系强度匹配原则：对强关系联系人可安排深度访谈（30-60分钟），对弱关系联系人限制为事实确认。多时点验证策略在不同时间和情境下重复收集信息，验证行为的一致性。</w:t>
      </w:r>
    </w:p>
    <w:p w14:paraId="7979DD5C">
      <w:r>
        <w:pict>
          <v:rect id="_x0000_i1032" o:spt="1" style="height:1.5pt;width:0pt;" coordsize="21600,21600" o:hr="t" o:hrstd="t" o:hralign="center">
            <v:path/>
            <v:fill focussize="0,0"/>
            <v:stroke/>
            <v:imagedata o:title=""/>
            <o:lock v:ext="edit"/>
            <w10:wrap type="none"/>
            <w10:anchorlock/>
          </v:rect>
        </w:pict>
      </w:r>
    </w:p>
    <w:p w14:paraId="49E264F3">
      <w:r>
        <w:pict>
          <v:rect id="_x0000_i1035" o:spt="1" style="height:1.5pt;width:0pt;" coordsize="21600,21600" o:hr="t" o:hrstd="t" o:hralign="center">
            <v:path/>
            <v:fill focussize="0,0"/>
            <v:stroke/>
            <v:imagedata o:title=""/>
            <o:lock v:ext="edit"/>
            <w10:wrap type="none"/>
            <w10:anchorlock/>
          </v:rect>
        </w:pict>
      </w:r>
    </w:p>
    <w:bookmarkEnd w:id="23"/>
    <w:bookmarkEnd w:id="24"/>
    <w:bookmarkEnd w:id="26"/>
    <w:p w14:paraId="389DA849">
      <w:pPr>
        <w:pStyle w:val="4"/>
      </w:pPr>
      <w:bookmarkStart w:id="27" w:name="模块三互动观察无感"/>
      <w:r>
        <w:t>5. 模块三：互动观察（无感）</w:t>
      </w:r>
    </w:p>
    <w:p w14:paraId="441482AF">
      <w:pPr>
        <w:pStyle w:val="5"/>
      </w:pPr>
      <w:bookmarkStart w:id="28" w:name="自然观察场景设计"/>
      <w:r>
        <w:t>5.1 自然观察场景设计</w:t>
      </w:r>
    </w:p>
    <w:p w14:paraId="5680652B">
      <w:pPr>
        <w:pStyle w:val="6"/>
      </w:pPr>
      <w:bookmarkStart w:id="29" w:name="非侵入性观察的场景选择理论"/>
      <w:r>
        <w:t>5.1.1 非侵入性观察的场景选择理论</w:t>
      </w:r>
    </w:p>
    <w:p w14:paraId="29F4F33E">
      <w:pPr>
        <w:pStyle w:val="26"/>
      </w:pPr>
      <w:r>
        <w:rPr>
          <w:b/>
          <w:bCs/>
        </w:rPr>
        <w:t>[真实内容]</w:t>
      </w:r>
      <w:r>
        <w:t xml:space="preserve"> 传统人员选拔依赖结构化面试与标准化测评，但此类方法易受社会期望偏差与印象管理污染。非侵入性测量理论（Unobtrusive Measurement Theory）主张通过自然情境中的行为痕迹评估个体特质，避免霍桑效应（Hawthorne Effect）——即被观察者因知晓被观察而改变行为。</w:t>
      </w:r>
    </w:p>
    <w:p w14:paraId="354154E8">
      <w:pPr>
        <w:pStyle w:val="3"/>
      </w:pPr>
      <w:r>
        <w:t>行业活动与专业聚会构成理想的无感观察场景，因其具备</w:t>
      </w:r>
      <w:r>
        <w:rPr>
          <w:b/>
          <w:bCs/>
        </w:rPr>
        <w:t>公开性</w:t>
      </w:r>
      <w:r>
        <w:t>（Public Nature）、</w:t>
      </w:r>
      <w:r>
        <w:rPr>
          <w:b/>
          <w:bCs/>
        </w:rPr>
        <w:t>专业性</w:t>
      </w:r>
      <w:r>
        <w:t>（Professional Context）与</w:t>
      </w:r>
      <w:r>
        <w:rPr>
          <w:b/>
          <w:bCs/>
        </w:rPr>
        <w:t>社交密度</w:t>
      </w:r>
      <w:r>
        <w:t>（Social Density）三重特征。在这些场景中，候选人处于</w:t>
      </w:r>
      <w:r>
        <w:rPr>
          <w:b/>
          <w:bCs/>
        </w:rPr>
        <w:t>放松警惕状态</w:t>
      </w:r>
      <w:r>
        <w:t>（Lowered Guard State），更易展现真实的认知模式、社交风格与价值观倾向。</w:t>
      </w:r>
    </w:p>
    <w:p w14:paraId="6EEE8928">
      <w:pPr>
        <w:pStyle w:val="3"/>
      </w:pPr>
      <w:r>
        <w:rPr>
          <w:b/>
          <w:bCs/>
        </w:rPr>
        <w:t>[模拟方法论]</w:t>
      </w:r>
      <w:r>
        <w:t xml:space="preserve"> 关键观察位置包括：</w:t>
      </w:r>
    </w:p>
    <w:tbl>
      <w:tblPr>
        <w:tblStyle w:val="44"/>
        <w:tblW w:w="9117" w:type="dxa"/>
        <w:jc w:val="center"/>
        <w:tblLayout w:type="autofit"/>
        <w:tblCellMar>
          <w:top w:w="0" w:type="dxa"/>
          <w:left w:w="108" w:type="dxa"/>
          <w:bottom w:w="0" w:type="dxa"/>
          <w:right w:w="108" w:type="dxa"/>
        </w:tblCellMar>
      </w:tblPr>
      <w:tblGrid>
        <w:gridCol w:w="1780"/>
        <w:gridCol w:w="1417"/>
        <w:gridCol w:w="2327"/>
        <w:gridCol w:w="1817"/>
        <w:gridCol w:w="1776"/>
      </w:tblGrid>
      <w:tr w14:paraId="73090035">
        <w:tblPrEx>
          <w:tblCellMar>
            <w:top w:w="0" w:type="dxa"/>
            <w:left w:w="108" w:type="dxa"/>
            <w:bottom w:w="0" w:type="dxa"/>
            <w:right w:w="108" w:type="dxa"/>
          </w:tblCellMar>
        </w:tblPrEx>
        <w:trPr>
          <w:trHeight w:val="0" w:hRule="atLeast"/>
          <w:tblHeader/>
          <w:jc w:val="center"/>
        </w:trPr>
        <w:tc>
          <w:tcPr>
            <w:tcW w:w="1781" w:type="dxa"/>
            <w:tcBorders>
              <w:top w:val="single" w:color="auto" w:sz="12" w:space="0"/>
              <w:left w:val="nil"/>
              <w:bottom w:val="single" w:color="auto" w:sz="4" w:space="0"/>
              <w:right w:val="nil"/>
            </w:tcBorders>
            <w:vAlign w:val="center"/>
          </w:tcPr>
          <w:p w14:paraId="1302F151">
            <w:pPr>
              <w:pStyle w:val="27"/>
              <w:snapToGrid w:val="0"/>
              <w:spacing w:line="240" w:lineRule="auto"/>
              <w:ind w:left="0" w:leftChars="0" w:right="0" w:rightChars="0" w:firstLine="0" w:firstLineChars="0"/>
              <w:jc w:val="center"/>
              <w:rPr>
                <w:b/>
              </w:rPr>
            </w:pPr>
            <w:r>
              <w:rPr>
                <w:b/>
              </w:rPr>
              <w:t>观察位置</w:t>
            </w:r>
          </w:p>
        </w:tc>
        <w:tc>
          <w:tcPr>
            <w:tcW w:w="1416" w:type="dxa"/>
            <w:tcBorders>
              <w:top w:val="single" w:color="auto" w:sz="12" w:space="0"/>
              <w:left w:val="nil"/>
              <w:bottom w:val="single" w:color="auto" w:sz="4" w:space="0"/>
              <w:right w:val="nil"/>
            </w:tcBorders>
            <w:vAlign w:val="center"/>
          </w:tcPr>
          <w:p w14:paraId="542CD5E9">
            <w:pPr>
              <w:pStyle w:val="27"/>
              <w:snapToGrid w:val="0"/>
              <w:spacing w:line="240" w:lineRule="auto"/>
              <w:ind w:left="0" w:leftChars="0" w:right="0" w:rightChars="0" w:firstLine="0" w:firstLineChars="0"/>
              <w:jc w:val="center"/>
              <w:rPr>
                <w:b/>
              </w:rPr>
            </w:pPr>
            <w:r>
              <w:rPr>
                <w:b/>
              </w:rPr>
              <w:t>信息类型</w:t>
            </w:r>
          </w:p>
        </w:tc>
        <w:tc>
          <w:tcPr>
            <w:tcW w:w="2327" w:type="dxa"/>
            <w:tcBorders>
              <w:top w:val="single" w:color="auto" w:sz="12" w:space="0"/>
              <w:left w:val="nil"/>
              <w:bottom w:val="single" w:color="auto" w:sz="4" w:space="0"/>
              <w:right w:val="nil"/>
            </w:tcBorders>
            <w:vAlign w:val="center"/>
          </w:tcPr>
          <w:p w14:paraId="21BF0DB4">
            <w:pPr>
              <w:pStyle w:val="27"/>
              <w:snapToGrid w:val="0"/>
              <w:spacing w:line="240" w:lineRule="auto"/>
              <w:ind w:left="0" w:leftChars="0" w:right="0" w:rightChars="0" w:firstLine="0" w:firstLineChars="0"/>
              <w:jc w:val="center"/>
              <w:rPr>
                <w:b/>
              </w:rPr>
            </w:pPr>
            <w:r>
              <w:rPr>
                <w:b/>
              </w:rPr>
              <w:t>行为信号</w:t>
            </w:r>
          </w:p>
        </w:tc>
        <w:tc>
          <w:tcPr>
            <w:tcW w:w="1817" w:type="dxa"/>
            <w:tcBorders>
              <w:top w:val="single" w:color="auto" w:sz="12" w:space="0"/>
              <w:left w:val="nil"/>
              <w:bottom w:val="single" w:color="auto" w:sz="4" w:space="0"/>
              <w:right w:val="nil"/>
            </w:tcBorders>
            <w:vAlign w:val="center"/>
          </w:tcPr>
          <w:p w14:paraId="6C9C283B">
            <w:pPr>
              <w:pStyle w:val="27"/>
              <w:snapToGrid w:val="0"/>
              <w:spacing w:line="240" w:lineRule="auto"/>
              <w:ind w:left="0" w:leftChars="0" w:right="0" w:rightChars="0" w:firstLine="0" w:firstLineChars="0"/>
              <w:jc w:val="center"/>
              <w:rPr>
                <w:b/>
              </w:rPr>
            </w:pPr>
            <w:r>
              <w:rPr>
                <w:b/>
              </w:rPr>
              <w:t>操作要点</w:t>
            </w:r>
          </w:p>
        </w:tc>
        <w:tc>
          <w:tcPr>
            <w:tcW w:w="1776" w:type="dxa"/>
            <w:tcBorders>
              <w:top w:val="single" w:color="auto" w:sz="12" w:space="0"/>
              <w:left w:val="nil"/>
              <w:bottom w:val="single" w:color="auto" w:sz="4" w:space="0"/>
              <w:right w:val="nil"/>
            </w:tcBorders>
            <w:vAlign w:val="center"/>
          </w:tcPr>
          <w:p w14:paraId="34005597">
            <w:pPr>
              <w:pStyle w:val="27"/>
              <w:snapToGrid w:val="0"/>
              <w:spacing w:line="240" w:lineRule="auto"/>
              <w:ind w:left="0" w:leftChars="0" w:right="0" w:rightChars="0" w:firstLine="0" w:firstLineChars="0"/>
              <w:jc w:val="center"/>
              <w:rPr>
                <w:b/>
              </w:rPr>
            </w:pPr>
            <w:r>
              <w:rPr>
                <w:b/>
              </w:rPr>
              <w:t>风险提示</w:t>
            </w:r>
          </w:p>
        </w:tc>
      </w:tr>
      <w:tr w14:paraId="38DE046C">
        <w:tblPrEx>
          <w:tblCellMar>
            <w:top w:w="0" w:type="dxa"/>
            <w:left w:w="108" w:type="dxa"/>
            <w:bottom w:w="0" w:type="dxa"/>
            <w:right w:w="108" w:type="dxa"/>
          </w:tblCellMar>
        </w:tblPrEx>
        <w:trPr>
          <w:trHeight w:val="0" w:hRule="atLeast"/>
          <w:jc w:val="center"/>
        </w:trPr>
        <w:tc>
          <w:tcPr>
            <w:tcW w:w="1781" w:type="dxa"/>
            <w:tcBorders>
              <w:top w:val="single" w:color="auto" w:sz="4" w:space="0"/>
              <w:left w:val="nil"/>
              <w:bottom w:val="nil"/>
              <w:right w:val="nil"/>
            </w:tcBorders>
            <w:vAlign w:val="center"/>
          </w:tcPr>
          <w:p w14:paraId="7B7C8725">
            <w:pPr>
              <w:pStyle w:val="27"/>
              <w:snapToGrid w:val="0"/>
              <w:spacing w:line="240" w:lineRule="auto"/>
              <w:ind w:left="0" w:leftChars="0" w:right="0" w:rightChars="0" w:firstLine="0" w:firstLineChars="0"/>
              <w:jc w:val="left"/>
            </w:pPr>
            <w:r>
              <w:rPr>
                <w:b/>
                <w:bCs/>
              </w:rPr>
              <w:t>演讲区前排</w:t>
            </w:r>
          </w:p>
        </w:tc>
        <w:tc>
          <w:tcPr>
            <w:tcW w:w="1416" w:type="dxa"/>
            <w:tcBorders>
              <w:top w:val="single" w:color="auto" w:sz="4" w:space="0"/>
              <w:left w:val="nil"/>
              <w:bottom w:val="nil"/>
              <w:right w:val="nil"/>
            </w:tcBorders>
            <w:vAlign w:val="center"/>
          </w:tcPr>
          <w:p w14:paraId="07D49C2F">
            <w:pPr>
              <w:pStyle w:val="27"/>
              <w:snapToGrid w:val="0"/>
              <w:spacing w:line="240" w:lineRule="auto"/>
              <w:ind w:left="0" w:leftChars="0" w:right="0" w:rightChars="0" w:firstLine="0" w:firstLineChars="0"/>
              <w:jc w:val="left"/>
            </w:pPr>
            <w:r>
              <w:t>公开表达、现场反应</w:t>
            </w:r>
          </w:p>
        </w:tc>
        <w:tc>
          <w:tcPr>
            <w:tcW w:w="2327" w:type="dxa"/>
            <w:tcBorders>
              <w:top w:val="single" w:color="auto" w:sz="4" w:space="0"/>
              <w:left w:val="nil"/>
              <w:bottom w:val="nil"/>
              <w:right w:val="nil"/>
            </w:tcBorders>
            <w:vAlign w:val="center"/>
          </w:tcPr>
          <w:p w14:paraId="51C14603">
            <w:pPr>
              <w:pStyle w:val="27"/>
              <w:snapToGrid w:val="0"/>
              <w:spacing w:line="240" w:lineRule="auto"/>
              <w:ind w:left="0" w:leftChars="0" w:right="0" w:rightChars="0" w:firstLine="0" w:firstLineChars="0"/>
              <w:jc w:val="center"/>
            </w:pPr>
            <w:r>
              <w:t>学习投入度、批判性思维、提问质量</w:t>
            </w:r>
          </w:p>
        </w:tc>
        <w:tc>
          <w:tcPr>
            <w:tcW w:w="1817" w:type="dxa"/>
            <w:tcBorders>
              <w:top w:val="single" w:color="auto" w:sz="4" w:space="0"/>
              <w:left w:val="nil"/>
              <w:bottom w:val="nil"/>
              <w:right w:val="nil"/>
            </w:tcBorders>
            <w:vAlign w:val="center"/>
          </w:tcPr>
          <w:p w14:paraId="13FD4F5C">
            <w:pPr>
              <w:pStyle w:val="27"/>
              <w:snapToGrid w:val="0"/>
              <w:spacing w:line="240" w:lineRule="auto"/>
              <w:ind w:left="0" w:leftChars="0" w:right="0" w:rightChars="0" w:firstLine="0" w:firstLineChars="0"/>
              <w:jc w:val="center"/>
            </w:pPr>
            <w:r>
              <w:t>观察笔记习惯、眼神接触模式</w:t>
            </w:r>
          </w:p>
        </w:tc>
        <w:tc>
          <w:tcPr>
            <w:tcW w:w="1776" w:type="dxa"/>
            <w:tcBorders>
              <w:top w:val="single" w:color="auto" w:sz="4" w:space="0"/>
              <w:left w:val="nil"/>
              <w:bottom w:val="nil"/>
              <w:right w:val="nil"/>
            </w:tcBorders>
            <w:vAlign w:val="center"/>
          </w:tcPr>
          <w:p w14:paraId="6E1BB53E">
            <w:pPr>
              <w:pStyle w:val="27"/>
              <w:snapToGrid w:val="0"/>
              <w:spacing w:line="240" w:lineRule="auto"/>
              <w:ind w:left="0" w:leftChars="0" w:right="0" w:rightChars="0" w:firstLine="0" w:firstLineChars="0"/>
              <w:jc w:val="left"/>
            </w:pPr>
            <w:r>
              <w:t>位置显眼，可能暴露观察意图</w:t>
            </w:r>
          </w:p>
        </w:tc>
      </w:tr>
      <w:tr w14:paraId="4031FC39">
        <w:tblPrEx>
          <w:tblCellMar>
            <w:top w:w="0" w:type="dxa"/>
            <w:left w:w="108" w:type="dxa"/>
            <w:bottom w:w="0" w:type="dxa"/>
            <w:right w:w="108" w:type="dxa"/>
          </w:tblCellMar>
        </w:tblPrEx>
        <w:trPr>
          <w:trHeight w:val="0" w:hRule="atLeast"/>
          <w:jc w:val="center"/>
        </w:trPr>
        <w:tc>
          <w:tcPr>
            <w:tcW w:w="1781" w:type="dxa"/>
            <w:tcBorders>
              <w:top w:val="nil"/>
              <w:left w:val="nil"/>
              <w:bottom w:val="nil"/>
              <w:right w:val="nil"/>
            </w:tcBorders>
            <w:vAlign w:val="center"/>
          </w:tcPr>
          <w:p w14:paraId="68271049">
            <w:pPr>
              <w:pStyle w:val="27"/>
              <w:snapToGrid w:val="0"/>
              <w:spacing w:line="240" w:lineRule="auto"/>
              <w:ind w:left="0" w:leftChars="0" w:right="0" w:rightChars="0" w:firstLine="0" w:firstLineChars="0"/>
              <w:jc w:val="left"/>
            </w:pPr>
            <w:r>
              <w:rPr>
                <w:b/>
                <w:bCs/>
              </w:rPr>
              <w:t>社交环节边缘</w:t>
            </w:r>
          </w:p>
        </w:tc>
        <w:tc>
          <w:tcPr>
            <w:tcW w:w="1416" w:type="dxa"/>
            <w:tcBorders>
              <w:top w:val="nil"/>
              <w:left w:val="nil"/>
              <w:bottom w:val="nil"/>
              <w:right w:val="nil"/>
            </w:tcBorders>
            <w:vAlign w:val="center"/>
          </w:tcPr>
          <w:p w14:paraId="7B8D40AF">
            <w:pPr>
              <w:pStyle w:val="27"/>
              <w:snapToGrid w:val="0"/>
              <w:spacing w:line="240" w:lineRule="auto"/>
              <w:ind w:left="0" w:leftChars="0" w:right="0" w:rightChars="0" w:firstLine="0" w:firstLineChars="0"/>
              <w:jc w:val="left"/>
            </w:pPr>
            <w:r>
              <w:t>Networking行为模式</w:t>
            </w:r>
          </w:p>
        </w:tc>
        <w:tc>
          <w:tcPr>
            <w:tcW w:w="2327" w:type="dxa"/>
            <w:tcBorders>
              <w:top w:val="nil"/>
              <w:left w:val="nil"/>
              <w:bottom w:val="nil"/>
              <w:right w:val="nil"/>
            </w:tcBorders>
            <w:vAlign w:val="center"/>
          </w:tcPr>
          <w:p w14:paraId="26518D22">
            <w:pPr>
              <w:pStyle w:val="27"/>
              <w:snapToGrid w:val="0"/>
              <w:spacing w:line="240" w:lineRule="auto"/>
              <w:ind w:left="0" w:leftChars="0" w:right="0" w:rightChars="0" w:firstLine="0" w:firstLineChars="0"/>
              <w:jc w:val="center"/>
            </w:pPr>
            <w:r>
              <w:t>主动性、对象选择策略、对话延续能力</w:t>
            </w:r>
          </w:p>
        </w:tc>
        <w:tc>
          <w:tcPr>
            <w:tcW w:w="1817" w:type="dxa"/>
            <w:tcBorders>
              <w:top w:val="nil"/>
              <w:left w:val="nil"/>
              <w:bottom w:val="nil"/>
              <w:right w:val="nil"/>
            </w:tcBorders>
            <w:vAlign w:val="center"/>
          </w:tcPr>
          <w:p w14:paraId="246193AB">
            <w:pPr>
              <w:pStyle w:val="27"/>
              <w:snapToGrid w:val="0"/>
              <w:spacing w:line="240" w:lineRule="auto"/>
              <w:ind w:left="0" w:leftChars="0" w:right="0" w:rightChars="0" w:firstLine="0" w:firstLineChars="0"/>
              <w:jc w:val="center"/>
            </w:pPr>
            <w:r>
              <w:t>保持适当距离，避免过度疏离</w:t>
            </w:r>
          </w:p>
        </w:tc>
        <w:tc>
          <w:tcPr>
            <w:tcW w:w="1776" w:type="dxa"/>
            <w:tcBorders>
              <w:top w:val="nil"/>
              <w:left w:val="nil"/>
              <w:bottom w:val="nil"/>
              <w:right w:val="nil"/>
            </w:tcBorders>
            <w:vAlign w:val="center"/>
          </w:tcPr>
          <w:p w14:paraId="58D2882A">
            <w:pPr>
              <w:pStyle w:val="27"/>
              <w:snapToGrid w:val="0"/>
              <w:spacing w:line="240" w:lineRule="auto"/>
              <w:ind w:left="0" w:leftChars="0" w:right="0" w:rightChars="0" w:firstLine="0" w:firstLineChars="0"/>
              <w:jc w:val="left"/>
            </w:pPr>
            <w:r>
              <w:t>需快速捕捉关键行为</w:t>
            </w:r>
          </w:p>
        </w:tc>
      </w:tr>
      <w:tr w14:paraId="65A4B1F1">
        <w:tblPrEx>
          <w:tblCellMar>
            <w:top w:w="0" w:type="dxa"/>
            <w:left w:w="108" w:type="dxa"/>
            <w:bottom w:w="0" w:type="dxa"/>
            <w:right w:w="108" w:type="dxa"/>
          </w:tblCellMar>
        </w:tblPrEx>
        <w:trPr>
          <w:trHeight w:val="0" w:hRule="atLeast"/>
          <w:jc w:val="center"/>
        </w:trPr>
        <w:tc>
          <w:tcPr>
            <w:tcW w:w="1781" w:type="dxa"/>
            <w:tcBorders>
              <w:top w:val="nil"/>
              <w:left w:val="nil"/>
              <w:bottom w:val="single" w:color="auto" w:sz="12" w:space="0"/>
              <w:right w:val="nil"/>
            </w:tcBorders>
            <w:vAlign w:val="center"/>
          </w:tcPr>
          <w:p w14:paraId="019304D3">
            <w:pPr>
              <w:pStyle w:val="27"/>
              <w:snapToGrid w:val="0"/>
              <w:spacing w:line="240" w:lineRule="auto"/>
              <w:ind w:left="0" w:leftChars="0" w:right="0" w:rightChars="0" w:firstLine="0" w:firstLineChars="0"/>
              <w:jc w:val="left"/>
            </w:pPr>
            <w:r>
              <w:rPr>
                <w:b/>
                <w:bCs/>
              </w:rPr>
              <w:t>餐饮区</w:t>
            </w:r>
          </w:p>
        </w:tc>
        <w:tc>
          <w:tcPr>
            <w:tcW w:w="1416" w:type="dxa"/>
            <w:tcBorders>
              <w:top w:val="nil"/>
              <w:left w:val="nil"/>
              <w:bottom w:val="single" w:color="auto" w:sz="12" w:space="0"/>
              <w:right w:val="nil"/>
            </w:tcBorders>
            <w:vAlign w:val="center"/>
          </w:tcPr>
          <w:p w14:paraId="61F0F0BC">
            <w:pPr>
              <w:pStyle w:val="27"/>
              <w:snapToGrid w:val="0"/>
              <w:spacing w:line="240" w:lineRule="auto"/>
              <w:ind w:left="0" w:leftChars="0" w:right="0" w:rightChars="0" w:firstLine="0" w:firstLineChars="0"/>
              <w:jc w:val="left"/>
            </w:pPr>
            <w:r>
              <w:t>非正式互动、放松状态</w:t>
            </w:r>
          </w:p>
        </w:tc>
        <w:tc>
          <w:tcPr>
            <w:tcW w:w="2327" w:type="dxa"/>
            <w:tcBorders>
              <w:top w:val="nil"/>
              <w:left w:val="nil"/>
              <w:bottom w:val="single" w:color="auto" w:sz="12" w:space="0"/>
              <w:right w:val="nil"/>
            </w:tcBorders>
            <w:vAlign w:val="center"/>
          </w:tcPr>
          <w:p w14:paraId="5BBB1891">
            <w:pPr>
              <w:pStyle w:val="27"/>
              <w:snapToGrid w:val="0"/>
              <w:spacing w:line="240" w:lineRule="auto"/>
              <w:ind w:left="0" w:leftChars="0" w:right="0" w:rightChars="0" w:firstLine="0" w:firstLineChars="0"/>
              <w:jc w:val="center"/>
            </w:pPr>
            <w:r>
              <w:t>社交风格、压力缓解方式、真实性格暴露</w:t>
            </w:r>
          </w:p>
        </w:tc>
        <w:tc>
          <w:tcPr>
            <w:tcW w:w="1817" w:type="dxa"/>
            <w:tcBorders>
              <w:top w:val="nil"/>
              <w:left w:val="nil"/>
              <w:bottom w:val="single" w:color="auto" w:sz="12" w:space="0"/>
              <w:right w:val="nil"/>
            </w:tcBorders>
            <w:vAlign w:val="center"/>
          </w:tcPr>
          <w:p w14:paraId="72709B16">
            <w:pPr>
              <w:pStyle w:val="27"/>
              <w:snapToGrid w:val="0"/>
              <w:spacing w:line="240" w:lineRule="auto"/>
              <w:ind w:left="0" w:leftChars="0" w:right="0" w:rightChars="0" w:firstLine="0" w:firstLineChars="0"/>
              <w:jc w:val="center"/>
            </w:pPr>
            <w:r>
              <w:t>观察酒精影响下的行为侧面</w:t>
            </w:r>
          </w:p>
        </w:tc>
        <w:tc>
          <w:tcPr>
            <w:tcW w:w="1776" w:type="dxa"/>
            <w:tcBorders>
              <w:top w:val="nil"/>
              <w:left w:val="nil"/>
              <w:bottom w:val="single" w:color="auto" w:sz="12" w:space="0"/>
              <w:right w:val="nil"/>
            </w:tcBorders>
            <w:vAlign w:val="center"/>
          </w:tcPr>
          <w:p w14:paraId="7864BBFF">
            <w:pPr>
              <w:pStyle w:val="27"/>
              <w:snapToGrid w:val="0"/>
              <w:spacing w:line="240" w:lineRule="auto"/>
              <w:ind w:left="0" w:leftChars="0" w:right="0" w:rightChars="0" w:firstLine="0" w:firstLineChars="0"/>
              <w:jc w:val="left"/>
            </w:pPr>
            <w:r>
              <w:t>时间窗口有限</w:t>
            </w:r>
          </w:p>
        </w:tc>
      </w:tr>
      <w:bookmarkEnd w:id="29"/>
    </w:tbl>
    <w:p w14:paraId="21F04912">
      <w:pPr>
        <w:pStyle w:val="6"/>
      </w:pPr>
      <w:bookmarkStart w:id="30" w:name="共同朋友聚会场景的嵌入策略"/>
      <w:r>
        <w:t>5.1.2 共同朋友聚会场景的嵌入策略</w:t>
      </w:r>
    </w:p>
    <w:p w14:paraId="37314420">
      <w:pPr>
        <w:pStyle w:val="26"/>
      </w:pPr>
      <w:r>
        <w:rPr>
          <w:b/>
          <w:bCs/>
        </w:rPr>
        <w:t>[模拟方法论]</w:t>
      </w:r>
      <w:r>
        <w:t xml:space="preserve"> 共同朋友聚会场景具有</w:t>
      </w:r>
      <w:r>
        <w:rPr>
          <w:b/>
          <w:bCs/>
        </w:rPr>
        <w:t>评估意图完全隐蔽</w:t>
      </w:r>
      <w:r>
        <w:t>（Totally Concealed Assessment Intent）的优势——候选人以”朋友的朋友”身份参与，不触发任何职业评估警觉。此场景的优势在于</w:t>
      </w:r>
      <w:r>
        <w:rPr>
          <w:b/>
          <w:bCs/>
        </w:rPr>
        <w:t>时间充裕性</w:t>
      </w:r>
      <w:r>
        <w:t>（Time Abundance）：数小时相处提供多次行为样本，远优于行业活动的短暂接触。</w:t>
      </w:r>
    </w:p>
    <w:p w14:paraId="3986AA21">
      <w:pPr>
        <w:pStyle w:val="3"/>
      </w:pPr>
      <w:r>
        <w:t xml:space="preserve">场景设计三要素： 1. </w:t>
      </w:r>
      <w:r>
        <w:rPr>
          <w:b/>
          <w:bCs/>
        </w:rPr>
        <w:t>场景嵌入</w:t>
      </w:r>
      <w:r>
        <w:t xml:space="preserve">：通过共同朋友发起多人活动（聚餐、户外活动、兴趣小组），确保参与的自然性与合理性； 2. </w:t>
      </w:r>
      <w:r>
        <w:rPr>
          <w:b/>
          <w:bCs/>
        </w:rPr>
        <w:t>角色设定</w:t>
      </w:r>
      <w:r>
        <w:t xml:space="preserve">：以普通参与者身份融入，避免主动引导话题或过度关注，降低候选人警觉； 3. </w:t>
      </w:r>
      <w:r>
        <w:rPr>
          <w:b/>
          <w:bCs/>
        </w:rPr>
        <w:t>话题引导</w:t>
      </w:r>
      <w:r>
        <w:t>：由共同朋友或群体自然引入行业讨论、创业话题，观察放松状态下的观点表达。</w:t>
      </w:r>
    </w:p>
    <w:p w14:paraId="5D74E1C6">
      <w:pPr>
        <w:pStyle w:val="3"/>
      </w:pPr>
      <w:r>
        <w:rPr>
          <w:b/>
          <w:bCs/>
        </w:rPr>
        <w:t>[待验证]</w:t>
      </w:r>
      <w:r>
        <w:t xml:space="preserve"> 该策略的有效性依赖于共同朋友的配合度与创始人自身的演技（自然度），目前缺乏实证研究验证其跨文化适用性。</w:t>
      </w:r>
    </w:p>
    <w:bookmarkEnd w:id="30"/>
    <w:p w14:paraId="6F1F0C6A">
      <w:pPr>
        <w:pStyle w:val="6"/>
      </w:pPr>
      <w:bookmarkStart w:id="31" w:name="工作场景自然接触的机会创造"/>
      <w:r>
        <w:t>5.1.3 工作场景自然接触的机会创造</w:t>
      </w:r>
    </w:p>
    <w:p w14:paraId="2BA91802">
      <w:pPr>
        <w:pStyle w:val="26"/>
      </w:pPr>
      <w:r>
        <w:rPr>
          <w:b/>
          <w:bCs/>
        </w:rPr>
        <w:t>[模拟方法论]</w:t>
      </w:r>
      <w:r>
        <w:t xml:space="preserve"> 工作场景观察提供候选人实际工作状态的直接证据，但需策略性设计接触机会：</w:t>
      </w:r>
    </w:p>
    <w:p w14:paraId="3BC6374F">
      <w:pPr>
        <w:pStyle w:val="27"/>
        <w:numPr>
          <w:ilvl w:val="0"/>
          <w:numId w:val="2"/>
        </w:numPr>
      </w:pPr>
      <w:r>
        <w:rPr>
          <w:b/>
          <w:bCs/>
        </w:rPr>
        <w:t>联合项目参与</w:t>
      </w:r>
      <w:r>
        <w:t>：通过行业组织、公益项目、开源社区合作建立工作关系，观察协作模式、交付质量与冲突处理；</w:t>
      </w:r>
    </w:p>
    <w:p w14:paraId="29E52B74">
      <w:pPr>
        <w:pStyle w:val="27"/>
        <w:numPr>
          <w:ilvl w:val="0"/>
          <w:numId w:val="2"/>
        </w:numPr>
      </w:pPr>
      <w:r>
        <w:rPr>
          <w:b/>
          <w:bCs/>
        </w:rPr>
        <w:t>咨询请求场景</w:t>
      </w:r>
      <w:r>
        <w:t>：以请教者身份（“我在XX方面遇到挑战，听说您有丰富经验”）建立互动，评估知识分享意愿与解释清晰度；</w:t>
      </w:r>
    </w:p>
    <w:p w14:paraId="7627C570">
      <w:pPr>
        <w:pStyle w:val="27"/>
        <w:numPr>
          <w:ilvl w:val="0"/>
          <w:numId w:val="2"/>
        </w:numPr>
      </w:pPr>
      <w:r>
        <w:rPr>
          <w:b/>
          <w:bCs/>
        </w:rPr>
        <w:t>第三方引荐工作</w:t>
      </w:r>
      <w:r>
        <w:t>：通过共同联系人创造工作场景，降低直接接触的目的性。</w:t>
      </w:r>
    </w:p>
    <w:bookmarkEnd w:id="28"/>
    <w:bookmarkEnd w:id="31"/>
    <w:p w14:paraId="6F9F3F1C">
      <w:pPr>
        <w:pStyle w:val="5"/>
      </w:pPr>
      <w:bookmarkStart w:id="32" w:name="行为观察清单与信号理论"/>
      <w:r>
        <w:t>5.2 行为观察清单与信号理论</w:t>
      </w:r>
    </w:p>
    <w:p w14:paraId="62DE89B7">
      <w:pPr>
        <w:pStyle w:val="6"/>
      </w:pPr>
      <w:bookmarkStart w:id="33" w:name="对待服务人员的态度"/>
      <w:r>
        <w:t>5.2.1 对待服务人员的态度</w:t>
      </w:r>
    </w:p>
    <w:p w14:paraId="477EAD26">
      <w:pPr>
        <w:pStyle w:val="26"/>
      </w:pPr>
      <w:r>
        <w:rPr>
          <w:b/>
          <w:bCs/>
        </w:rPr>
        <w:t>[真实内容]</w:t>
      </w:r>
      <w:r>
        <w:t xml:space="preserve"> 对待服务人员的态度是评估权力感知与基本尊重意识的经典窗口。社会心理学研究表明，对待无法提供即时利益者的态度，比对待潜在合作伙伴的态度更能反映真实价值观——这被称为</w:t>
      </w:r>
      <w:r>
        <w:rPr>
          <w:b/>
          <w:bCs/>
        </w:rPr>
        <w:t>权力距离一致性</w:t>
      </w:r>
      <w:r>
        <w:t>（Power Distance Consistency）。</w:t>
      </w:r>
    </w:p>
    <w:p w14:paraId="5DD1463D">
      <w:pPr>
        <w:pStyle w:val="3"/>
      </w:pPr>
      <w:r>
        <w:rPr>
          <w:b/>
          <w:bCs/>
        </w:rPr>
        <w:t>[模拟方法论]</w:t>
      </w:r>
      <w:r>
        <w:t xml:space="preserve"> 关键观察维度：</w:t>
      </w:r>
    </w:p>
    <w:p w14:paraId="18261F02">
      <w:pPr>
        <w:pStyle w:val="27"/>
        <w:numPr>
          <w:ilvl w:val="0"/>
          <w:numId w:val="2"/>
        </w:numPr>
      </w:pPr>
      <w:r>
        <w:rPr>
          <w:b/>
          <w:bCs/>
        </w:rPr>
        <w:t>权力距离感知</w:t>
      </w:r>
      <w:r>
        <w:t>：不因对方职位而显著改变尊重水平（对上级不谄媚、对下级不傲慢）；</w:t>
      </w:r>
    </w:p>
    <w:p w14:paraId="7321D71C">
      <w:pPr>
        <w:pStyle w:val="27"/>
        <w:numPr>
          <w:ilvl w:val="0"/>
          <w:numId w:val="2"/>
        </w:numPr>
      </w:pPr>
      <w:r>
        <w:rPr>
          <w:b/>
          <w:bCs/>
        </w:rPr>
        <w:t>基本尊重指标</w:t>
      </w:r>
      <w:r>
        <w:t>：礼貌用语频率（“请”“谢谢”）、等待耐心、感谢表达的真诚度；</w:t>
      </w:r>
    </w:p>
    <w:p w14:paraId="61AAB7E4">
      <w:pPr>
        <w:pStyle w:val="27"/>
        <w:numPr>
          <w:ilvl w:val="0"/>
          <w:numId w:val="2"/>
        </w:numPr>
      </w:pPr>
      <w:r>
        <w:rPr>
          <w:b/>
          <w:bCs/>
        </w:rPr>
        <w:t>冲突处理模式</w:t>
      </w:r>
      <w:r>
        <w:t>：服务失误时的反应——情绪稳定性、建设性反馈 vs 人身攻击、过度索赔。</w:t>
      </w:r>
    </w:p>
    <w:bookmarkEnd w:id="33"/>
    <w:p w14:paraId="7F668741">
      <w:pPr>
        <w:pStyle w:val="6"/>
      </w:pPr>
      <w:bookmarkStart w:id="34" w:name="时间观念与承诺兑现"/>
      <w:r>
        <w:t>5.2.2 时间观念与承诺兑现</w:t>
      </w:r>
    </w:p>
    <w:p w14:paraId="45C281A6">
      <w:pPr>
        <w:pStyle w:val="26"/>
      </w:pPr>
      <w:r>
        <w:rPr>
          <w:b/>
          <w:bCs/>
        </w:rPr>
        <w:t>[真实内容]</w:t>
      </w:r>
      <w:r>
        <w:t xml:space="preserve"> 时间观念（Time Discipline）与承诺兑现（Promise Fulfillment）是诚信的行为指标，其预测力强于自我陈述。组织行为学研究指出，跨情境的准时性模式（Punctuality Patterns Across Contexts）——包括正式会议、社交约会、自我设定的截止时间——比单一情境表现更具预测价值。</w:t>
      </w:r>
    </w:p>
    <w:p w14:paraId="4EC13254">
      <w:pPr>
        <w:pStyle w:val="3"/>
      </w:pPr>
      <w:r>
        <w:rPr>
          <w:b/>
          <w:bCs/>
        </w:rPr>
        <w:t>[模拟方法论]</w:t>
      </w:r>
      <w:r>
        <w:t xml:space="preserve"> 多维度观察框架：</w:t>
      </w:r>
    </w:p>
    <w:tbl>
      <w:tblPr>
        <w:tblStyle w:val="44"/>
        <w:tblW w:w="7921" w:type="dxa"/>
        <w:jc w:val="center"/>
        <w:tblLayout w:type="autofit"/>
        <w:tblCellMar>
          <w:top w:w="0" w:type="dxa"/>
          <w:left w:w="108" w:type="dxa"/>
          <w:bottom w:w="0" w:type="dxa"/>
          <w:right w:w="108" w:type="dxa"/>
        </w:tblCellMar>
      </w:tblPr>
      <w:tblGrid>
        <w:gridCol w:w="1807"/>
        <w:gridCol w:w="1741"/>
        <w:gridCol w:w="2060"/>
        <w:gridCol w:w="2313"/>
      </w:tblGrid>
      <w:tr w14:paraId="2B98D9A5">
        <w:trPr>
          <w:trHeight w:val="0" w:hRule="atLeast"/>
          <w:tblHeader/>
          <w:jc w:val="center"/>
        </w:trPr>
        <w:tc>
          <w:tcPr>
            <w:tcW w:w="1807" w:type="dxa"/>
            <w:tcBorders>
              <w:top w:val="single" w:color="auto" w:sz="12" w:space="0"/>
              <w:left w:val="nil"/>
              <w:bottom w:val="single" w:color="auto" w:sz="4" w:space="0"/>
              <w:right w:val="nil"/>
            </w:tcBorders>
            <w:vAlign w:val="center"/>
          </w:tcPr>
          <w:p w14:paraId="4027F0D5">
            <w:pPr>
              <w:pStyle w:val="27"/>
              <w:snapToGrid w:val="0"/>
              <w:spacing w:line="240" w:lineRule="auto"/>
              <w:ind w:left="0" w:leftChars="0" w:right="0" w:rightChars="0" w:firstLine="0" w:firstLineChars="0"/>
              <w:jc w:val="center"/>
              <w:rPr>
                <w:b/>
              </w:rPr>
            </w:pPr>
            <w:r>
              <w:rPr>
                <w:b/>
              </w:rPr>
              <w:t>观察维度</w:t>
            </w:r>
          </w:p>
        </w:tc>
        <w:tc>
          <w:tcPr>
            <w:tcW w:w="1741" w:type="dxa"/>
            <w:tcBorders>
              <w:top w:val="single" w:color="auto" w:sz="12" w:space="0"/>
              <w:left w:val="nil"/>
              <w:bottom w:val="single" w:color="auto" w:sz="4" w:space="0"/>
              <w:right w:val="nil"/>
            </w:tcBorders>
            <w:vAlign w:val="center"/>
          </w:tcPr>
          <w:p w14:paraId="5C6D5DF6">
            <w:pPr>
              <w:pStyle w:val="27"/>
              <w:snapToGrid w:val="0"/>
              <w:spacing w:line="240" w:lineRule="auto"/>
              <w:ind w:left="0" w:leftChars="0" w:right="0" w:rightChars="0" w:firstLine="0" w:firstLineChars="0"/>
              <w:jc w:val="center"/>
              <w:rPr>
                <w:b/>
              </w:rPr>
            </w:pPr>
            <w:r>
              <w:rPr>
                <w:b/>
              </w:rPr>
              <w:t>关键指标</w:t>
            </w:r>
          </w:p>
        </w:tc>
        <w:tc>
          <w:tcPr>
            <w:tcW w:w="2060" w:type="dxa"/>
            <w:tcBorders>
              <w:top w:val="single" w:color="auto" w:sz="12" w:space="0"/>
              <w:left w:val="nil"/>
              <w:bottom w:val="single" w:color="auto" w:sz="4" w:space="0"/>
              <w:right w:val="nil"/>
            </w:tcBorders>
            <w:vAlign w:val="center"/>
          </w:tcPr>
          <w:p w14:paraId="5A74678C">
            <w:pPr>
              <w:pStyle w:val="27"/>
              <w:snapToGrid w:val="0"/>
              <w:spacing w:line="240" w:lineRule="auto"/>
              <w:ind w:left="0" w:leftChars="0" w:right="0" w:rightChars="0" w:firstLine="0" w:firstLineChars="0"/>
              <w:jc w:val="center"/>
              <w:rPr>
                <w:b/>
              </w:rPr>
            </w:pPr>
            <w:r>
              <w:rPr>
                <w:b/>
              </w:rPr>
              <w:t>健康模式</w:t>
            </w:r>
          </w:p>
        </w:tc>
        <w:tc>
          <w:tcPr>
            <w:tcW w:w="2313" w:type="dxa"/>
            <w:tcBorders>
              <w:top w:val="single" w:color="auto" w:sz="12" w:space="0"/>
              <w:left w:val="nil"/>
              <w:bottom w:val="single" w:color="auto" w:sz="4" w:space="0"/>
              <w:right w:val="nil"/>
            </w:tcBorders>
            <w:vAlign w:val="center"/>
          </w:tcPr>
          <w:p w14:paraId="3CD35C0A">
            <w:pPr>
              <w:pStyle w:val="27"/>
              <w:snapToGrid w:val="0"/>
              <w:spacing w:line="240" w:lineRule="auto"/>
              <w:ind w:left="0" w:leftChars="0" w:right="0" w:rightChars="0" w:firstLine="0" w:firstLineChars="0"/>
              <w:jc w:val="center"/>
              <w:rPr>
                <w:b/>
              </w:rPr>
            </w:pPr>
            <w:r>
              <w:rPr>
                <w:b/>
              </w:rPr>
              <w:t>风险模式</w:t>
            </w:r>
          </w:p>
        </w:tc>
      </w:tr>
      <w:tr w14:paraId="57118CDE">
        <w:tblPrEx>
          <w:tblCellMar>
            <w:top w:w="0" w:type="dxa"/>
            <w:left w:w="108" w:type="dxa"/>
            <w:bottom w:w="0" w:type="dxa"/>
            <w:right w:w="108" w:type="dxa"/>
          </w:tblCellMar>
        </w:tblPrEx>
        <w:trPr>
          <w:trHeight w:val="0" w:hRule="atLeast"/>
          <w:jc w:val="center"/>
        </w:trPr>
        <w:tc>
          <w:tcPr>
            <w:tcW w:w="1807" w:type="dxa"/>
            <w:tcBorders>
              <w:top w:val="single" w:color="auto" w:sz="4" w:space="0"/>
              <w:left w:val="nil"/>
              <w:bottom w:val="nil"/>
              <w:right w:val="nil"/>
            </w:tcBorders>
            <w:vAlign w:val="center"/>
          </w:tcPr>
          <w:p w14:paraId="0A78A98A">
            <w:pPr>
              <w:pStyle w:val="27"/>
              <w:snapToGrid w:val="0"/>
              <w:spacing w:line="240" w:lineRule="auto"/>
              <w:ind w:left="0" w:leftChars="0" w:right="0" w:rightChars="0" w:firstLine="0" w:firstLineChars="0"/>
              <w:jc w:val="left"/>
            </w:pPr>
            <w:r>
              <w:rPr>
                <w:b/>
                <w:bCs/>
              </w:rPr>
              <w:t>准时性</w:t>
            </w:r>
          </w:p>
        </w:tc>
        <w:tc>
          <w:tcPr>
            <w:tcW w:w="1741" w:type="dxa"/>
            <w:tcBorders>
              <w:top w:val="single" w:color="auto" w:sz="4" w:space="0"/>
              <w:left w:val="nil"/>
              <w:bottom w:val="nil"/>
              <w:right w:val="nil"/>
            </w:tcBorders>
            <w:vAlign w:val="center"/>
          </w:tcPr>
          <w:p w14:paraId="4E7D7540">
            <w:pPr>
              <w:pStyle w:val="27"/>
              <w:snapToGrid w:val="0"/>
              <w:spacing w:line="240" w:lineRule="auto"/>
              <w:ind w:left="0" w:leftChars="0" w:right="0" w:rightChars="0" w:firstLine="0" w:firstLineChars="0"/>
              <w:jc w:val="center"/>
            </w:pPr>
            <w:r>
              <w:t>提前/准时/迟到频率分布</w:t>
            </w:r>
          </w:p>
        </w:tc>
        <w:tc>
          <w:tcPr>
            <w:tcW w:w="2060" w:type="dxa"/>
            <w:tcBorders>
              <w:top w:val="single" w:color="auto" w:sz="4" w:space="0"/>
              <w:left w:val="nil"/>
              <w:bottom w:val="nil"/>
              <w:right w:val="nil"/>
            </w:tcBorders>
            <w:vAlign w:val="center"/>
          </w:tcPr>
          <w:p w14:paraId="70D8E13D">
            <w:pPr>
              <w:pStyle w:val="27"/>
              <w:snapToGrid w:val="0"/>
              <w:spacing w:line="240" w:lineRule="auto"/>
              <w:ind w:left="0" w:leftChars="0" w:right="0" w:rightChars="0" w:firstLine="0" w:firstLineChars="0"/>
              <w:jc w:val="center"/>
            </w:pPr>
            <w:r>
              <w:t>习惯性准时，偶发迟到有合理解释</w:t>
            </w:r>
          </w:p>
        </w:tc>
        <w:tc>
          <w:tcPr>
            <w:tcW w:w="2313" w:type="dxa"/>
            <w:tcBorders>
              <w:top w:val="single" w:color="auto" w:sz="4" w:space="0"/>
              <w:left w:val="nil"/>
              <w:bottom w:val="nil"/>
              <w:right w:val="nil"/>
            </w:tcBorders>
            <w:vAlign w:val="center"/>
          </w:tcPr>
          <w:p w14:paraId="04377437">
            <w:pPr>
              <w:pStyle w:val="27"/>
              <w:snapToGrid w:val="0"/>
              <w:spacing w:line="240" w:lineRule="auto"/>
              <w:ind w:left="0" w:leftChars="0" w:right="0" w:rightChars="0" w:firstLine="0" w:firstLineChars="0"/>
              <w:jc w:val="center"/>
            </w:pPr>
            <w:r>
              <w:t>系统性迟到，或过度提前（焦虑信号）</w:t>
            </w:r>
          </w:p>
        </w:tc>
      </w:tr>
      <w:tr w14:paraId="3BC07AD3">
        <w:tblPrEx>
          <w:tblCellMar>
            <w:top w:w="0" w:type="dxa"/>
            <w:left w:w="108" w:type="dxa"/>
            <w:bottom w:w="0" w:type="dxa"/>
            <w:right w:w="108" w:type="dxa"/>
          </w:tblCellMar>
        </w:tblPrEx>
        <w:trPr>
          <w:trHeight w:val="0" w:hRule="atLeast"/>
          <w:jc w:val="center"/>
        </w:trPr>
        <w:tc>
          <w:tcPr>
            <w:tcW w:w="1807" w:type="dxa"/>
            <w:tcBorders>
              <w:top w:val="nil"/>
              <w:left w:val="nil"/>
              <w:bottom w:val="nil"/>
              <w:right w:val="nil"/>
            </w:tcBorders>
            <w:vAlign w:val="center"/>
          </w:tcPr>
          <w:p w14:paraId="7D57DF10">
            <w:pPr>
              <w:pStyle w:val="27"/>
              <w:snapToGrid w:val="0"/>
              <w:spacing w:line="240" w:lineRule="auto"/>
              <w:ind w:left="0" w:leftChars="0" w:right="0" w:rightChars="0" w:firstLine="0" w:firstLineChars="0"/>
              <w:jc w:val="left"/>
            </w:pPr>
            <w:r>
              <w:rPr>
                <w:b/>
                <w:bCs/>
              </w:rPr>
              <w:t>承诺兑现</w:t>
            </w:r>
          </w:p>
        </w:tc>
        <w:tc>
          <w:tcPr>
            <w:tcW w:w="1741" w:type="dxa"/>
            <w:tcBorders>
              <w:top w:val="nil"/>
              <w:left w:val="nil"/>
              <w:bottom w:val="nil"/>
              <w:right w:val="nil"/>
            </w:tcBorders>
            <w:vAlign w:val="center"/>
          </w:tcPr>
          <w:p w14:paraId="561C3B6C">
            <w:pPr>
              <w:pStyle w:val="27"/>
              <w:snapToGrid w:val="0"/>
              <w:spacing w:line="240" w:lineRule="auto"/>
              <w:ind w:left="0" w:leftChars="0" w:right="0" w:rightChars="0" w:firstLine="0" w:firstLineChars="0"/>
              <w:jc w:val="center"/>
            </w:pPr>
            <w:r>
              <w:t>约定事项完成率与及时性</w:t>
            </w:r>
          </w:p>
        </w:tc>
        <w:tc>
          <w:tcPr>
            <w:tcW w:w="2060" w:type="dxa"/>
            <w:tcBorders>
              <w:top w:val="nil"/>
              <w:left w:val="nil"/>
              <w:bottom w:val="nil"/>
              <w:right w:val="nil"/>
            </w:tcBorders>
            <w:vAlign w:val="center"/>
          </w:tcPr>
          <w:p w14:paraId="060CCA16">
            <w:pPr>
              <w:pStyle w:val="27"/>
              <w:snapToGrid w:val="0"/>
              <w:spacing w:line="240" w:lineRule="auto"/>
              <w:ind w:left="0" w:leftChars="0" w:right="0" w:rightChars="0" w:firstLine="0" w:firstLineChars="0"/>
              <w:jc w:val="center"/>
            </w:pPr>
            <w:r>
              <w:t>高兑现率，延迟时主动沟通</w:t>
            </w:r>
          </w:p>
        </w:tc>
        <w:tc>
          <w:tcPr>
            <w:tcW w:w="2313" w:type="dxa"/>
            <w:tcBorders>
              <w:top w:val="nil"/>
              <w:left w:val="nil"/>
              <w:bottom w:val="nil"/>
              <w:right w:val="nil"/>
            </w:tcBorders>
            <w:vAlign w:val="center"/>
          </w:tcPr>
          <w:p w14:paraId="39C0A2AD">
            <w:pPr>
              <w:pStyle w:val="27"/>
              <w:snapToGrid w:val="0"/>
              <w:spacing w:line="240" w:lineRule="auto"/>
              <w:ind w:left="0" w:leftChars="0" w:right="0" w:rightChars="0" w:firstLine="0" w:firstLineChars="0"/>
              <w:jc w:val="center"/>
            </w:pPr>
            <w:r>
              <w:t>频繁遗忘或延迟，无解释或借口</w:t>
            </w:r>
          </w:p>
        </w:tc>
      </w:tr>
      <w:tr w14:paraId="2959B014">
        <w:tblPrEx>
          <w:tblCellMar>
            <w:top w:w="0" w:type="dxa"/>
            <w:left w:w="108" w:type="dxa"/>
            <w:bottom w:w="0" w:type="dxa"/>
            <w:right w:w="108" w:type="dxa"/>
          </w:tblCellMar>
        </w:tblPrEx>
        <w:trPr>
          <w:trHeight w:val="0" w:hRule="atLeast"/>
          <w:jc w:val="center"/>
        </w:trPr>
        <w:tc>
          <w:tcPr>
            <w:tcW w:w="1807" w:type="dxa"/>
            <w:tcBorders>
              <w:top w:val="nil"/>
              <w:left w:val="nil"/>
              <w:bottom w:val="single" w:color="auto" w:sz="12" w:space="0"/>
              <w:right w:val="nil"/>
            </w:tcBorders>
            <w:vAlign w:val="center"/>
          </w:tcPr>
          <w:p w14:paraId="2BC473CE">
            <w:pPr>
              <w:pStyle w:val="27"/>
              <w:snapToGrid w:val="0"/>
              <w:spacing w:line="240" w:lineRule="auto"/>
              <w:ind w:left="0" w:leftChars="0" w:right="0" w:rightChars="0" w:firstLine="0" w:firstLineChars="0"/>
              <w:jc w:val="left"/>
            </w:pPr>
            <w:r>
              <w:rPr>
                <w:b/>
                <w:bCs/>
              </w:rPr>
              <w:t>他人时间尊重</w:t>
            </w:r>
          </w:p>
        </w:tc>
        <w:tc>
          <w:tcPr>
            <w:tcW w:w="1741" w:type="dxa"/>
            <w:tcBorders>
              <w:top w:val="nil"/>
              <w:left w:val="nil"/>
              <w:bottom w:val="single" w:color="auto" w:sz="12" w:space="0"/>
              <w:right w:val="nil"/>
            </w:tcBorders>
            <w:vAlign w:val="center"/>
          </w:tcPr>
          <w:p w14:paraId="4344E993">
            <w:pPr>
              <w:pStyle w:val="27"/>
              <w:snapToGrid w:val="0"/>
              <w:spacing w:line="240" w:lineRule="auto"/>
              <w:ind w:left="0" w:leftChars="0" w:right="0" w:rightChars="0" w:firstLine="0" w:firstLineChars="0"/>
              <w:jc w:val="center"/>
            </w:pPr>
            <w:r>
              <w:t>会议效率、发言时长控制</w:t>
            </w:r>
          </w:p>
        </w:tc>
        <w:tc>
          <w:tcPr>
            <w:tcW w:w="2060" w:type="dxa"/>
            <w:tcBorders>
              <w:top w:val="nil"/>
              <w:left w:val="nil"/>
              <w:bottom w:val="single" w:color="auto" w:sz="12" w:space="0"/>
              <w:right w:val="nil"/>
            </w:tcBorders>
            <w:vAlign w:val="center"/>
          </w:tcPr>
          <w:p w14:paraId="25AD2CE3">
            <w:pPr>
              <w:pStyle w:val="27"/>
              <w:snapToGrid w:val="0"/>
              <w:spacing w:line="240" w:lineRule="auto"/>
              <w:ind w:left="0" w:leftChars="0" w:right="0" w:rightChars="0" w:firstLine="0" w:firstLineChars="0"/>
              <w:jc w:val="center"/>
            </w:pPr>
            <w:r>
              <w:t>议程推进、轮流发言、准时结束</w:t>
            </w:r>
          </w:p>
        </w:tc>
        <w:tc>
          <w:tcPr>
            <w:tcW w:w="2313" w:type="dxa"/>
            <w:tcBorders>
              <w:top w:val="nil"/>
              <w:left w:val="nil"/>
              <w:bottom w:val="single" w:color="auto" w:sz="12" w:space="0"/>
              <w:right w:val="nil"/>
            </w:tcBorders>
            <w:vAlign w:val="center"/>
          </w:tcPr>
          <w:p w14:paraId="529A2B9C">
            <w:pPr>
              <w:pStyle w:val="27"/>
              <w:snapToGrid w:val="0"/>
              <w:spacing w:line="240" w:lineRule="auto"/>
              <w:ind w:left="0" w:leftChars="0" w:right="0" w:rightChars="0" w:firstLine="0" w:firstLineChars="0"/>
              <w:jc w:val="center"/>
            </w:pPr>
            <w:r>
              <w:t>垄断对话、频繁打断、过度延长</w:t>
            </w:r>
          </w:p>
        </w:tc>
      </w:tr>
      <w:bookmarkEnd w:id="34"/>
    </w:tbl>
    <w:p w14:paraId="1A06A3F7">
      <w:pPr>
        <w:pStyle w:val="6"/>
      </w:pPr>
      <w:bookmarkStart w:id="35" w:name="对待异议的反应模式"/>
      <w:r>
        <w:t>5.2.3 对待异议的反应模式</w:t>
      </w:r>
    </w:p>
    <w:p w14:paraId="10DAF49D">
      <w:pPr>
        <w:pStyle w:val="26"/>
      </w:pPr>
      <w:r>
        <w:rPr>
          <w:b/>
          <w:bCs/>
        </w:rPr>
        <w:t>[真实内容]</w:t>
      </w:r>
      <w:r>
        <w:t xml:space="preserve"> 对待异议的反应揭示认知开放性（Cognitive Openness）与冲突处理能力，是团队决策质量的关键预测因子。高绩效创业团队表现出建设性冲突（Constructive Conflict）特征——能够就事论事地挑战假设、检验前提，而非人身攻击。</w:t>
      </w:r>
    </w:p>
    <w:p w14:paraId="19F49E09">
      <w:pPr>
        <w:pStyle w:val="3"/>
      </w:pPr>
      <w:r>
        <w:rPr>
          <w:b/>
          <w:bCs/>
        </w:rPr>
        <w:t>[模拟方法论]</w:t>
      </w:r>
      <w:r>
        <w:t xml:space="preserve"> 反应类型分类：</w:t>
      </w:r>
    </w:p>
    <w:tbl>
      <w:tblPr>
        <w:tblStyle w:val="44"/>
        <w:tblW w:w="9020" w:type="dxa"/>
        <w:jc w:val="center"/>
        <w:tblLayout w:type="autofit"/>
        <w:tblCellMar>
          <w:top w:w="0" w:type="dxa"/>
          <w:left w:w="108" w:type="dxa"/>
          <w:bottom w:w="0" w:type="dxa"/>
          <w:right w:w="108" w:type="dxa"/>
        </w:tblCellMar>
      </w:tblPr>
      <w:tblGrid>
        <w:gridCol w:w="1540"/>
        <w:gridCol w:w="3216"/>
        <w:gridCol w:w="2372"/>
        <w:gridCol w:w="1892"/>
      </w:tblGrid>
      <w:tr w14:paraId="2C8AD69D">
        <w:tblPrEx>
          <w:tblCellMar>
            <w:top w:w="0" w:type="dxa"/>
            <w:left w:w="108" w:type="dxa"/>
            <w:bottom w:w="0" w:type="dxa"/>
            <w:right w:w="108" w:type="dxa"/>
          </w:tblCellMar>
        </w:tblPrEx>
        <w:trPr>
          <w:trHeight w:val="0" w:hRule="atLeast"/>
          <w:tblHeader/>
          <w:jc w:val="center"/>
        </w:trPr>
        <w:tc>
          <w:tcPr>
            <w:tcW w:w="1540" w:type="dxa"/>
            <w:tcBorders>
              <w:top w:val="single" w:color="auto" w:sz="12" w:space="0"/>
              <w:left w:val="nil"/>
              <w:bottom w:val="single" w:color="auto" w:sz="4" w:space="0"/>
              <w:right w:val="nil"/>
            </w:tcBorders>
            <w:vAlign w:val="center"/>
          </w:tcPr>
          <w:p w14:paraId="2901CEB7">
            <w:pPr>
              <w:pStyle w:val="27"/>
              <w:snapToGrid w:val="0"/>
              <w:spacing w:line="240" w:lineRule="auto"/>
              <w:ind w:left="0" w:leftChars="0" w:right="0" w:rightChars="0" w:firstLine="0" w:firstLineChars="0"/>
              <w:jc w:val="center"/>
              <w:rPr>
                <w:b/>
              </w:rPr>
            </w:pPr>
            <w:r>
              <w:rPr>
                <w:b/>
              </w:rPr>
              <w:t>反应类型</w:t>
            </w:r>
          </w:p>
        </w:tc>
        <w:tc>
          <w:tcPr>
            <w:tcW w:w="3216" w:type="dxa"/>
            <w:tcBorders>
              <w:top w:val="single" w:color="auto" w:sz="12" w:space="0"/>
              <w:left w:val="nil"/>
              <w:bottom w:val="single" w:color="auto" w:sz="4" w:space="0"/>
              <w:right w:val="nil"/>
            </w:tcBorders>
            <w:vAlign w:val="center"/>
          </w:tcPr>
          <w:p w14:paraId="073CC18E">
            <w:pPr>
              <w:pStyle w:val="27"/>
              <w:snapToGrid w:val="0"/>
              <w:spacing w:line="240" w:lineRule="auto"/>
              <w:ind w:left="0" w:leftChars="0" w:right="0" w:rightChars="0" w:firstLine="0" w:firstLineChars="0"/>
              <w:jc w:val="center"/>
              <w:rPr>
                <w:b/>
              </w:rPr>
            </w:pPr>
            <w:r>
              <w:rPr>
                <w:b/>
              </w:rPr>
              <w:t>具体表现</w:t>
            </w:r>
          </w:p>
        </w:tc>
        <w:tc>
          <w:tcPr>
            <w:tcW w:w="2372" w:type="dxa"/>
            <w:tcBorders>
              <w:top w:val="single" w:color="auto" w:sz="12" w:space="0"/>
              <w:left w:val="nil"/>
              <w:bottom w:val="single" w:color="auto" w:sz="4" w:space="0"/>
              <w:right w:val="nil"/>
            </w:tcBorders>
            <w:vAlign w:val="center"/>
          </w:tcPr>
          <w:p w14:paraId="6A75CF82">
            <w:pPr>
              <w:pStyle w:val="27"/>
              <w:snapToGrid w:val="0"/>
              <w:spacing w:line="240" w:lineRule="auto"/>
              <w:ind w:left="0" w:leftChars="0" w:right="0" w:rightChars="0" w:firstLine="0" w:firstLineChars="0"/>
              <w:jc w:val="center"/>
              <w:rPr>
                <w:b/>
              </w:rPr>
            </w:pPr>
            <w:r>
              <w:rPr>
                <w:b/>
              </w:rPr>
              <w:t>评估价值</w:t>
            </w:r>
          </w:p>
        </w:tc>
        <w:tc>
          <w:tcPr>
            <w:tcW w:w="1892" w:type="dxa"/>
            <w:tcBorders>
              <w:top w:val="single" w:color="auto" w:sz="12" w:space="0"/>
              <w:left w:val="nil"/>
              <w:bottom w:val="single" w:color="auto" w:sz="4" w:space="0"/>
              <w:right w:val="nil"/>
            </w:tcBorders>
            <w:vAlign w:val="center"/>
          </w:tcPr>
          <w:p w14:paraId="4AD2125F">
            <w:pPr>
              <w:pStyle w:val="27"/>
              <w:snapToGrid w:val="0"/>
              <w:spacing w:line="240" w:lineRule="auto"/>
              <w:ind w:left="0" w:leftChars="0" w:right="0" w:rightChars="0" w:firstLine="0" w:firstLineChars="0"/>
              <w:jc w:val="center"/>
              <w:rPr>
                <w:b/>
              </w:rPr>
            </w:pPr>
            <w:r>
              <w:rPr>
                <w:b/>
              </w:rPr>
              <w:t>情境设计</w:t>
            </w:r>
          </w:p>
        </w:tc>
      </w:tr>
      <w:tr w14:paraId="71F684A4">
        <w:tblPrEx>
          <w:tblCellMar>
            <w:top w:w="0" w:type="dxa"/>
            <w:left w:w="108" w:type="dxa"/>
            <w:bottom w:w="0" w:type="dxa"/>
            <w:right w:w="108" w:type="dxa"/>
          </w:tblCellMar>
        </w:tblPrEx>
        <w:trPr>
          <w:trHeight w:val="0" w:hRule="atLeast"/>
          <w:jc w:val="center"/>
        </w:trPr>
        <w:tc>
          <w:tcPr>
            <w:tcW w:w="1540" w:type="dxa"/>
            <w:tcBorders>
              <w:top w:val="single" w:color="auto" w:sz="4" w:space="0"/>
              <w:left w:val="nil"/>
              <w:bottom w:val="nil"/>
              <w:right w:val="nil"/>
            </w:tcBorders>
            <w:vAlign w:val="center"/>
          </w:tcPr>
          <w:p w14:paraId="47449A1C">
            <w:pPr>
              <w:pStyle w:val="27"/>
              <w:snapToGrid w:val="0"/>
              <w:spacing w:line="240" w:lineRule="auto"/>
              <w:ind w:left="0" w:leftChars="0" w:right="0" w:rightChars="0" w:firstLine="0" w:firstLineChars="0"/>
              <w:jc w:val="center"/>
            </w:pPr>
            <w:r>
              <w:rPr>
                <w:b/>
                <w:bCs/>
              </w:rPr>
              <w:t>认知开放性</w:t>
            </w:r>
          </w:p>
        </w:tc>
        <w:tc>
          <w:tcPr>
            <w:tcW w:w="3216" w:type="dxa"/>
            <w:tcBorders>
              <w:top w:val="single" w:color="auto" w:sz="4" w:space="0"/>
              <w:left w:val="nil"/>
              <w:bottom w:val="nil"/>
              <w:right w:val="nil"/>
            </w:tcBorders>
            <w:vAlign w:val="center"/>
          </w:tcPr>
          <w:p w14:paraId="33A26C66">
            <w:pPr>
              <w:pStyle w:val="27"/>
              <w:snapToGrid w:val="0"/>
              <w:spacing w:line="240" w:lineRule="auto"/>
              <w:ind w:left="0" w:leftChars="0" w:right="0" w:rightChars="0" w:firstLine="0" w:firstLineChars="0"/>
              <w:jc w:val="center"/>
            </w:pPr>
            <w:r>
              <w:t>主动询问不同意见、复述确认理解、整合异议观点</w:t>
            </w:r>
          </w:p>
        </w:tc>
        <w:tc>
          <w:tcPr>
            <w:tcW w:w="2372" w:type="dxa"/>
            <w:tcBorders>
              <w:top w:val="single" w:color="auto" w:sz="4" w:space="0"/>
              <w:left w:val="nil"/>
              <w:bottom w:val="nil"/>
              <w:right w:val="nil"/>
            </w:tcBorders>
            <w:vAlign w:val="center"/>
          </w:tcPr>
          <w:p w14:paraId="2D0ED918">
            <w:pPr>
              <w:pStyle w:val="27"/>
              <w:snapToGrid w:val="0"/>
              <w:spacing w:line="240" w:lineRule="auto"/>
              <w:ind w:left="0" w:leftChars="0" w:right="0" w:rightChars="0" w:firstLine="0" w:firstLineChars="0"/>
              <w:jc w:val="center"/>
            </w:pPr>
            <w:r>
              <w:t>高——预测学习能力和团队决策质量</w:t>
            </w:r>
          </w:p>
        </w:tc>
        <w:tc>
          <w:tcPr>
            <w:tcW w:w="1892" w:type="dxa"/>
            <w:tcBorders>
              <w:top w:val="single" w:color="auto" w:sz="4" w:space="0"/>
              <w:left w:val="nil"/>
              <w:bottom w:val="nil"/>
              <w:right w:val="nil"/>
            </w:tcBorders>
            <w:vAlign w:val="center"/>
          </w:tcPr>
          <w:p w14:paraId="3778DF75">
            <w:pPr>
              <w:pStyle w:val="27"/>
              <w:snapToGrid w:val="0"/>
              <w:spacing w:line="240" w:lineRule="auto"/>
              <w:ind w:left="0" w:leftChars="0" w:right="0" w:rightChars="0" w:firstLine="0" w:firstLineChars="0"/>
              <w:jc w:val="left"/>
            </w:pPr>
            <w:r>
              <w:t>策略性提出温和不同意见</w:t>
            </w:r>
          </w:p>
        </w:tc>
      </w:tr>
      <w:tr w14:paraId="3F52A4CC">
        <w:tblPrEx>
          <w:tblCellMar>
            <w:top w:w="0" w:type="dxa"/>
            <w:left w:w="108" w:type="dxa"/>
            <w:bottom w:w="0" w:type="dxa"/>
            <w:right w:w="108" w:type="dxa"/>
          </w:tblCellMar>
        </w:tblPrEx>
        <w:trPr>
          <w:trHeight w:val="0" w:hRule="atLeast"/>
          <w:jc w:val="center"/>
        </w:trPr>
        <w:tc>
          <w:tcPr>
            <w:tcW w:w="1540" w:type="dxa"/>
            <w:tcBorders>
              <w:top w:val="nil"/>
              <w:left w:val="nil"/>
              <w:bottom w:val="nil"/>
              <w:right w:val="nil"/>
            </w:tcBorders>
            <w:vAlign w:val="center"/>
          </w:tcPr>
          <w:p w14:paraId="6EAAD331">
            <w:pPr>
              <w:pStyle w:val="27"/>
              <w:snapToGrid w:val="0"/>
              <w:spacing w:line="240" w:lineRule="auto"/>
              <w:ind w:left="0" w:leftChars="0" w:right="0" w:rightChars="0" w:firstLine="0" w:firstLineChars="0"/>
              <w:jc w:val="center"/>
            </w:pPr>
            <w:r>
              <w:rPr>
                <w:b/>
                <w:bCs/>
              </w:rPr>
              <w:t>防御机制</w:t>
            </w:r>
          </w:p>
        </w:tc>
        <w:tc>
          <w:tcPr>
            <w:tcW w:w="3216" w:type="dxa"/>
            <w:tcBorders>
              <w:top w:val="nil"/>
              <w:left w:val="nil"/>
              <w:bottom w:val="nil"/>
              <w:right w:val="nil"/>
            </w:tcBorders>
            <w:vAlign w:val="center"/>
          </w:tcPr>
          <w:p w14:paraId="52834F81">
            <w:pPr>
              <w:pStyle w:val="27"/>
              <w:snapToGrid w:val="0"/>
              <w:spacing w:line="240" w:lineRule="auto"/>
              <w:ind w:left="0" w:leftChars="0" w:right="0" w:rightChars="0" w:firstLine="0" w:firstLineChars="0"/>
              <w:jc w:val="center"/>
            </w:pPr>
            <w:r>
              <w:t>解释（澄清背景）vs辩解（推卸责任）、内部vs外部归因</w:t>
            </w:r>
          </w:p>
        </w:tc>
        <w:tc>
          <w:tcPr>
            <w:tcW w:w="2372" w:type="dxa"/>
            <w:tcBorders>
              <w:top w:val="nil"/>
              <w:left w:val="nil"/>
              <w:bottom w:val="nil"/>
              <w:right w:val="nil"/>
            </w:tcBorders>
            <w:vAlign w:val="center"/>
          </w:tcPr>
          <w:p w14:paraId="2F2E1F50">
            <w:pPr>
              <w:pStyle w:val="27"/>
              <w:snapToGrid w:val="0"/>
              <w:spacing w:line="240" w:lineRule="auto"/>
              <w:ind w:left="0" w:leftChars="0" w:right="0" w:rightChars="0" w:firstLine="0" w:firstLineChars="0"/>
              <w:jc w:val="center"/>
            </w:pPr>
            <w:r>
              <w:t>中——预测压力下的自我认知准确性</w:t>
            </w:r>
          </w:p>
        </w:tc>
        <w:tc>
          <w:tcPr>
            <w:tcW w:w="1892" w:type="dxa"/>
            <w:tcBorders>
              <w:top w:val="nil"/>
              <w:left w:val="nil"/>
              <w:bottom w:val="nil"/>
              <w:right w:val="nil"/>
            </w:tcBorders>
            <w:vAlign w:val="center"/>
          </w:tcPr>
          <w:p w14:paraId="165CE4AD">
            <w:pPr>
              <w:pStyle w:val="27"/>
              <w:snapToGrid w:val="0"/>
              <w:spacing w:line="240" w:lineRule="auto"/>
              <w:ind w:left="0" w:leftChars="0" w:right="0" w:rightChars="0" w:firstLine="0" w:firstLineChars="0"/>
              <w:jc w:val="left"/>
            </w:pPr>
            <w:r>
              <w:t>公开质疑或挑战性提问</w:t>
            </w:r>
          </w:p>
        </w:tc>
      </w:tr>
      <w:tr w14:paraId="7D6722D4">
        <w:tblPrEx>
          <w:tblCellMar>
            <w:top w:w="0" w:type="dxa"/>
            <w:left w:w="108" w:type="dxa"/>
            <w:bottom w:w="0" w:type="dxa"/>
            <w:right w:w="108" w:type="dxa"/>
          </w:tblCellMar>
        </w:tblPrEx>
        <w:trPr>
          <w:trHeight w:val="0" w:hRule="atLeast"/>
          <w:jc w:val="center"/>
        </w:trPr>
        <w:tc>
          <w:tcPr>
            <w:tcW w:w="1540" w:type="dxa"/>
            <w:tcBorders>
              <w:top w:val="nil"/>
              <w:left w:val="nil"/>
              <w:bottom w:val="single" w:color="auto" w:sz="12" w:space="0"/>
              <w:right w:val="nil"/>
            </w:tcBorders>
            <w:vAlign w:val="center"/>
          </w:tcPr>
          <w:p w14:paraId="137A83CD">
            <w:pPr>
              <w:pStyle w:val="27"/>
              <w:snapToGrid w:val="0"/>
              <w:spacing w:line="240" w:lineRule="auto"/>
              <w:ind w:left="0" w:leftChars="0" w:right="0" w:rightChars="0" w:firstLine="0" w:firstLineChars="0"/>
              <w:jc w:val="center"/>
            </w:pPr>
            <w:r>
              <w:rPr>
                <w:b/>
                <w:bCs/>
              </w:rPr>
              <w:t>建设性转化</w:t>
            </w:r>
          </w:p>
        </w:tc>
        <w:tc>
          <w:tcPr>
            <w:tcW w:w="3216" w:type="dxa"/>
            <w:tcBorders>
              <w:top w:val="nil"/>
              <w:left w:val="nil"/>
              <w:bottom w:val="single" w:color="auto" w:sz="12" w:space="0"/>
              <w:right w:val="nil"/>
            </w:tcBorders>
            <w:vAlign w:val="center"/>
          </w:tcPr>
          <w:p w14:paraId="6944CDE2">
            <w:pPr>
              <w:pStyle w:val="27"/>
              <w:snapToGrid w:val="0"/>
              <w:spacing w:line="240" w:lineRule="auto"/>
              <w:ind w:left="0" w:leftChars="0" w:right="0" w:rightChars="0" w:firstLine="0" w:firstLineChars="0"/>
              <w:jc w:val="center"/>
            </w:pPr>
            <w:r>
              <w:t>异议到具体改进方案、邀请异议者参与、后续落实</w:t>
            </w:r>
          </w:p>
        </w:tc>
        <w:tc>
          <w:tcPr>
            <w:tcW w:w="2372" w:type="dxa"/>
            <w:tcBorders>
              <w:top w:val="nil"/>
              <w:left w:val="nil"/>
              <w:bottom w:val="single" w:color="auto" w:sz="12" w:space="0"/>
              <w:right w:val="nil"/>
            </w:tcBorders>
            <w:vAlign w:val="center"/>
          </w:tcPr>
          <w:p w14:paraId="0806C75F">
            <w:pPr>
              <w:pStyle w:val="27"/>
              <w:snapToGrid w:val="0"/>
              <w:spacing w:line="240" w:lineRule="auto"/>
              <w:ind w:left="0" w:leftChars="0" w:right="0" w:rightChars="0" w:firstLine="0" w:firstLineChars="0"/>
              <w:jc w:val="center"/>
            </w:pPr>
            <w:r>
              <w:t>高——预测冲突解决和持续改进能力</w:t>
            </w:r>
          </w:p>
        </w:tc>
        <w:tc>
          <w:tcPr>
            <w:tcW w:w="1892" w:type="dxa"/>
            <w:tcBorders>
              <w:top w:val="nil"/>
              <w:left w:val="nil"/>
              <w:bottom w:val="single" w:color="auto" w:sz="12" w:space="0"/>
              <w:right w:val="nil"/>
            </w:tcBorders>
            <w:vAlign w:val="center"/>
          </w:tcPr>
          <w:p w14:paraId="0DD6FF0E">
            <w:pPr>
              <w:pStyle w:val="27"/>
              <w:snapToGrid w:val="0"/>
              <w:spacing w:line="240" w:lineRule="auto"/>
              <w:ind w:left="0" w:leftChars="0" w:right="0" w:rightChars="0" w:firstLine="0" w:firstLineChars="0"/>
              <w:jc w:val="left"/>
            </w:pPr>
            <w:r>
              <w:t>观察历史案例或设计压力情境</w:t>
            </w:r>
          </w:p>
        </w:tc>
      </w:tr>
      <w:bookmarkEnd w:id="35"/>
    </w:tbl>
    <w:p w14:paraId="3ACD595F">
      <w:pPr>
        <w:pStyle w:val="6"/>
      </w:pPr>
      <w:bookmarkStart w:id="36" w:name="压力情境下的行为模式"/>
      <w:r>
        <w:t>5.2.4 压力情境下的行为模式</w:t>
      </w:r>
    </w:p>
    <w:p w14:paraId="16F44E61">
      <w:pPr>
        <w:pStyle w:val="26"/>
      </w:pPr>
      <w:r>
        <w:rPr>
          <w:b/>
          <w:bCs/>
        </w:rPr>
        <w:t>[模拟方法论]</w:t>
      </w:r>
      <w:r>
        <w:t xml:space="preserve"> 压力观察的场景设计需创造或识别自然压力源——行业活动的Q&amp;A环节、突发问题解决需求、或共同朋友聚会中的意外冲突，都是自然发生的压力测试机会。</w:t>
      </w:r>
    </w:p>
    <w:p w14:paraId="228E065E">
      <w:pPr>
        <w:pStyle w:val="3"/>
      </w:pPr>
      <w:r>
        <w:rPr>
          <w:b/>
          <w:bCs/>
        </w:rPr>
        <w:t>[待验证]</w:t>
      </w:r>
      <w:r>
        <w:t xml:space="preserve"> 压力反应评估需建立</w:t>
      </w:r>
      <w:r>
        <w:rPr>
          <w:b/>
          <w:bCs/>
        </w:rPr>
        <w:t>恢复速度指标</w:t>
      </w:r>
      <w:r>
        <w:t>（Recovery Speed）——压力事件后的状态调整速度。快速恢复提示心理韧性，持续影响提示情绪调节或压力管理问题，但该指标的测量需长期跟踪，短期内难以准确评估。</w:t>
      </w:r>
    </w:p>
    <w:bookmarkEnd w:id="32"/>
    <w:bookmarkEnd w:id="36"/>
    <w:p w14:paraId="1B679DE9">
      <w:pPr>
        <w:pStyle w:val="5"/>
      </w:pPr>
      <w:bookmarkStart w:id="37" w:name="隐蔽记录与跟踪机制"/>
      <w:r>
        <w:t>5.3 隐蔽记录与跟踪机制</w:t>
      </w:r>
    </w:p>
    <w:p w14:paraId="1AABFAA5">
      <w:pPr>
        <w:pStyle w:val="6"/>
      </w:pPr>
      <w:bookmarkStart w:id="38" w:name="不引起注意的记录方式"/>
      <w:r>
        <w:t>5.3.1 不引起注意的记录方式</w:t>
      </w:r>
    </w:p>
    <w:p w14:paraId="36041B0F">
      <w:pPr>
        <w:pStyle w:val="26"/>
      </w:pPr>
      <w:r>
        <w:rPr>
          <w:b/>
          <w:bCs/>
        </w:rPr>
        <w:t>[模拟方法论]</w:t>
      </w:r>
      <w:r>
        <w:t xml:space="preserve"> 隐蔽记录是”无感体验”的技术核心，需平衡信息完整性与隐蔽性：</w:t>
      </w:r>
    </w:p>
    <w:p w14:paraId="175DD6A6">
      <w:pPr>
        <w:pStyle w:val="27"/>
        <w:numPr>
          <w:ilvl w:val="0"/>
          <w:numId w:val="2"/>
        </w:numPr>
      </w:pPr>
      <w:r>
        <w:rPr>
          <w:b/>
          <w:bCs/>
        </w:rPr>
        <w:t>即时记录</w:t>
      </w:r>
      <w:r>
        <w:t>：手机备忘录快速输入、语音速记（伪装通话）——观察后30秒内完成，使用预设缩写代码；</w:t>
      </w:r>
    </w:p>
    <w:p w14:paraId="20F9AE08">
      <w:pPr>
        <w:pStyle w:val="27"/>
        <w:numPr>
          <w:ilvl w:val="0"/>
          <w:numId w:val="2"/>
        </w:numPr>
      </w:pPr>
      <w:r>
        <w:rPr>
          <w:b/>
          <w:bCs/>
        </w:rPr>
        <w:t>结构化模板</w:t>
      </w:r>
      <w:r>
        <w:t>：预设观察维度的快速勾选，降低认知负荷，支持多任务处理；</w:t>
      </w:r>
    </w:p>
    <w:p w14:paraId="49C92472">
      <w:pPr>
        <w:pStyle w:val="27"/>
        <w:numPr>
          <w:ilvl w:val="0"/>
          <w:numId w:val="2"/>
        </w:numPr>
      </w:pPr>
      <w:r>
        <w:rPr>
          <w:b/>
          <w:bCs/>
        </w:rPr>
        <w:t>环境融合</w:t>
      </w:r>
      <w:r>
        <w:t>：笔记行为与正常手机使用结合，避免专门的”记录姿态”。</w:t>
      </w:r>
    </w:p>
    <w:bookmarkEnd w:id="38"/>
    <w:p w14:paraId="104F9CF5">
      <w:pPr>
        <w:pStyle w:val="6"/>
      </w:pPr>
      <w:bookmarkStart w:id="39" w:name="事后整理与模式识别"/>
      <w:r>
        <w:t>5.3.2 事后整理与模式识别</w:t>
      </w:r>
    </w:p>
    <w:p w14:paraId="28F2E9A1">
      <w:pPr>
        <w:pStyle w:val="26"/>
      </w:pPr>
      <w:r>
        <w:rPr>
          <w:b/>
          <w:bCs/>
        </w:rPr>
        <w:t>[模拟方法论]</w:t>
      </w:r>
      <w:r>
        <w:t xml:space="preserve"> 事后整理是弥补即时记录简略性的关键环节：</w:t>
      </w:r>
    </w:p>
    <w:p w14:paraId="37658222">
      <w:pPr>
        <w:pStyle w:val="27"/>
        <w:numPr>
          <w:ilvl w:val="0"/>
          <w:numId w:val="4"/>
        </w:numPr>
      </w:pPr>
      <w:r>
        <w:rPr>
          <w:b/>
          <w:bCs/>
        </w:rPr>
        <w:t>24小时内详细补录</w:t>
      </w:r>
      <w:r>
        <w:t>：基于关键词回忆还原完整场景，补充细节（记忆新鲜期，避免信息重构偏差）；</w:t>
      </w:r>
    </w:p>
    <w:p w14:paraId="02DD57D5">
      <w:pPr>
        <w:pStyle w:val="27"/>
        <w:numPr>
          <w:ilvl w:val="0"/>
          <w:numId w:val="4"/>
        </w:numPr>
      </w:pPr>
      <w:r>
        <w:rPr>
          <w:b/>
          <w:bCs/>
        </w:rPr>
        <w:t>行为-情境-解读分离</w:t>
      </w:r>
      <w:r>
        <w:t>：明确区分客观行为、情境条件、主观推断，避免过早结论锁定；</w:t>
      </w:r>
    </w:p>
    <w:p w14:paraId="19022924">
      <w:pPr>
        <w:pStyle w:val="27"/>
        <w:numPr>
          <w:ilvl w:val="0"/>
          <w:numId w:val="4"/>
        </w:numPr>
      </w:pPr>
      <w:r>
        <w:rPr>
          <w:b/>
          <w:bCs/>
        </w:rPr>
        <w:t>多时点对比</w:t>
      </w:r>
      <w:r>
        <w:t>：同一行为在不同情境下的记录并列，识别情境特异性vs跨情境一致性。</w:t>
      </w:r>
    </w:p>
    <w:p w14:paraId="35BE6631">
      <w:pPr>
        <w:pStyle w:val="26"/>
      </w:pPr>
      <w:r>
        <w:rPr>
          <w:b/>
          <w:bCs/>
        </w:rPr>
        <w:t>[模拟方法论]</w:t>
      </w:r>
      <w:r>
        <w:t xml:space="preserve"> 长期跟踪机制（Long-term Tracking Mechanism）是涌现匹配算法的独特价值——通过时间跨度揭示候选人行为的真实模式：</w:t>
      </w:r>
    </w:p>
    <w:p w14:paraId="61CA1C55">
      <w:pPr>
        <w:pStyle w:val="27"/>
        <w:numPr>
          <w:ilvl w:val="0"/>
          <w:numId w:val="2"/>
        </w:numPr>
      </w:pPr>
      <w:r>
        <w:rPr>
          <w:b/>
          <w:bCs/>
        </w:rPr>
        <w:t>观察日志</w:t>
      </w:r>
      <w:r>
        <w:t>：标准化格式（时间戳、场景、行为、初步判断），定期回顾提取重复行为特征；</w:t>
      </w:r>
    </w:p>
    <w:p w14:paraId="625C09BD">
      <w:pPr>
        <w:pStyle w:val="27"/>
        <w:numPr>
          <w:ilvl w:val="0"/>
          <w:numId w:val="2"/>
        </w:numPr>
      </w:pPr>
      <w:r>
        <w:rPr>
          <w:b/>
          <w:bCs/>
        </w:rPr>
        <w:t>模式识别</w:t>
      </w:r>
      <w:r>
        <w:t>：频率&gt;3次、跨情境一致的行为特征，区分稳定特质与情境反应；</w:t>
      </w:r>
    </w:p>
    <w:p w14:paraId="07DC5690">
      <w:pPr>
        <w:pStyle w:val="27"/>
        <w:numPr>
          <w:ilvl w:val="0"/>
          <w:numId w:val="2"/>
        </w:numPr>
      </w:pPr>
      <w:r>
        <w:rPr>
          <w:b/>
          <w:bCs/>
        </w:rPr>
        <w:t>预测验证</w:t>
      </w:r>
      <w:r>
        <w:t>：基于识别模式的行为预测与实际对照，验证评估框架有效性，迭代调整。</w:t>
      </w:r>
    </w:p>
    <w:p w14:paraId="33D01E00">
      <w:r>
        <w:pict>
          <v:rect id="_x0000_i1036" o:spt="1" style="height:1.5pt;width:0pt;" coordsize="21600,21600" o:hr="t" o:hrstd="t" o:hralign="center">
            <v:path/>
            <v:fill focussize="0,0"/>
            <v:stroke/>
            <v:imagedata o:title=""/>
            <o:lock v:ext="edit"/>
            <w10:wrap type="none"/>
            <w10:anchorlock/>
          </v:rect>
        </w:pict>
      </w:r>
    </w:p>
    <w:bookmarkEnd w:id="27"/>
    <w:bookmarkEnd w:id="37"/>
    <w:bookmarkEnd w:id="39"/>
    <w:p w14:paraId="320580CA">
      <w:pPr>
        <w:pStyle w:val="4"/>
      </w:pPr>
      <w:bookmarkStart w:id="40" w:name="整合评估框架integrative-evaluation-framework"/>
      <w:r>
        <w:t>6. 整合评估框架（Integrative Evaluation Framework）</w:t>
      </w:r>
    </w:p>
    <w:p w14:paraId="310ACF2C">
      <w:pPr>
        <w:pStyle w:val="5"/>
      </w:pPr>
      <w:bookmarkStart w:id="41" w:name="三模块信息整合与三角验证"/>
      <w:r>
        <w:t>6.1 三模块信息整合与三角验证</w:t>
      </w:r>
    </w:p>
    <w:p w14:paraId="6FFA4150">
      <w:pPr>
        <w:pStyle w:val="6"/>
      </w:pPr>
      <w:bookmarkStart w:id="42" w:name="信息类型互补性映射"/>
      <w:r>
        <w:t>6.1.1 信息类型互补性映射</w:t>
      </w:r>
    </w:p>
    <w:p w14:paraId="24DDAA1C">
      <w:pPr>
        <w:pStyle w:val="26"/>
      </w:pPr>
      <w:r>
        <w:rPr>
          <w:b/>
          <w:bCs/>
        </w:rPr>
        <w:t>[真实内容]</w:t>
      </w:r>
      <w:r>
        <w:t xml:space="preserve"> 多源数据三角验证（Triangulation）是提升研究信度的经典策略，通过整合不同来源、方法或理论视角的数据，减少单一方法偏差。在人员评估中，结合简历分析（Document Analysis）、背景调查（Reference Check）与行为观察（Behavioral Observation）可显著提升预测效度。</w:t>
      </w:r>
    </w:p>
    <w:p w14:paraId="62649BD1">
      <w:pPr>
        <w:pStyle w:val="3"/>
      </w:pPr>
      <w:r>
        <w:rPr>
          <w:b/>
          <w:bCs/>
        </w:rPr>
        <w:t>[模拟方法论]</w:t>
      </w:r>
      <w:r>
        <w:t xml:space="preserve"> 三模块信息类型互补性：</w:t>
      </w:r>
    </w:p>
    <w:tbl>
      <w:tblPr>
        <w:tblStyle w:val="44"/>
        <w:tblW w:w="9981" w:type="dxa"/>
        <w:jc w:val="center"/>
        <w:tblLayout w:type="autofit"/>
        <w:tblCellMar>
          <w:top w:w="0" w:type="dxa"/>
          <w:left w:w="108" w:type="dxa"/>
          <w:bottom w:w="0" w:type="dxa"/>
          <w:right w:w="108" w:type="dxa"/>
        </w:tblCellMar>
      </w:tblPr>
      <w:tblGrid>
        <w:gridCol w:w="1299"/>
        <w:gridCol w:w="2625"/>
        <w:gridCol w:w="1900"/>
        <w:gridCol w:w="2376"/>
        <w:gridCol w:w="1781"/>
      </w:tblGrid>
      <w:tr w14:paraId="5AC3C8C7">
        <w:tblPrEx>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single" w:color="auto" w:sz="4" w:space="0"/>
              <w:right w:val="nil"/>
            </w:tcBorders>
            <w:vAlign w:val="center"/>
          </w:tcPr>
          <w:p w14:paraId="7B0B5E35">
            <w:pPr>
              <w:pStyle w:val="27"/>
              <w:snapToGrid w:val="0"/>
              <w:spacing w:line="240" w:lineRule="auto"/>
              <w:ind w:left="0" w:leftChars="0" w:right="0" w:rightChars="0" w:firstLine="0" w:firstLineChars="0"/>
              <w:jc w:val="center"/>
              <w:rPr>
                <w:b/>
              </w:rPr>
            </w:pPr>
            <w:r>
              <w:rPr>
                <w:b/>
              </w:rPr>
              <w:t>模块</w:t>
            </w:r>
          </w:p>
        </w:tc>
        <w:tc>
          <w:tcPr>
            <w:tcW w:w="2625" w:type="dxa"/>
            <w:tcBorders>
              <w:top w:val="single" w:color="auto" w:sz="12" w:space="0"/>
              <w:left w:val="nil"/>
              <w:bottom w:val="single" w:color="auto" w:sz="4" w:space="0"/>
              <w:right w:val="nil"/>
            </w:tcBorders>
            <w:vAlign w:val="center"/>
          </w:tcPr>
          <w:p w14:paraId="0E870999">
            <w:pPr>
              <w:pStyle w:val="27"/>
              <w:snapToGrid w:val="0"/>
              <w:spacing w:line="240" w:lineRule="auto"/>
              <w:ind w:left="0" w:leftChars="0" w:right="0" w:rightChars="0" w:firstLine="0" w:firstLineChars="0"/>
              <w:jc w:val="center"/>
              <w:rPr>
                <w:b/>
              </w:rPr>
            </w:pPr>
            <w:r>
              <w:rPr>
                <w:b/>
              </w:rPr>
              <w:t>核心信息类型</w:t>
            </w:r>
          </w:p>
        </w:tc>
        <w:tc>
          <w:tcPr>
            <w:tcW w:w="1900" w:type="dxa"/>
            <w:tcBorders>
              <w:top w:val="single" w:color="auto" w:sz="12" w:space="0"/>
              <w:left w:val="nil"/>
              <w:bottom w:val="single" w:color="auto" w:sz="4" w:space="0"/>
              <w:right w:val="nil"/>
            </w:tcBorders>
            <w:vAlign w:val="center"/>
          </w:tcPr>
          <w:p w14:paraId="1A1DAFFB">
            <w:pPr>
              <w:pStyle w:val="27"/>
              <w:snapToGrid w:val="0"/>
              <w:spacing w:line="240" w:lineRule="auto"/>
              <w:ind w:left="0" w:leftChars="0" w:right="0" w:rightChars="0" w:firstLine="0" w:firstLineChars="0"/>
              <w:jc w:val="center"/>
              <w:rPr>
                <w:b/>
              </w:rPr>
            </w:pPr>
            <w:r>
              <w:rPr>
                <w:b/>
              </w:rPr>
              <w:t>典型证据</w:t>
            </w:r>
          </w:p>
        </w:tc>
        <w:tc>
          <w:tcPr>
            <w:tcW w:w="2376" w:type="dxa"/>
            <w:tcBorders>
              <w:top w:val="single" w:color="auto" w:sz="12" w:space="0"/>
              <w:left w:val="nil"/>
              <w:bottom w:val="single" w:color="auto" w:sz="4" w:space="0"/>
              <w:right w:val="nil"/>
            </w:tcBorders>
            <w:vAlign w:val="center"/>
          </w:tcPr>
          <w:p w14:paraId="773749C1">
            <w:pPr>
              <w:pStyle w:val="27"/>
              <w:snapToGrid w:val="0"/>
              <w:spacing w:line="240" w:lineRule="auto"/>
              <w:ind w:left="0" w:leftChars="0" w:right="0" w:rightChars="0" w:firstLine="0" w:firstLineChars="0"/>
              <w:jc w:val="center"/>
              <w:rPr>
                <w:b/>
              </w:rPr>
            </w:pPr>
            <w:r>
              <w:rPr>
                <w:b/>
              </w:rPr>
              <w:t>主要局限</w:t>
            </w:r>
          </w:p>
        </w:tc>
        <w:tc>
          <w:tcPr>
            <w:tcW w:w="1781" w:type="dxa"/>
            <w:tcBorders>
              <w:top w:val="single" w:color="auto" w:sz="12" w:space="0"/>
              <w:left w:val="nil"/>
              <w:bottom w:val="single" w:color="auto" w:sz="4" w:space="0"/>
              <w:right w:val="nil"/>
            </w:tcBorders>
            <w:vAlign w:val="center"/>
          </w:tcPr>
          <w:p w14:paraId="0B169A57">
            <w:pPr>
              <w:pStyle w:val="27"/>
              <w:snapToGrid w:val="0"/>
              <w:spacing w:line="240" w:lineRule="auto"/>
              <w:ind w:left="0" w:leftChars="0" w:right="0" w:rightChars="0" w:firstLine="0" w:firstLineChars="0"/>
              <w:jc w:val="center"/>
              <w:rPr>
                <w:b/>
              </w:rPr>
            </w:pPr>
            <w:r>
              <w:rPr>
                <w:b/>
              </w:rPr>
              <w:t>最佳应用场景</w:t>
            </w:r>
          </w:p>
        </w:tc>
      </w:tr>
      <w:tr w14:paraId="78F4FAE3">
        <w:tblPrEx>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vAlign w:val="center"/>
          </w:tcPr>
          <w:p w14:paraId="71D60BA8">
            <w:pPr>
              <w:pStyle w:val="27"/>
              <w:snapToGrid w:val="0"/>
              <w:spacing w:line="240" w:lineRule="auto"/>
              <w:ind w:left="0" w:leftChars="0" w:right="0" w:rightChars="0" w:firstLine="0" w:firstLineChars="0"/>
              <w:jc w:val="center"/>
            </w:pPr>
            <w:r>
              <w:rPr>
                <w:b/>
                <w:bCs/>
              </w:rPr>
              <w:t>数据挖掘</w:t>
            </w:r>
          </w:p>
        </w:tc>
        <w:tc>
          <w:tcPr>
            <w:tcW w:w="2625" w:type="dxa"/>
            <w:tcBorders>
              <w:top w:val="single" w:color="auto" w:sz="4" w:space="0"/>
              <w:left w:val="nil"/>
              <w:bottom w:val="nil"/>
              <w:right w:val="nil"/>
            </w:tcBorders>
            <w:vAlign w:val="center"/>
          </w:tcPr>
          <w:p w14:paraId="0E82BF29">
            <w:pPr>
              <w:pStyle w:val="27"/>
              <w:snapToGrid w:val="0"/>
              <w:spacing w:line="240" w:lineRule="auto"/>
              <w:ind w:left="0" w:leftChars="0" w:right="0" w:rightChars="0" w:firstLine="0" w:firstLineChars="0"/>
              <w:jc w:val="center"/>
            </w:pPr>
            <w:r>
              <w:t>能力证据（硬技能、经验、成就）</w:t>
            </w:r>
          </w:p>
        </w:tc>
        <w:tc>
          <w:tcPr>
            <w:tcW w:w="1900" w:type="dxa"/>
            <w:tcBorders>
              <w:top w:val="single" w:color="auto" w:sz="4" w:space="0"/>
              <w:left w:val="nil"/>
              <w:bottom w:val="nil"/>
              <w:right w:val="nil"/>
            </w:tcBorders>
            <w:vAlign w:val="center"/>
          </w:tcPr>
          <w:p w14:paraId="52FE636D">
            <w:pPr>
              <w:pStyle w:val="27"/>
              <w:snapToGrid w:val="0"/>
              <w:spacing w:line="240" w:lineRule="auto"/>
              <w:ind w:left="0" w:leftChars="0" w:right="0" w:rightChars="0" w:firstLine="0" w:firstLineChars="0"/>
              <w:jc w:val="left"/>
            </w:pPr>
            <w:r>
              <w:t>履历记录、学术产出、项目成果</w:t>
            </w:r>
          </w:p>
        </w:tc>
        <w:tc>
          <w:tcPr>
            <w:tcW w:w="2376" w:type="dxa"/>
            <w:tcBorders>
              <w:top w:val="single" w:color="auto" w:sz="4" w:space="0"/>
              <w:left w:val="nil"/>
              <w:bottom w:val="nil"/>
              <w:right w:val="nil"/>
            </w:tcBorders>
            <w:vAlign w:val="center"/>
          </w:tcPr>
          <w:p w14:paraId="02D3065E">
            <w:pPr>
              <w:pStyle w:val="27"/>
              <w:snapToGrid w:val="0"/>
              <w:spacing w:line="240" w:lineRule="auto"/>
              <w:ind w:left="0" w:leftChars="0" w:right="0" w:rightChars="0" w:firstLine="0" w:firstLineChars="0"/>
              <w:jc w:val="left"/>
            </w:pPr>
            <w:r>
              <w:t>静态快照、自我呈现偏差、时间滞后</w:t>
            </w:r>
          </w:p>
        </w:tc>
        <w:tc>
          <w:tcPr>
            <w:tcW w:w="1781" w:type="dxa"/>
            <w:tcBorders>
              <w:top w:val="single" w:color="auto" w:sz="4" w:space="0"/>
              <w:left w:val="nil"/>
              <w:bottom w:val="nil"/>
              <w:right w:val="nil"/>
            </w:tcBorders>
            <w:vAlign w:val="center"/>
          </w:tcPr>
          <w:p w14:paraId="428E374B">
            <w:pPr>
              <w:pStyle w:val="27"/>
              <w:snapToGrid w:val="0"/>
              <w:spacing w:line="240" w:lineRule="auto"/>
              <w:ind w:left="0" w:leftChars="0" w:right="0" w:rightChars="0" w:firstLine="0" w:firstLineChars="0"/>
              <w:jc w:val="left"/>
            </w:pPr>
            <w:r>
              <w:t>初步筛选、技术深度验证、资质门槛判断</w:t>
            </w:r>
          </w:p>
        </w:tc>
      </w:tr>
      <w:tr w14:paraId="4A837F0A">
        <w:tblPrEx>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vAlign w:val="center"/>
          </w:tcPr>
          <w:p w14:paraId="14BE631F">
            <w:pPr>
              <w:pStyle w:val="27"/>
              <w:snapToGrid w:val="0"/>
              <w:spacing w:line="240" w:lineRule="auto"/>
              <w:ind w:left="0" w:leftChars="0" w:right="0" w:rightChars="0" w:firstLine="0" w:firstLineChars="0"/>
              <w:jc w:val="center"/>
            </w:pPr>
            <w:r>
              <w:rPr>
                <w:b/>
                <w:bCs/>
              </w:rPr>
              <w:t>社交图谱</w:t>
            </w:r>
          </w:p>
        </w:tc>
        <w:tc>
          <w:tcPr>
            <w:tcW w:w="2625" w:type="dxa"/>
            <w:tcBorders>
              <w:top w:val="nil"/>
              <w:left w:val="nil"/>
              <w:bottom w:val="nil"/>
              <w:right w:val="nil"/>
            </w:tcBorders>
            <w:vAlign w:val="center"/>
          </w:tcPr>
          <w:p w14:paraId="598E19EA">
            <w:pPr>
              <w:pStyle w:val="27"/>
              <w:snapToGrid w:val="0"/>
              <w:spacing w:line="240" w:lineRule="auto"/>
              <w:ind w:left="0" w:leftChars="0" w:right="0" w:rightChars="0" w:firstLine="0" w:firstLineChars="0"/>
              <w:jc w:val="center"/>
            </w:pPr>
            <w:r>
              <w:t>社会资本（人脉质量、声誉、关系能力）</w:t>
            </w:r>
          </w:p>
        </w:tc>
        <w:tc>
          <w:tcPr>
            <w:tcW w:w="1900" w:type="dxa"/>
            <w:tcBorders>
              <w:top w:val="nil"/>
              <w:left w:val="nil"/>
              <w:bottom w:val="nil"/>
              <w:right w:val="nil"/>
            </w:tcBorders>
            <w:vAlign w:val="center"/>
          </w:tcPr>
          <w:p w14:paraId="6C6E2C19">
            <w:pPr>
              <w:pStyle w:val="27"/>
              <w:snapToGrid w:val="0"/>
              <w:spacing w:line="240" w:lineRule="auto"/>
              <w:ind w:left="0" w:leftChars="0" w:right="0" w:rightChars="0" w:firstLine="0" w:firstLineChars="0"/>
              <w:jc w:val="left"/>
            </w:pPr>
            <w:r>
              <w:t>网络结构、共同联系人评价、行业口碑</w:t>
            </w:r>
          </w:p>
        </w:tc>
        <w:tc>
          <w:tcPr>
            <w:tcW w:w="2376" w:type="dxa"/>
            <w:tcBorders>
              <w:top w:val="nil"/>
              <w:left w:val="nil"/>
              <w:bottom w:val="nil"/>
              <w:right w:val="nil"/>
            </w:tcBorders>
            <w:vAlign w:val="center"/>
          </w:tcPr>
          <w:p w14:paraId="32E8747C">
            <w:pPr>
              <w:pStyle w:val="27"/>
              <w:snapToGrid w:val="0"/>
              <w:spacing w:line="240" w:lineRule="auto"/>
              <w:ind w:left="0" w:leftChars="0" w:right="0" w:rightChars="0" w:firstLine="0" w:firstLineChars="0"/>
              <w:jc w:val="left"/>
            </w:pPr>
            <w:r>
              <w:t>关系维护成本、网络操纵可能、信息碎片化</w:t>
            </w:r>
          </w:p>
        </w:tc>
        <w:tc>
          <w:tcPr>
            <w:tcW w:w="1781" w:type="dxa"/>
            <w:tcBorders>
              <w:top w:val="nil"/>
              <w:left w:val="nil"/>
              <w:bottom w:val="nil"/>
              <w:right w:val="nil"/>
            </w:tcBorders>
            <w:vAlign w:val="center"/>
          </w:tcPr>
          <w:p w14:paraId="555DC76A">
            <w:pPr>
              <w:pStyle w:val="27"/>
              <w:snapToGrid w:val="0"/>
              <w:spacing w:line="240" w:lineRule="auto"/>
              <w:ind w:left="0" w:leftChars="0" w:right="0" w:rightChars="0" w:firstLine="0" w:firstLineChars="0"/>
              <w:jc w:val="left"/>
            </w:pPr>
            <w:r>
              <w:t>资源动员潜力、信任传递效率、合作网络评估</w:t>
            </w:r>
          </w:p>
        </w:tc>
      </w:tr>
      <w:tr w14:paraId="7C3B2ADD">
        <w:tblPrEx>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vAlign w:val="center"/>
          </w:tcPr>
          <w:p w14:paraId="3E55532C">
            <w:pPr>
              <w:pStyle w:val="27"/>
              <w:snapToGrid w:val="0"/>
              <w:spacing w:line="240" w:lineRule="auto"/>
              <w:ind w:left="0" w:leftChars="0" w:right="0" w:rightChars="0" w:firstLine="0" w:firstLineChars="0"/>
              <w:jc w:val="center"/>
            </w:pPr>
            <w:r>
              <w:rPr>
                <w:b/>
                <w:bCs/>
              </w:rPr>
              <w:t>互动观察</w:t>
            </w:r>
          </w:p>
        </w:tc>
        <w:tc>
          <w:tcPr>
            <w:tcW w:w="2625" w:type="dxa"/>
            <w:tcBorders>
              <w:top w:val="nil"/>
              <w:left w:val="nil"/>
              <w:bottom w:val="single" w:color="auto" w:sz="12" w:space="0"/>
              <w:right w:val="nil"/>
            </w:tcBorders>
            <w:vAlign w:val="center"/>
          </w:tcPr>
          <w:p w14:paraId="21B1EF48">
            <w:pPr>
              <w:pStyle w:val="27"/>
              <w:snapToGrid w:val="0"/>
              <w:spacing w:line="240" w:lineRule="auto"/>
              <w:ind w:left="0" w:leftChars="0" w:right="0" w:rightChars="0" w:firstLine="0" w:firstLineChars="0"/>
              <w:jc w:val="center"/>
            </w:pPr>
            <w:r>
              <w:t>行为模式（价值观、性格特质、情境反应）</w:t>
            </w:r>
          </w:p>
        </w:tc>
        <w:tc>
          <w:tcPr>
            <w:tcW w:w="1900" w:type="dxa"/>
            <w:tcBorders>
              <w:top w:val="nil"/>
              <w:left w:val="nil"/>
              <w:bottom w:val="single" w:color="auto" w:sz="12" w:space="0"/>
              <w:right w:val="nil"/>
            </w:tcBorders>
            <w:vAlign w:val="center"/>
          </w:tcPr>
          <w:p w14:paraId="1CCD1B93">
            <w:pPr>
              <w:pStyle w:val="27"/>
              <w:snapToGrid w:val="0"/>
              <w:spacing w:line="240" w:lineRule="auto"/>
              <w:ind w:left="0" w:leftChars="0" w:right="0" w:rightChars="0" w:firstLine="0" w:firstLineChars="0"/>
              <w:jc w:val="left"/>
            </w:pPr>
            <w:r>
              <w:t>自然情境行为记录、压力反应</w:t>
            </w:r>
          </w:p>
        </w:tc>
        <w:tc>
          <w:tcPr>
            <w:tcW w:w="2376" w:type="dxa"/>
            <w:tcBorders>
              <w:top w:val="nil"/>
              <w:left w:val="nil"/>
              <w:bottom w:val="single" w:color="auto" w:sz="12" w:space="0"/>
              <w:right w:val="nil"/>
            </w:tcBorders>
            <w:vAlign w:val="center"/>
          </w:tcPr>
          <w:p w14:paraId="772D34D9">
            <w:pPr>
              <w:pStyle w:val="27"/>
              <w:snapToGrid w:val="0"/>
              <w:spacing w:line="240" w:lineRule="auto"/>
              <w:ind w:left="0" w:leftChars="0" w:right="0" w:rightChars="0" w:firstLine="0" w:firstLineChars="0"/>
              <w:jc w:val="left"/>
            </w:pPr>
            <w:r>
              <w:t>样本有限、观察者偏见、情境依赖</w:t>
            </w:r>
          </w:p>
        </w:tc>
        <w:tc>
          <w:tcPr>
            <w:tcW w:w="1781" w:type="dxa"/>
            <w:tcBorders>
              <w:top w:val="nil"/>
              <w:left w:val="nil"/>
              <w:bottom w:val="single" w:color="auto" w:sz="12" w:space="0"/>
              <w:right w:val="nil"/>
            </w:tcBorders>
            <w:vAlign w:val="center"/>
          </w:tcPr>
          <w:p w14:paraId="2D1DA875">
            <w:pPr>
              <w:pStyle w:val="27"/>
              <w:snapToGrid w:val="0"/>
              <w:spacing w:line="240" w:lineRule="auto"/>
              <w:ind w:left="0" w:leftChars="0" w:right="0" w:rightChars="0" w:firstLine="0" w:firstLineChars="0"/>
              <w:jc w:val="left"/>
            </w:pPr>
            <w:r>
              <w:t>最终确认、价值观契合度、长期合作预测</w:t>
            </w:r>
          </w:p>
        </w:tc>
      </w:tr>
    </w:tbl>
    <w:p w14:paraId="04C70C13">
      <w:pPr>
        <w:pStyle w:val="3"/>
      </w:pPr>
      <w:r>
        <w:rPr>
          <w:b/>
          <w:bCs/>
        </w:rPr>
        <w:t>[模拟方法论]</w:t>
      </w:r>
      <w:r>
        <w:t xml:space="preserve"> 整合逻辑遵循</w:t>
      </w:r>
      <w:r>
        <w:rPr>
          <w:b/>
          <w:bCs/>
        </w:rPr>
        <w:t>三角验证原则</w:t>
      </w:r>
      <w:r>
        <w:t>：同一特质的多源证据汇聚增强信心，矛盾证据触发深入调查，信息缺口指导后续收集方向。数据挖掘回答”能否做”（Can Do），社交图谱回答”能否做成”（Can Get It Done），互动观察回答”能否长期合作”（Can Work Together Long-term）。</w:t>
      </w:r>
    </w:p>
    <w:bookmarkEnd w:id="42"/>
    <w:p w14:paraId="4C9795AF">
      <w:pPr>
        <w:pStyle w:val="6"/>
      </w:pPr>
      <w:bookmarkStart w:id="43" w:name="矛盾信息处理机制"/>
      <w:r>
        <w:t>6.1.2 矛盾信息处理机制</w:t>
      </w:r>
    </w:p>
    <w:p w14:paraId="643ED982">
      <w:pPr>
        <w:pStyle w:val="26"/>
      </w:pPr>
      <w:r>
        <w:rPr>
          <w:b/>
          <w:bCs/>
        </w:rPr>
        <w:t>[模拟方法论]</w:t>
      </w:r>
      <w:r>
        <w:t xml:space="preserve"> 三模块信息可能出现矛盾，需系统化处理：</w:t>
      </w:r>
    </w:p>
    <w:p w14:paraId="372EBD3F">
      <w:pPr>
        <w:pStyle w:val="27"/>
        <w:numPr>
          <w:ilvl w:val="0"/>
          <w:numId w:val="5"/>
        </w:numPr>
      </w:pPr>
      <w:r>
        <w:rPr>
          <w:b/>
          <w:bCs/>
        </w:rPr>
        <w:t>来源可靠性冲突</w:t>
      </w:r>
      <w:r>
        <w:t>：优先采信高可信度来源——当数据挖掘与互动观察冲突时，优先采信互动观察（更难伪装）；当社交图谱与自我陈述冲突时，优先采信社交图谱（第三方视角）；</w:t>
      </w:r>
    </w:p>
    <w:p w14:paraId="22C6E621">
      <w:pPr>
        <w:pStyle w:val="27"/>
        <w:numPr>
          <w:ilvl w:val="0"/>
          <w:numId w:val="5"/>
        </w:numPr>
      </w:pPr>
      <w:r>
        <w:rPr>
          <w:b/>
          <w:bCs/>
        </w:rPr>
        <w:t>情境特异性解释</w:t>
      </w:r>
      <w:r>
        <w:t>：识别矛盾的情境根源——候选人在高压谈判中的强硬表现 vs 合作场景中的妥协意愿，反映情境适应性而非不一致；</w:t>
      </w:r>
    </w:p>
    <w:p w14:paraId="4E286053">
      <w:pPr>
        <w:pStyle w:val="27"/>
        <w:numPr>
          <w:ilvl w:val="0"/>
          <w:numId w:val="5"/>
        </w:numPr>
      </w:pPr>
      <w:r>
        <w:rPr>
          <w:b/>
          <w:bCs/>
        </w:rPr>
        <w:t>核心-边缘特质区分</w:t>
      </w:r>
      <w:r>
        <w:t>：核心特质（诚信、价值观）矛盾需深入调查，边缘特质（表达风格偏好）可适度容忍。</w:t>
      </w:r>
    </w:p>
    <w:bookmarkEnd w:id="41"/>
    <w:bookmarkEnd w:id="43"/>
    <w:p w14:paraId="7D30D46D">
      <w:pPr>
        <w:pStyle w:val="5"/>
      </w:pPr>
      <w:bookmarkStart w:id="44" w:name="权重分配与场景适配"/>
      <w:r>
        <w:t>6.2 权重分配与场景适配</w:t>
      </w:r>
    </w:p>
    <w:p w14:paraId="4D04B061">
      <w:pPr>
        <w:pStyle w:val="6"/>
      </w:pPr>
      <w:bookmarkStart w:id="45" w:name="基于创业类型的动态权重"/>
      <w:r>
        <w:t>6.2.1 基于创业类型的动态权重</w:t>
      </w:r>
    </w:p>
    <w:p w14:paraId="20D446E9">
      <w:pPr>
        <w:pStyle w:val="26"/>
      </w:pPr>
      <w:r>
        <w:rPr>
          <w:b/>
          <w:bCs/>
        </w:rPr>
        <w:t>[模拟方法论]</w:t>
      </w:r>
      <w:r>
        <w:t xml:space="preserve"> 权重分配需根据创业类型与合伙人角色进行场景化调整：</w:t>
      </w:r>
    </w:p>
    <w:tbl>
      <w:tblPr>
        <w:tblStyle w:val="44"/>
        <w:tblW w:w="8409" w:type="dxa"/>
        <w:jc w:val="center"/>
        <w:tblLayout w:type="autofit"/>
        <w:tblCellMar>
          <w:top w:w="0" w:type="dxa"/>
          <w:left w:w="108" w:type="dxa"/>
          <w:bottom w:w="0" w:type="dxa"/>
          <w:right w:w="108" w:type="dxa"/>
        </w:tblCellMar>
      </w:tblPr>
      <w:tblGrid>
        <w:gridCol w:w="2376"/>
        <w:gridCol w:w="1299"/>
        <w:gridCol w:w="1299"/>
        <w:gridCol w:w="1299"/>
        <w:gridCol w:w="2136"/>
      </w:tblGrid>
      <w:tr w14:paraId="067BF86F">
        <w:tblPrEx>
          <w:tblCellMar>
            <w:top w:w="0" w:type="dxa"/>
            <w:left w:w="108" w:type="dxa"/>
            <w:bottom w:w="0" w:type="dxa"/>
            <w:right w:w="108" w:type="dxa"/>
          </w:tblCellMar>
        </w:tblPrEx>
        <w:trPr>
          <w:trHeight w:val="0" w:hRule="atLeast"/>
          <w:tblHeader/>
          <w:jc w:val="center"/>
        </w:trPr>
        <w:tc>
          <w:tcPr>
            <w:tcW w:w="2376" w:type="dxa"/>
            <w:tcBorders>
              <w:top w:val="single" w:color="auto" w:sz="12" w:space="0"/>
              <w:left w:val="nil"/>
              <w:bottom w:val="single" w:color="auto" w:sz="4" w:space="0"/>
              <w:right w:val="nil"/>
            </w:tcBorders>
            <w:vAlign w:val="center"/>
          </w:tcPr>
          <w:p w14:paraId="2991B997">
            <w:pPr>
              <w:pStyle w:val="27"/>
              <w:snapToGrid w:val="0"/>
              <w:spacing w:line="240" w:lineRule="auto"/>
              <w:ind w:left="0" w:leftChars="0" w:right="0" w:rightChars="0" w:firstLine="0" w:firstLineChars="0"/>
              <w:jc w:val="center"/>
              <w:rPr>
                <w:b/>
              </w:rPr>
            </w:pPr>
            <w:r>
              <w:rPr>
                <w:b/>
              </w:rPr>
              <w:t>创业类型</w:t>
            </w:r>
          </w:p>
        </w:tc>
        <w:tc>
          <w:tcPr>
            <w:tcW w:w="1299" w:type="dxa"/>
            <w:tcBorders>
              <w:top w:val="single" w:color="auto" w:sz="12" w:space="0"/>
              <w:left w:val="nil"/>
              <w:bottom w:val="single" w:color="auto" w:sz="4" w:space="0"/>
              <w:right w:val="nil"/>
            </w:tcBorders>
            <w:vAlign w:val="center"/>
          </w:tcPr>
          <w:p w14:paraId="0B63BE1B">
            <w:pPr>
              <w:pStyle w:val="27"/>
              <w:snapToGrid w:val="0"/>
              <w:spacing w:line="240" w:lineRule="auto"/>
              <w:ind w:left="0" w:leftChars="0" w:right="0" w:rightChars="0" w:firstLine="0" w:firstLineChars="0"/>
              <w:jc w:val="center"/>
              <w:rPr>
                <w:b/>
              </w:rPr>
            </w:pPr>
            <w:r>
              <w:rPr>
                <w:b/>
              </w:rPr>
              <w:t>数据挖掘</w:t>
            </w:r>
          </w:p>
        </w:tc>
        <w:tc>
          <w:tcPr>
            <w:tcW w:w="1299" w:type="dxa"/>
            <w:tcBorders>
              <w:top w:val="single" w:color="auto" w:sz="12" w:space="0"/>
              <w:left w:val="nil"/>
              <w:bottom w:val="single" w:color="auto" w:sz="4" w:space="0"/>
              <w:right w:val="nil"/>
            </w:tcBorders>
            <w:vAlign w:val="center"/>
          </w:tcPr>
          <w:p w14:paraId="383A4E00">
            <w:pPr>
              <w:pStyle w:val="27"/>
              <w:snapToGrid w:val="0"/>
              <w:spacing w:line="240" w:lineRule="auto"/>
              <w:ind w:left="0" w:leftChars="0" w:right="0" w:rightChars="0" w:firstLine="0" w:firstLineChars="0"/>
              <w:jc w:val="center"/>
              <w:rPr>
                <w:b/>
              </w:rPr>
            </w:pPr>
            <w:r>
              <w:rPr>
                <w:b/>
              </w:rPr>
              <w:t>社交图谱</w:t>
            </w:r>
          </w:p>
        </w:tc>
        <w:tc>
          <w:tcPr>
            <w:tcW w:w="1299" w:type="dxa"/>
            <w:tcBorders>
              <w:top w:val="single" w:color="auto" w:sz="12" w:space="0"/>
              <w:left w:val="nil"/>
              <w:bottom w:val="single" w:color="auto" w:sz="4" w:space="0"/>
              <w:right w:val="nil"/>
            </w:tcBorders>
            <w:vAlign w:val="center"/>
          </w:tcPr>
          <w:p w14:paraId="3277A457">
            <w:pPr>
              <w:pStyle w:val="27"/>
              <w:snapToGrid w:val="0"/>
              <w:spacing w:line="240" w:lineRule="auto"/>
              <w:ind w:left="0" w:leftChars="0" w:right="0" w:rightChars="0" w:firstLine="0" w:firstLineChars="0"/>
              <w:jc w:val="center"/>
              <w:rPr>
                <w:b/>
              </w:rPr>
            </w:pPr>
            <w:r>
              <w:rPr>
                <w:b/>
              </w:rPr>
              <w:t>互动观察</w:t>
            </w:r>
          </w:p>
        </w:tc>
        <w:tc>
          <w:tcPr>
            <w:tcW w:w="2136" w:type="dxa"/>
            <w:tcBorders>
              <w:top w:val="single" w:color="auto" w:sz="12" w:space="0"/>
              <w:left w:val="nil"/>
              <w:bottom w:val="single" w:color="auto" w:sz="4" w:space="0"/>
              <w:right w:val="nil"/>
            </w:tcBorders>
            <w:vAlign w:val="center"/>
          </w:tcPr>
          <w:p w14:paraId="0BDAC8D8">
            <w:pPr>
              <w:pStyle w:val="27"/>
              <w:snapToGrid w:val="0"/>
              <w:spacing w:line="240" w:lineRule="auto"/>
              <w:ind w:left="0" w:leftChars="0" w:right="0" w:rightChars="0" w:firstLine="0" w:firstLineChars="0"/>
              <w:jc w:val="center"/>
              <w:rPr>
                <w:b/>
              </w:rPr>
            </w:pPr>
            <w:r>
              <w:rPr>
                <w:b/>
              </w:rPr>
              <w:t>权重配置逻辑</w:t>
            </w:r>
          </w:p>
        </w:tc>
      </w:tr>
      <w:tr w14:paraId="6F07EBD3">
        <w:tblPrEx>
          <w:tblCellMar>
            <w:top w:w="0" w:type="dxa"/>
            <w:left w:w="108" w:type="dxa"/>
            <w:bottom w:w="0" w:type="dxa"/>
            <w:right w:w="108" w:type="dxa"/>
          </w:tblCellMar>
        </w:tblPrEx>
        <w:trPr>
          <w:trHeight w:val="0" w:hRule="atLeast"/>
          <w:jc w:val="center"/>
        </w:trPr>
        <w:tc>
          <w:tcPr>
            <w:tcW w:w="2376" w:type="dxa"/>
            <w:tcBorders>
              <w:top w:val="single" w:color="auto" w:sz="4" w:space="0"/>
              <w:left w:val="nil"/>
              <w:bottom w:val="nil"/>
              <w:right w:val="nil"/>
            </w:tcBorders>
            <w:vAlign w:val="center"/>
          </w:tcPr>
          <w:p w14:paraId="4B151D39">
            <w:pPr>
              <w:pStyle w:val="27"/>
              <w:snapToGrid w:val="0"/>
              <w:spacing w:line="240" w:lineRule="auto"/>
              <w:ind w:left="0" w:leftChars="0" w:right="0" w:rightChars="0" w:firstLine="0" w:firstLineChars="0"/>
              <w:jc w:val="center"/>
            </w:pPr>
            <w:r>
              <w:rPr>
                <w:b/>
                <w:bCs/>
              </w:rPr>
              <w:t>技术驱动型</w:t>
            </w:r>
            <w:r>
              <w:t>（AI、芯片、生物医药）</w:t>
            </w:r>
          </w:p>
        </w:tc>
        <w:tc>
          <w:tcPr>
            <w:tcW w:w="1299" w:type="dxa"/>
            <w:tcBorders>
              <w:top w:val="single" w:color="auto" w:sz="4" w:space="0"/>
              <w:left w:val="nil"/>
              <w:bottom w:val="nil"/>
              <w:right w:val="nil"/>
            </w:tcBorders>
            <w:vAlign w:val="center"/>
          </w:tcPr>
          <w:p w14:paraId="0268B866">
            <w:pPr>
              <w:pStyle w:val="27"/>
              <w:snapToGrid w:val="0"/>
              <w:spacing w:line="240" w:lineRule="auto"/>
              <w:ind w:left="0" w:leftChars="0" w:right="0" w:rightChars="0" w:firstLine="0" w:firstLineChars="0"/>
              <w:jc w:val="right"/>
            </w:pPr>
            <w:r>
              <w:rPr>
                <w:b/>
                <w:bCs/>
              </w:rPr>
              <w:t>50%</w:t>
            </w:r>
          </w:p>
        </w:tc>
        <w:tc>
          <w:tcPr>
            <w:tcW w:w="1299" w:type="dxa"/>
            <w:tcBorders>
              <w:top w:val="single" w:color="auto" w:sz="4" w:space="0"/>
              <w:left w:val="nil"/>
              <w:bottom w:val="nil"/>
              <w:right w:val="nil"/>
            </w:tcBorders>
            <w:vAlign w:val="center"/>
          </w:tcPr>
          <w:p w14:paraId="0BAB528C">
            <w:pPr>
              <w:pStyle w:val="27"/>
              <w:snapToGrid w:val="0"/>
              <w:spacing w:line="240" w:lineRule="auto"/>
              <w:ind w:left="0" w:leftChars="0" w:right="0" w:rightChars="0" w:firstLine="0" w:firstLineChars="0"/>
              <w:jc w:val="right"/>
            </w:pPr>
            <w:r>
              <w:t>20%</w:t>
            </w:r>
          </w:p>
        </w:tc>
        <w:tc>
          <w:tcPr>
            <w:tcW w:w="1299" w:type="dxa"/>
            <w:tcBorders>
              <w:top w:val="single" w:color="auto" w:sz="4" w:space="0"/>
              <w:left w:val="nil"/>
              <w:bottom w:val="nil"/>
              <w:right w:val="nil"/>
            </w:tcBorders>
            <w:vAlign w:val="center"/>
          </w:tcPr>
          <w:p w14:paraId="706ABE1F">
            <w:pPr>
              <w:pStyle w:val="27"/>
              <w:snapToGrid w:val="0"/>
              <w:spacing w:line="240" w:lineRule="auto"/>
              <w:ind w:left="0" w:leftChars="0" w:right="0" w:rightChars="0" w:firstLine="0" w:firstLineChars="0"/>
              <w:jc w:val="right"/>
            </w:pPr>
            <w:r>
              <w:t>30%</w:t>
            </w:r>
          </w:p>
        </w:tc>
        <w:tc>
          <w:tcPr>
            <w:tcW w:w="2136" w:type="dxa"/>
            <w:tcBorders>
              <w:top w:val="single" w:color="auto" w:sz="4" w:space="0"/>
              <w:left w:val="nil"/>
              <w:bottom w:val="nil"/>
              <w:right w:val="nil"/>
            </w:tcBorders>
            <w:vAlign w:val="center"/>
          </w:tcPr>
          <w:p w14:paraId="265D9A12">
            <w:pPr>
              <w:pStyle w:val="27"/>
              <w:snapToGrid w:val="0"/>
              <w:spacing w:line="240" w:lineRule="auto"/>
              <w:ind w:left="0" w:leftChars="0" w:right="0" w:rightChars="0" w:firstLine="0" w:firstLineChars="0"/>
              <w:jc w:val="center"/>
            </w:pPr>
            <w:r>
              <w:t>技术深度和研发经验是核心壁垒</w:t>
            </w:r>
          </w:p>
        </w:tc>
      </w:tr>
      <w:tr w14:paraId="5C584A18">
        <w:tblPrEx>
          <w:tblCellMar>
            <w:top w:w="0" w:type="dxa"/>
            <w:left w:w="108" w:type="dxa"/>
            <w:bottom w:w="0" w:type="dxa"/>
            <w:right w:w="108" w:type="dxa"/>
          </w:tblCellMar>
        </w:tblPrEx>
        <w:trPr>
          <w:trHeight w:val="0" w:hRule="atLeast"/>
          <w:jc w:val="center"/>
        </w:trPr>
        <w:tc>
          <w:tcPr>
            <w:tcW w:w="2376" w:type="dxa"/>
            <w:tcBorders>
              <w:top w:val="nil"/>
              <w:left w:val="nil"/>
              <w:bottom w:val="nil"/>
              <w:right w:val="nil"/>
            </w:tcBorders>
            <w:vAlign w:val="center"/>
          </w:tcPr>
          <w:p w14:paraId="1F502A6D">
            <w:pPr>
              <w:pStyle w:val="27"/>
              <w:snapToGrid w:val="0"/>
              <w:spacing w:line="240" w:lineRule="auto"/>
              <w:ind w:left="0" w:leftChars="0" w:right="0" w:rightChars="0" w:firstLine="0" w:firstLineChars="0"/>
              <w:jc w:val="center"/>
            </w:pPr>
            <w:r>
              <w:rPr>
                <w:b/>
                <w:bCs/>
              </w:rPr>
              <w:t>资源驱动型</w:t>
            </w:r>
            <w:r>
              <w:t>（消费品牌、渠道、资本）</w:t>
            </w:r>
          </w:p>
        </w:tc>
        <w:tc>
          <w:tcPr>
            <w:tcW w:w="1299" w:type="dxa"/>
            <w:tcBorders>
              <w:top w:val="nil"/>
              <w:left w:val="nil"/>
              <w:bottom w:val="nil"/>
              <w:right w:val="nil"/>
            </w:tcBorders>
            <w:vAlign w:val="center"/>
          </w:tcPr>
          <w:p w14:paraId="587BDAC2">
            <w:pPr>
              <w:pStyle w:val="27"/>
              <w:snapToGrid w:val="0"/>
              <w:spacing w:line="240" w:lineRule="auto"/>
              <w:ind w:left="0" w:leftChars="0" w:right="0" w:rightChars="0" w:firstLine="0" w:firstLineChars="0"/>
              <w:jc w:val="right"/>
            </w:pPr>
            <w:r>
              <w:t>30%</w:t>
            </w:r>
          </w:p>
        </w:tc>
        <w:tc>
          <w:tcPr>
            <w:tcW w:w="1299" w:type="dxa"/>
            <w:tcBorders>
              <w:top w:val="nil"/>
              <w:left w:val="nil"/>
              <w:bottom w:val="nil"/>
              <w:right w:val="nil"/>
            </w:tcBorders>
            <w:vAlign w:val="center"/>
          </w:tcPr>
          <w:p w14:paraId="594E1D30">
            <w:pPr>
              <w:pStyle w:val="27"/>
              <w:snapToGrid w:val="0"/>
              <w:spacing w:line="240" w:lineRule="auto"/>
              <w:ind w:left="0" w:leftChars="0" w:right="0" w:rightChars="0" w:firstLine="0" w:firstLineChars="0"/>
              <w:jc w:val="right"/>
            </w:pPr>
            <w:r>
              <w:rPr>
                <w:b/>
                <w:bCs/>
              </w:rPr>
              <w:t>50%</w:t>
            </w:r>
          </w:p>
        </w:tc>
        <w:tc>
          <w:tcPr>
            <w:tcW w:w="1299" w:type="dxa"/>
            <w:tcBorders>
              <w:top w:val="nil"/>
              <w:left w:val="nil"/>
              <w:bottom w:val="nil"/>
              <w:right w:val="nil"/>
            </w:tcBorders>
            <w:vAlign w:val="center"/>
          </w:tcPr>
          <w:p w14:paraId="5313F5A6">
            <w:pPr>
              <w:pStyle w:val="27"/>
              <w:snapToGrid w:val="0"/>
              <w:spacing w:line="240" w:lineRule="auto"/>
              <w:ind w:left="0" w:leftChars="0" w:right="0" w:rightChars="0" w:firstLine="0" w:firstLineChars="0"/>
              <w:jc w:val="right"/>
            </w:pPr>
            <w:r>
              <w:t>20%</w:t>
            </w:r>
          </w:p>
        </w:tc>
        <w:tc>
          <w:tcPr>
            <w:tcW w:w="2136" w:type="dxa"/>
            <w:tcBorders>
              <w:top w:val="nil"/>
              <w:left w:val="nil"/>
              <w:bottom w:val="nil"/>
              <w:right w:val="nil"/>
            </w:tcBorders>
            <w:vAlign w:val="center"/>
          </w:tcPr>
          <w:p w14:paraId="205E9583">
            <w:pPr>
              <w:pStyle w:val="27"/>
              <w:snapToGrid w:val="0"/>
              <w:spacing w:line="240" w:lineRule="auto"/>
              <w:ind w:left="0" w:leftChars="0" w:right="0" w:rightChars="0" w:firstLine="0" w:firstLineChars="0"/>
              <w:jc w:val="center"/>
            </w:pPr>
            <w:r>
              <w:t>资源动员和网络效应是关键成功因素</w:t>
            </w:r>
          </w:p>
        </w:tc>
      </w:tr>
      <w:tr w14:paraId="3955360D">
        <w:tblPrEx>
          <w:tblCellMar>
            <w:top w:w="0" w:type="dxa"/>
            <w:left w:w="108" w:type="dxa"/>
            <w:bottom w:w="0" w:type="dxa"/>
            <w:right w:w="108" w:type="dxa"/>
          </w:tblCellMar>
        </w:tblPrEx>
        <w:trPr>
          <w:trHeight w:val="0" w:hRule="atLeast"/>
          <w:jc w:val="center"/>
        </w:trPr>
        <w:tc>
          <w:tcPr>
            <w:tcW w:w="2376" w:type="dxa"/>
            <w:tcBorders>
              <w:top w:val="nil"/>
              <w:left w:val="nil"/>
              <w:bottom w:val="nil"/>
              <w:right w:val="nil"/>
            </w:tcBorders>
            <w:vAlign w:val="center"/>
          </w:tcPr>
          <w:p w14:paraId="5C0852BF">
            <w:pPr>
              <w:pStyle w:val="27"/>
              <w:snapToGrid w:val="0"/>
              <w:spacing w:line="240" w:lineRule="auto"/>
              <w:ind w:left="0" w:leftChars="0" w:right="0" w:rightChars="0" w:firstLine="0" w:firstLineChars="0"/>
              <w:jc w:val="center"/>
            </w:pPr>
            <w:r>
              <w:rPr>
                <w:b/>
                <w:bCs/>
              </w:rPr>
              <w:t>关系驱动型</w:t>
            </w:r>
            <w:r>
              <w:t>（咨询、创意、社区运营）</w:t>
            </w:r>
          </w:p>
        </w:tc>
        <w:tc>
          <w:tcPr>
            <w:tcW w:w="1299" w:type="dxa"/>
            <w:tcBorders>
              <w:top w:val="nil"/>
              <w:left w:val="nil"/>
              <w:bottom w:val="nil"/>
              <w:right w:val="nil"/>
            </w:tcBorders>
            <w:vAlign w:val="center"/>
          </w:tcPr>
          <w:p w14:paraId="11E5E9D5">
            <w:pPr>
              <w:pStyle w:val="27"/>
              <w:snapToGrid w:val="0"/>
              <w:spacing w:line="240" w:lineRule="auto"/>
              <w:ind w:left="0" w:leftChars="0" w:right="0" w:rightChars="0" w:firstLine="0" w:firstLineChars="0"/>
              <w:jc w:val="right"/>
            </w:pPr>
            <w:r>
              <w:t>20%</w:t>
            </w:r>
          </w:p>
        </w:tc>
        <w:tc>
          <w:tcPr>
            <w:tcW w:w="1299" w:type="dxa"/>
            <w:tcBorders>
              <w:top w:val="nil"/>
              <w:left w:val="nil"/>
              <w:bottom w:val="nil"/>
              <w:right w:val="nil"/>
            </w:tcBorders>
            <w:vAlign w:val="center"/>
          </w:tcPr>
          <w:p w14:paraId="6BED976A">
            <w:pPr>
              <w:pStyle w:val="27"/>
              <w:snapToGrid w:val="0"/>
              <w:spacing w:line="240" w:lineRule="auto"/>
              <w:ind w:left="0" w:leftChars="0" w:right="0" w:rightChars="0" w:firstLine="0" w:firstLineChars="0"/>
              <w:jc w:val="right"/>
            </w:pPr>
            <w:r>
              <w:t>30%</w:t>
            </w:r>
          </w:p>
        </w:tc>
        <w:tc>
          <w:tcPr>
            <w:tcW w:w="1299" w:type="dxa"/>
            <w:tcBorders>
              <w:top w:val="nil"/>
              <w:left w:val="nil"/>
              <w:bottom w:val="nil"/>
              <w:right w:val="nil"/>
            </w:tcBorders>
            <w:vAlign w:val="center"/>
          </w:tcPr>
          <w:p w14:paraId="60E0EA79">
            <w:pPr>
              <w:pStyle w:val="27"/>
              <w:snapToGrid w:val="0"/>
              <w:spacing w:line="240" w:lineRule="auto"/>
              <w:ind w:left="0" w:leftChars="0" w:right="0" w:rightChars="0" w:firstLine="0" w:firstLineChars="0"/>
              <w:jc w:val="right"/>
            </w:pPr>
            <w:r>
              <w:rPr>
                <w:b/>
                <w:bCs/>
              </w:rPr>
              <w:t>50%</w:t>
            </w:r>
          </w:p>
        </w:tc>
        <w:tc>
          <w:tcPr>
            <w:tcW w:w="2136" w:type="dxa"/>
            <w:tcBorders>
              <w:top w:val="nil"/>
              <w:left w:val="nil"/>
              <w:bottom w:val="nil"/>
              <w:right w:val="nil"/>
            </w:tcBorders>
            <w:vAlign w:val="center"/>
          </w:tcPr>
          <w:p w14:paraId="7501F4DE">
            <w:pPr>
              <w:pStyle w:val="27"/>
              <w:snapToGrid w:val="0"/>
              <w:spacing w:line="240" w:lineRule="auto"/>
              <w:ind w:left="0" w:leftChars="0" w:right="0" w:rightChars="0" w:firstLine="0" w:firstLineChars="0"/>
              <w:jc w:val="center"/>
            </w:pPr>
            <w:r>
              <w:t>客户关系和团队凝聚力是竞争优势</w:t>
            </w:r>
          </w:p>
        </w:tc>
      </w:tr>
      <w:tr w14:paraId="14E74D65">
        <w:tblPrEx>
          <w:tblCellMar>
            <w:top w:w="0" w:type="dxa"/>
            <w:left w:w="108" w:type="dxa"/>
            <w:bottom w:w="0" w:type="dxa"/>
            <w:right w:w="108" w:type="dxa"/>
          </w:tblCellMar>
        </w:tblPrEx>
        <w:trPr>
          <w:trHeight w:val="0" w:hRule="atLeast"/>
          <w:jc w:val="center"/>
        </w:trPr>
        <w:tc>
          <w:tcPr>
            <w:tcW w:w="2376" w:type="dxa"/>
            <w:tcBorders>
              <w:top w:val="nil"/>
              <w:left w:val="nil"/>
              <w:bottom w:val="single" w:color="auto" w:sz="12" w:space="0"/>
              <w:right w:val="nil"/>
            </w:tcBorders>
            <w:vAlign w:val="center"/>
          </w:tcPr>
          <w:p w14:paraId="2168B160">
            <w:pPr>
              <w:pStyle w:val="27"/>
              <w:snapToGrid w:val="0"/>
              <w:spacing w:line="240" w:lineRule="auto"/>
              <w:ind w:left="0" w:leftChars="0" w:right="0" w:rightChars="0" w:firstLine="0" w:firstLineChars="0"/>
              <w:jc w:val="center"/>
            </w:pPr>
            <w:r>
              <w:rPr>
                <w:b/>
                <w:bCs/>
              </w:rPr>
              <w:t>平衡型</w:t>
            </w:r>
            <w:r>
              <w:t>（平台、SaaS、综合创业）</w:t>
            </w:r>
          </w:p>
        </w:tc>
        <w:tc>
          <w:tcPr>
            <w:tcW w:w="1299" w:type="dxa"/>
            <w:tcBorders>
              <w:top w:val="nil"/>
              <w:left w:val="nil"/>
              <w:bottom w:val="single" w:color="auto" w:sz="12" w:space="0"/>
              <w:right w:val="nil"/>
            </w:tcBorders>
            <w:vAlign w:val="center"/>
          </w:tcPr>
          <w:p w14:paraId="4C5BB584">
            <w:pPr>
              <w:pStyle w:val="27"/>
              <w:snapToGrid w:val="0"/>
              <w:spacing w:line="240" w:lineRule="auto"/>
              <w:ind w:left="0" w:leftChars="0" w:right="0" w:rightChars="0" w:firstLine="0" w:firstLineChars="0"/>
              <w:jc w:val="right"/>
            </w:pPr>
            <w:r>
              <w:t>35%</w:t>
            </w:r>
          </w:p>
        </w:tc>
        <w:tc>
          <w:tcPr>
            <w:tcW w:w="1299" w:type="dxa"/>
            <w:tcBorders>
              <w:top w:val="nil"/>
              <w:left w:val="nil"/>
              <w:bottom w:val="single" w:color="auto" w:sz="12" w:space="0"/>
              <w:right w:val="nil"/>
            </w:tcBorders>
            <w:vAlign w:val="center"/>
          </w:tcPr>
          <w:p w14:paraId="3DD88BCB">
            <w:pPr>
              <w:pStyle w:val="27"/>
              <w:snapToGrid w:val="0"/>
              <w:spacing w:line="240" w:lineRule="auto"/>
              <w:ind w:left="0" w:leftChars="0" w:right="0" w:rightChars="0" w:firstLine="0" w:firstLineChars="0"/>
              <w:jc w:val="right"/>
            </w:pPr>
            <w:r>
              <w:t>35%</w:t>
            </w:r>
          </w:p>
        </w:tc>
        <w:tc>
          <w:tcPr>
            <w:tcW w:w="1299" w:type="dxa"/>
            <w:tcBorders>
              <w:top w:val="nil"/>
              <w:left w:val="nil"/>
              <w:bottom w:val="single" w:color="auto" w:sz="12" w:space="0"/>
              <w:right w:val="nil"/>
            </w:tcBorders>
            <w:vAlign w:val="center"/>
          </w:tcPr>
          <w:p w14:paraId="0F076D67">
            <w:pPr>
              <w:pStyle w:val="27"/>
              <w:snapToGrid w:val="0"/>
              <w:spacing w:line="240" w:lineRule="auto"/>
              <w:ind w:left="0" w:leftChars="0" w:right="0" w:rightChars="0" w:firstLine="0" w:firstLineChars="0"/>
              <w:jc w:val="right"/>
            </w:pPr>
            <w:r>
              <w:t>30%</w:t>
            </w:r>
          </w:p>
        </w:tc>
        <w:tc>
          <w:tcPr>
            <w:tcW w:w="2136" w:type="dxa"/>
            <w:tcBorders>
              <w:top w:val="nil"/>
              <w:left w:val="nil"/>
              <w:bottom w:val="single" w:color="auto" w:sz="12" w:space="0"/>
              <w:right w:val="nil"/>
            </w:tcBorders>
            <w:vAlign w:val="center"/>
          </w:tcPr>
          <w:p w14:paraId="5F25F767">
            <w:pPr>
              <w:pStyle w:val="27"/>
              <w:snapToGrid w:val="0"/>
              <w:spacing w:line="240" w:lineRule="auto"/>
              <w:ind w:left="0" w:leftChars="0" w:right="0" w:rightChars="0" w:firstLine="0" w:firstLineChars="0"/>
              <w:jc w:val="center"/>
            </w:pPr>
            <w:r>
              <w:t>三维度相对均衡，无显著短板</w:t>
            </w:r>
          </w:p>
        </w:tc>
      </w:tr>
      <w:bookmarkEnd w:id="45"/>
    </w:tbl>
    <w:p w14:paraId="1B688DFB">
      <w:pPr>
        <w:pStyle w:val="6"/>
      </w:pPr>
      <w:bookmarkStart w:id="46" w:name="动态调整机制"/>
      <w:r>
        <w:t>6.2.2 动态调整机制</w:t>
      </w:r>
    </w:p>
    <w:p w14:paraId="13B661B3">
      <w:pPr>
        <w:pStyle w:val="26"/>
      </w:pPr>
      <w:r>
        <w:rPr>
          <w:b/>
          <w:bCs/>
        </w:rPr>
        <w:t>[模拟方法论]</w:t>
      </w:r>
      <w:r>
        <w:t xml:space="preserve"> 权重分配不是静态公式，而需根据评估进程动态调整：</w:t>
      </w:r>
    </w:p>
    <w:p w14:paraId="1D107426">
      <w:pPr>
        <w:pStyle w:val="27"/>
        <w:numPr>
          <w:ilvl w:val="0"/>
          <w:numId w:val="2"/>
        </w:numPr>
      </w:pPr>
      <w:r>
        <w:rPr>
          <w:b/>
          <w:bCs/>
        </w:rPr>
        <w:t>信息完整度补偿</w:t>
      </w:r>
      <w:r>
        <w:t>：当某模块信息严重不足（如候选人社交媒体极不活跃），将其权重分配至其他模块，同时标记该信息缺口为风险因素；</w:t>
      </w:r>
    </w:p>
    <w:p w14:paraId="24016DC9">
      <w:pPr>
        <w:pStyle w:val="27"/>
        <w:numPr>
          <w:ilvl w:val="0"/>
          <w:numId w:val="2"/>
        </w:numPr>
      </w:pPr>
      <w:r>
        <w:rPr>
          <w:b/>
          <w:bCs/>
        </w:rPr>
        <w:t>关键信号强化</w:t>
      </w:r>
      <w:r>
        <w:t>：特定风险信号（如诚信质疑、情绪失控）的出现，触发该维度权重上浮20-30%，确保关键信息不被平均化稀释；</w:t>
      </w:r>
    </w:p>
    <w:p w14:paraId="325A224D">
      <w:pPr>
        <w:pStyle w:val="27"/>
        <w:numPr>
          <w:ilvl w:val="0"/>
          <w:numId w:val="2"/>
        </w:numPr>
      </w:pPr>
      <w:r>
        <w:rPr>
          <w:b/>
          <w:bCs/>
        </w:rPr>
        <w:t>创始人偏好整合</w:t>
      </w:r>
      <w:r>
        <w:t>：将创始人个人经验与直觉判断量化纳入，作为权重调整的输入，但需明确区分数据驱动与经验驱动成分。</w:t>
      </w:r>
    </w:p>
    <w:p w14:paraId="61A421E9">
      <w:pPr>
        <w:pStyle w:val="26"/>
      </w:pPr>
      <w:r>
        <w:rPr>
          <w:b/>
          <w:bCs/>
        </w:rPr>
        <w:t>[待验证]</w:t>
      </w:r>
      <w:r>
        <w:t xml:space="preserve"> 动态权重调整的有效性依赖于创始人的元认知能力（Metacognitive Ability）——能否识别自身偏见并合理调整权重，这一假设尚未经过实证检验。</w:t>
      </w:r>
    </w:p>
    <w:bookmarkEnd w:id="44"/>
    <w:bookmarkEnd w:id="46"/>
    <w:p w14:paraId="5EDF0EF8">
      <w:pPr>
        <w:pStyle w:val="5"/>
      </w:pPr>
      <w:bookmarkStart w:id="47" w:name="决策支持工具"/>
      <w:r>
        <w:t>6.3 决策支持工具</w:t>
      </w:r>
    </w:p>
    <w:p w14:paraId="7A643FA9">
      <w:pPr>
        <w:pStyle w:val="6"/>
      </w:pPr>
      <w:bookmarkStart w:id="48" w:name="证据地图evidence-map"/>
      <w:r>
        <w:t>6.3.1 证据地图（Evidence Map）</w:t>
      </w:r>
    </w:p>
    <w:p w14:paraId="0784EB10">
      <w:pPr>
        <w:pStyle w:val="26"/>
      </w:pPr>
      <w:r>
        <w:rPr>
          <w:b/>
          <w:bCs/>
        </w:rPr>
        <w:t>[模拟方法论]</w:t>
      </w:r>
      <w:r>
        <w:t xml:space="preserve"> 证据地图以表格形式列出核心主张、支持证据、置信度与反方观点，确保决策透明度：</w:t>
      </w:r>
    </w:p>
    <w:tbl>
      <w:tblPr>
        <w:tblStyle w:val="44"/>
        <w:tblW w:w="9697" w:type="dxa"/>
        <w:jc w:val="center"/>
        <w:tblLayout w:type="autofit"/>
        <w:tblCellMar>
          <w:top w:w="0" w:type="dxa"/>
          <w:left w:w="108" w:type="dxa"/>
          <w:bottom w:w="0" w:type="dxa"/>
          <w:right w:w="108" w:type="dxa"/>
        </w:tblCellMar>
      </w:tblPr>
      <w:tblGrid>
        <w:gridCol w:w="1511"/>
        <w:gridCol w:w="2977"/>
        <w:gridCol w:w="2016"/>
        <w:gridCol w:w="3193"/>
      </w:tblGrid>
      <w:tr w14:paraId="1C9EA701">
        <w:tblPrEx>
          <w:tblCellMar>
            <w:top w:w="0" w:type="dxa"/>
            <w:left w:w="108" w:type="dxa"/>
            <w:bottom w:w="0" w:type="dxa"/>
            <w:right w:w="108" w:type="dxa"/>
          </w:tblCellMar>
        </w:tblPrEx>
        <w:trPr>
          <w:trHeight w:val="0" w:hRule="atLeast"/>
          <w:tblHeader/>
          <w:jc w:val="center"/>
        </w:trPr>
        <w:tc>
          <w:tcPr>
            <w:tcW w:w="1511" w:type="dxa"/>
            <w:tcBorders>
              <w:top w:val="single" w:color="auto" w:sz="12" w:space="0"/>
              <w:left w:val="nil"/>
              <w:bottom w:val="single" w:color="auto" w:sz="4" w:space="0"/>
              <w:right w:val="nil"/>
            </w:tcBorders>
            <w:vAlign w:val="center"/>
          </w:tcPr>
          <w:p w14:paraId="358C704F">
            <w:pPr>
              <w:pStyle w:val="27"/>
              <w:snapToGrid w:val="0"/>
              <w:spacing w:line="240" w:lineRule="auto"/>
              <w:ind w:left="0" w:leftChars="0" w:right="0" w:rightChars="0" w:firstLine="0" w:firstLineChars="0"/>
              <w:jc w:val="center"/>
              <w:rPr>
                <w:b/>
              </w:rPr>
            </w:pPr>
            <w:r>
              <w:rPr>
                <w:b/>
              </w:rPr>
              <w:t>核心主张</w:t>
            </w:r>
          </w:p>
        </w:tc>
        <w:tc>
          <w:tcPr>
            <w:tcW w:w="2977" w:type="dxa"/>
            <w:tcBorders>
              <w:top w:val="single" w:color="auto" w:sz="12" w:space="0"/>
              <w:left w:val="nil"/>
              <w:bottom w:val="single" w:color="auto" w:sz="4" w:space="0"/>
              <w:right w:val="nil"/>
            </w:tcBorders>
            <w:vAlign w:val="center"/>
          </w:tcPr>
          <w:p w14:paraId="4A9A1D4F">
            <w:pPr>
              <w:pStyle w:val="27"/>
              <w:snapToGrid w:val="0"/>
              <w:spacing w:line="240" w:lineRule="auto"/>
              <w:ind w:left="0" w:leftChars="0" w:right="0" w:rightChars="0" w:firstLine="0" w:firstLineChars="0"/>
              <w:jc w:val="center"/>
              <w:rPr>
                <w:b/>
              </w:rPr>
            </w:pPr>
            <w:r>
              <w:rPr>
                <w:b/>
              </w:rPr>
              <w:t>支持证据</w:t>
            </w:r>
          </w:p>
        </w:tc>
        <w:tc>
          <w:tcPr>
            <w:tcW w:w="2016" w:type="dxa"/>
            <w:tcBorders>
              <w:top w:val="single" w:color="auto" w:sz="12" w:space="0"/>
              <w:left w:val="nil"/>
              <w:bottom w:val="single" w:color="auto" w:sz="4" w:space="0"/>
              <w:right w:val="nil"/>
            </w:tcBorders>
            <w:vAlign w:val="center"/>
          </w:tcPr>
          <w:p w14:paraId="2E1667C7">
            <w:pPr>
              <w:pStyle w:val="27"/>
              <w:snapToGrid w:val="0"/>
              <w:spacing w:line="240" w:lineRule="auto"/>
              <w:ind w:left="0" w:leftChars="0" w:right="0" w:rightChars="0" w:firstLine="0" w:firstLineChars="0"/>
              <w:jc w:val="center"/>
              <w:rPr>
                <w:b/>
              </w:rPr>
            </w:pPr>
            <w:r>
              <w:rPr>
                <w:b/>
              </w:rPr>
              <w:t>置信度</w:t>
            </w:r>
          </w:p>
        </w:tc>
        <w:tc>
          <w:tcPr>
            <w:tcW w:w="3193" w:type="dxa"/>
            <w:tcBorders>
              <w:top w:val="single" w:color="auto" w:sz="12" w:space="0"/>
              <w:left w:val="nil"/>
              <w:bottom w:val="single" w:color="auto" w:sz="4" w:space="0"/>
              <w:right w:val="nil"/>
            </w:tcBorders>
            <w:vAlign w:val="center"/>
          </w:tcPr>
          <w:p w14:paraId="6A3C40A3">
            <w:pPr>
              <w:pStyle w:val="27"/>
              <w:snapToGrid w:val="0"/>
              <w:spacing w:line="240" w:lineRule="auto"/>
              <w:ind w:left="0" w:leftChars="0" w:right="0" w:rightChars="0" w:firstLine="0" w:firstLineChars="0"/>
              <w:jc w:val="center"/>
              <w:rPr>
                <w:b/>
              </w:rPr>
            </w:pPr>
            <w:r>
              <w:rPr>
                <w:b/>
              </w:rPr>
              <w:t>反方观点/限制</w:t>
            </w:r>
          </w:p>
        </w:tc>
      </w:tr>
      <w:tr w14:paraId="42887E79">
        <w:tblPrEx>
          <w:tblCellMar>
            <w:top w:w="0" w:type="dxa"/>
            <w:left w:w="108" w:type="dxa"/>
            <w:bottom w:w="0" w:type="dxa"/>
            <w:right w:w="108" w:type="dxa"/>
          </w:tblCellMar>
        </w:tblPrEx>
        <w:trPr>
          <w:trHeight w:val="0" w:hRule="atLeast"/>
          <w:jc w:val="center"/>
        </w:trPr>
        <w:tc>
          <w:tcPr>
            <w:tcW w:w="1511" w:type="dxa"/>
            <w:tcBorders>
              <w:top w:val="single" w:color="auto" w:sz="4" w:space="0"/>
              <w:left w:val="nil"/>
              <w:bottom w:val="nil"/>
              <w:right w:val="nil"/>
            </w:tcBorders>
            <w:vAlign w:val="center"/>
          </w:tcPr>
          <w:p w14:paraId="650E110A">
            <w:pPr>
              <w:pStyle w:val="27"/>
              <w:snapToGrid w:val="0"/>
              <w:spacing w:line="240" w:lineRule="auto"/>
              <w:ind w:left="0" w:leftChars="0" w:right="0" w:rightChars="0" w:firstLine="0" w:firstLineChars="0"/>
              <w:jc w:val="center"/>
            </w:pPr>
            <w:r>
              <w:t>候选人具备技术领导力</w:t>
            </w:r>
          </w:p>
        </w:tc>
        <w:tc>
          <w:tcPr>
            <w:tcW w:w="2977" w:type="dxa"/>
            <w:tcBorders>
              <w:top w:val="single" w:color="auto" w:sz="4" w:space="0"/>
              <w:left w:val="nil"/>
              <w:bottom w:val="nil"/>
              <w:right w:val="nil"/>
            </w:tcBorders>
            <w:vAlign w:val="center"/>
          </w:tcPr>
          <w:p w14:paraId="37BB13E0">
            <w:pPr>
              <w:pStyle w:val="27"/>
              <w:snapToGrid w:val="0"/>
              <w:spacing w:line="240" w:lineRule="auto"/>
              <w:ind w:left="0" w:leftChars="0" w:right="0" w:rightChars="0" w:firstLine="0" w:firstLineChars="0"/>
              <w:jc w:val="left"/>
            </w:pPr>
            <w:r>
              <w:t>3篇高引用论文、2项发明专利、技术演讲视频</w:t>
            </w:r>
          </w:p>
        </w:tc>
        <w:tc>
          <w:tcPr>
            <w:tcW w:w="2016" w:type="dxa"/>
            <w:tcBorders>
              <w:top w:val="single" w:color="auto" w:sz="4" w:space="0"/>
              <w:left w:val="nil"/>
              <w:bottom w:val="nil"/>
              <w:right w:val="nil"/>
            </w:tcBorders>
            <w:vAlign w:val="center"/>
          </w:tcPr>
          <w:p w14:paraId="1DFA2813">
            <w:pPr>
              <w:pStyle w:val="27"/>
              <w:snapToGrid w:val="0"/>
              <w:spacing w:line="240" w:lineRule="auto"/>
              <w:ind w:left="0" w:leftChars="0" w:right="0" w:rightChars="0" w:firstLine="0" w:firstLineChars="0"/>
              <w:jc w:val="center"/>
            </w:pPr>
            <w:r>
              <w:t>高（多源一致）</w:t>
            </w:r>
          </w:p>
        </w:tc>
        <w:tc>
          <w:tcPr>
            <w:tcW w:w="3193" w:type="dxa"/>
            <w:tcBorders>
              <w:top w:val="single" w:color="auto" w:sz="4" w:space="0"/>
              <w:left w:val="nil"/>
              <w:bottom w:val="nil"/>
              <w:right w:val="nil"/>
            </w:tcBorders>
            <w:vAlign w:val="center"/>
          </w:tcPr>
          <w:p w14:paraId="5C5E831A">
            <w:pPr>
              <w:pStyle w:val="27"/>
              <w:snapToGrid w:val="0"/>
              <w:spacing w:line="240" w:lineRule="auto"/>
              <w:ind w:left="0" w:leftChars="0" w:right="0" w:rightChars="0" w:firstLine="0" w:firstLineChars="0"/>
              <w:jc w:val="left"/>
            </w:pPr>
            <w:r>
              <w:t>学术产出≠团队管理能力；缺乏大规模团队管理经验</w:t>
            </w:r>
          </w:p>
        </w:tc>
      </w:tr>
      <w:tr w14:paraId="75E4980A">
        <w:tblPrEx>
          <w:tblCellMar>
            <w:top w:w="0" w:type="dxa"/>
            <w:left w:w="108" w:type="dxa"/>
            <w:bottom w:w="0" w:type="dxa"/>
            <w:right w:w="108" w:type="dxa"/>
          </w:tblCellMar>
        </w:tblPrEx>
        <w:trPr>
          <w:trHeight w:val="0" w:hRule="atLeast"/>
          <w:jc w:val="center"/>
        </w:trPr>
        <w:tc>
          <w:tcPr>
            <w:tcW w:w="1511" w:type="dxa"/>
            <w:tcBorders>
              <w:top w:val="nil"/>
              <w:left w:val="nil"/>
              <w:bottom w:val="nil"/>
              <w:right w:val="nil"/>
            </w:tcBorders>
            <w:vAlign w:val="center"/>
          </w:tcPr>
          <w:p w14:paraId="0C112969">
            <w:pPr>
              <w:pStyle w:val="27"/>
              <w:snapToGrid w:val="0"/>
              <w:spacing w:line="240" w:lineRule="auto"/>
              <w:ind w:left="0" w:leftChars="0" w:right="0" w:rightChars="0" w:firstLine="0" w:firstLineChars="0"/>
              <w:jc w:val="center"/>
            </w:pPr>
            <w:r>
              <w:t>候选人价值观与创始人契合</w:t>
            </w:r>
          </w:p>
        </w:tc>
        <w:tc>
          <w:tcPr>
            <w:tcW w:w="2977" w:type="dxa"/>
            <w:tcBorders>
              <w:top w:val="nil"/>
              <w:left w:val="nil"/>
              <w:bottom w:val="nil"/>
              <w:right w:val="nil"/>
            </w:tcBorders>
            <w:vAlign w:val="center"/>
          </w:tcPr>
          <w:p w14:paraId="50CA81DF">
            <w:pPr>
              <w:pStyle w:val="27"/>
              <w:snapToGrid w:val="0"/>
              <w:spacing w:line="240" w:lineRule="auto"/>
              <w:ind w:left="0" w:leftChars="0" w:right="0" w:rightChars="0" w:firstLine="0" w:firstLineChars="0"/>
              <w:jc w:val="left"/>
            </w:pPr>
            <w:r>
              <w:t>社交媒体5次展现长期主义表述、共同朋友访谈确认</w:t>
            </w:r>
          </w:p>
        </w:tc>
        <w:tc>
          <w:tcPr>
            <w:tcW w:w="2016" w:type="dxa"/>
            <w:tcBorders>
              <w:top w:val="nil"/>
              <w:left w:val="nil"/>
              <w:bottom w:val="nil"/>
              <w:right w:val="nil"/>
            </w:tcBorders>
            <w:vAlign w:val="center"/>
          </w:tcPr>
          <w:p w14:paraId="07C60E12">
            <w:pPr>
              <w:pStyle w:val="27"/>
              <w:snapToGrid w:val="0"/>
              <w:spacing w:line="240" w:lineRule="auto"/>
              <w:ind w:left="0" w:leftChars="0" w:right="0" w:rightChars="0" w:firstLine="0" w:firstLineChars="0"/>
              <w:jc w:val="center"/>
            </w:pPr>
            <w:r>
              <w:t>中（间接证据）</w:t>
            </w:r>
          </w:p>
        </w:tc>
        <w:tc>
          <w:tcPr>
            <w:tcW w:w="3193" w:type="dxa"/>
            <w:tcBorders>
              <w:top w:val="nil"/>
              <w:left w:val="nil"/>
              <w:bottom w:val="nil"/>
              <w:right w:val="nil"/>
            </w:tcBorders>
            <w:vAlign w:val="center"/>
          </w:tcPr>
          <w:p w14:paraId="66051952">
            <w:pPr>
              <w:pStyle w:val="27"/>
              <w:snapToGrid w:val="0"/>
              <w:spacing w:line="240" w:lineRule="auto"/>
              <w:ind w:left="0" w:leftChars="0" w:right="0" w:rightChars="0" w:firstLine="0" w:firstLineChars="0"/>
              <w:jc w:val="left"/>
            </w:pPr>
            <w:r>
              <w:t>公开表述可能经过筛选；访谈样本仅2人，代表性有限</w:t>
            </w:r>
          </w:p>
        </w:tc>
      </w:tr>
      <w:tr w14:paraId="3EEC7004">
        <w:tblPrEx>
          <w:tblCellMar>
            <w:top w:w="0" w:type="dxa"/>
            <w:left w:w="108" w:type="dxa"/>
            <w:bottom w:w="0" w:type="dxa"/>
            <w:right w:w="108" w:type="dxa"/>
          </w:tblCellMar>
        </w:tblPrEx>
        <w:trPr>
          <w:trHeight w:val="0" w:hRule="atLeast"/>
          <w:jc w:val="center"/>
        </w:trPr>
        <w:tc>
          <w:tcPr>
            <w:tcW w:w="1511" w:type="dxa"/>
            <w:tcBorders>
              <w:top w:val="nil"/>
              <w:left w:val="nil"/>
              <w:bottom w:val="single" w:color="auto" w:sz="12" w:space="0"/>
              <w:right w:val="nil"/>
            </w:tcBorders>
            <w:vAlign w:val="center"/>
          </w:tcPr>
          <w:p w14:paraId="676B3FA5">
            <w:pPr>
              <w:pStyle w:val="27"/>
              <w:snapToGrid w:val="0"/>
              <w:spacing w:line="240" w:lineRule="auto"/>
              <w:ind w:left="0" w:leftChars="0" w:right="0" w:rightChars="0" w:firstLine="0" w:firstLineChars="0"/>
              <w:jc w:val="center"/>
            </w:pPr>
            <w:r>
              <w:t>候选人压力管理能力优秀</w:t>
            </w:r>
          </w:p>
        </w:tc>
        <w:tc>
          <w:tcPr>
            <w:tcW w:w="2977" w:type="dxa"/>
            <w:tcBorders>
              <w:top w:val="nil"/>
              <w:left w:val="nil"/>
              <w:bottom w:val="single" w:color="auto" w:sz="12" w:space="0"/>
              <w:right w:val="nil"/>
            </w:tcBorders>
            <w:vAlign w:val="center"/>
          </w:tcPr>
          <w:p w14:paraId="0DC76FEA">
            <w:pPr>
              <w:pStyle w:val="27"/>
              <w:snapToGrid w:val="0"/>
              <w:spacing w:line="240" w:lineRule="auto"/>
              <w:ind w:left="0" w:leftChars="0" w:right="0" w:rightChars="0" w:firstLine="0" w:firstLineChars="0"/>
              <w:jc w:val="left"/>
            </w:pPr>
            <w:r>
              <w:t>行业活动Q&amp;A环节表现从容、历史履历显示多次逆境恢复</w:t>
            </w:r>
          </w:p>
        </w:tc>
        <w:tc>
          <w:tcPr>
            <w:tcW w:w="2016" w:type="dxa"/>
            <w:tcBorders>
              <w:top w:val="nil"/>
              <w:left w:val="nil"/>
              <w:bottom w:val="single" w:color="auto" w:sz="12" w:space="0"/>
              <w:right w:val="nil"/>
            </w:tcBorders>
            <w:vAlign w:val="center"/>
          </w:tcPr>
          <w:p w14:paraId="3E7C3E34">
            <w:pPr>
              <w:pStyle w:val="27"/>
              <w:snapToGrid w:val="0"/>
              <w:spacing w:line="240" w:lineRule="auto"/>
              <w:ind w:left="0" w:leftChars="0" w:right="0" w:rightChars="0" w:firstLine="0" w:firstLineChars="0"/>
              <w:jc w:val="center"/>
            </w:pPr>
            <w:r>
              <w:t>中（情境特定）</w:t>
            </w:r>
          </w:p>
        </w:tc>
        <w:tc>
          <w:tcPr>
            <w:tcW w:w="3193" w:type="dxa"/>
            <w:tcBorders>
              <w:top w:val="nil"/>
              <w:left w:val="nil"/>
              <w:bottom w:val="single" w:color="auto" w:sz="12" w:space="0"/>
              <w:right w:val="nil"/>
            </w:tcBorders>
            <w:vAlign w:val="center"/>
          </w:tcPr>
          <w:p w14:paraId="7A372421">
            <w:pPr>
              <w:pStyle w:val="27"/>
              <w:snapToGrid w:val="0"/>
              <w:spacing w:line="240" w:lineRule="auto"/>
              <w:ind w:left="0" w:leftChars="0" w:right="0" w:rightChars="0" w:firstLine="0" w:firstLineChars="0"/>
              <w:jc w:val="left"/>
            </w:pPr>
            <w:r>
              <w:t>单次观察可能受偶然因素影响；逆境恢复可能依赖特定支持系统</w:t>
            </w:r>
          </w:p>
        </w:tc>
      </w:tr>
      <w:bookmarkEnd w:id="48"/>
    </w:tbl>
    <w:p w14:paraId="2B140C1E">
      <w:pPr>
        <w:pStyle w:val="6"/>
      </w:pPr>
      <w:bookmarkStart w:id="49" w:name="评分矩阵与尽职调查清单"/>
      <w:r>
        <w:t>6.3.2 评分矩阵与尽职调查清单</w:t>
      </w:r>
    </w:p>
    <w:p w14:paraId="5AB797CC">
      <w:pPr>
        <w:pStyle w:val="26"/>
      </w:pPr>
      <w:r>
        <w:rPr>
          <w:b/>
          <w:bCs/>
        </w:rPr>
        <w:t>[模拟方法论]</w:t>
      </w:r>
      <w:r>
        <w:t xml:space="preserve"> 评分矩阵支持多候选人的量化比较，降低决策偏差。采用结构化评分工具，每个维度配备评分量表（1-5分或-2到+2的偏离度评分）和证据摘要栏。</w:t>
      </w:r>
    </w:p>
    <w:p w14:paraId="1E2E9549">
      <w:pPr>
        <w:pStyle w:val="3"/>
      </w:pPr>
      <w:r>
        <w:rPr>
          <w:b/>
          <w:bCs/>
        </w:rPr>
        <w:t>尽职调查清单</w:t>
      </w:r>
      <w:r>
        <w:t>（Due Diligence Checklist）针对进入深度谈判的候选人，列出法律、财务、背景方面的验证事项，将涌现匹配的发现转化为可执行的调查程序。</w:t>
      </w:r>
    </w:p>
    <w:p w14:paraId="41E29513">
      <w:r>
        <w:pict>
          <v:rect id="_x0000_i1037" o:spt="1" style="height:1.5pt;width:0pt;" coordsize="21600,21600" o:hr="t" o:hrstd="t" o:hralign="center">
            <v:path/>
            <v:fill focussize="0,0"/>
            <v:stroke/>
            <v:imagedata o:title=""/>
            <o:lock v:ext="edit"/>
            <w10:wrap type="none"/>
            <w10:anchorlock/>
          </v:rect>
        </w:pict>
      </w:r>
    </w:p>
    <w:bookmarkEnd w:id="40"/>
    <w:bookmarkEnd w:id="47"/>
    <w:bookmarkEnd w:id="49"/>
    <w:p w14:paraId="74FE3F14">
      <w:pPr>
        <w:pStyle w:val="4"/>
      </w:pPr>
      <w:bookmarkStart w:id="50" w:name="伦理边界与合规操作ethical-boundaries"/>
      <w:r>
        <w:t>7. 伦理边界与合规操作（Ethical Boundaries）</w:t>
      </w:r>
    </w:p>
    <w:p w14:paraId="2E13E9D3">
      <w:pPr>
        <w:pStyle w:val="5"/>
      </w:pPr>
      <w:bookmarkStart w:id="51" w:name="合法操作范围与隐私保护"/>
      <w:r>
        <w:t>7.1 合法操作范围与隐私保护</w:t>
      </w:r>
    </w:p>
    <w:p w14:paraId="181BF9B6">
      <w:pPr>
        <w:pStyle w:val="6"/>
      </w:pPr>
      <w:bookmarkStart w:id="52" w:name="公开信息利用的边界"/>
      <w:r>
        <w:t>7.1.1 公开信息利用的边界</w:t>
      </w:r>
    </w:p>
    <w:p w14:paraId="797C9E49">
      <w:pPr>
        <w:pStyle w:val="26"/>
      </w:pPr>
      <w:r>
        <w:rPr>
          <w:b/>
          <w:bCs/>
        </w:rPr>
        <w:t>[真实内容]</w:t>
      </w:r>
      <w:r>
        <w:t xml:space="preserve"> 信息隐私与数据保护研究指出，公开信息（Publicly Available Information）与私人信息（Private Information）的界限在于个体的</w:t>
      </w:r>
      <w:r>
        <w:rPr>
          <w:b/>
          <w:bCs/>
        </w:rPr>
        <w:t>合理隐私期待</w:t>
      </w:r>
      <w:r>
        <w:t>（Reasonable Expectation of Privacy）。在招聘情境中，雇主通过社交媒体筛选候选人已普遍存在，但需遵守平台服务条款与数据保护法规（如GDPR、CCPA）。</w:t>
      </w:r>
    </w:p>
    <w:p w14:paraId="3999C394">
      <w:pPr>
        <w:pStyle w:val="3"/>
      </w:pPr>
      <w:r>
        <w:rPr>
          <w:b/>
          <w:bCs/>
        </w:rPr>
        <w:t>[模拟方法论]</w:t>
      </w:r>
      <w:r>
        <w:t xml:space="preserve"> 合法操作严格限定于公开信息：</w:t>
      </w:r>
    </w:p>
    <w:tbl>
      <w:tblPr>
        <w:tblStyle w:val="44"/>
        <w:tblW w:w="8965" w:type="dxa"/>
        <w:jc w:val="center"/>
        <w:tblLayout w:type="autofit"/>
        <w:tblCellMar>
          <w:top w:w="0" w:type="dxa"/>
          <w:left w:w="108" w:type="dxa"/>
          <w:bottom w:w="0" w:type="dxa"/>
          <w:right w:w="108" w:type="dxa"/>
        </w:tblCellMar>
      </w:tblPr>
      <w:tblGrid>
        <w:gridCol w:w="1416"/>
        <w:gridCol w:w="2136"/>
        <w:gridCol w:w="2764"/>
        <w:gridCol w:w="2649"/>
      </w:tblGrid>
      <w:tr w14:paraId="2A051670">
        <w:tblPrEx>
          <w:tblCellMar>
            <w:top w:w="0" w:type="dxa"/>
            <w:left w:w="108" w:type="dxa"/>
            <w:bottom w:w="0" w:type="dxa"/>
            <w:right w:w="108" w:type="dxa"/>
          </w:tblCellMar>
        </w:tblPrEx>
        <w:trPr>
          <w:trHeight w:val="0" w:hRule="atLeast"/>
          <w:tblHeader/>
          <w:jc w:val="center"/>
        </w:trPr>
        <w:tc>
          <w:tcPr>
            <w:tcW w:w="1416" w:type="dxa"/>
            <w:tcBorders>
              <w:top w:val="single" w:color="auto" w:sz="12" w:space="0"/>
              <w:left w:val="nil"/>
              <w:bottom w:val="single" w:color="auto" w:sz="4" w:space="0"/>
              <w:right w:val="nil"/>
            </w:tcBorders>
            <w:vAlign w:val="center"/>
          </w:tcPr>
          <w:p w14:paraId="2E7ADA50">
            <w:pPr>
              <w:pStyle w:val="27"/>
              <w:snapToGrid w:val="0"/>
              <w:spacing w:line="240" w:lineRule="auto"/>
              <w:ind w:left="0" w:leftChars="0" w:right="0" w:rightChars="0" w:firstLine="0" w:firstLineChars="0"/>
              <w:jc w:val="center"/>
              <w:rPr>
                <w:b/>
              </w:rPr>
            </w:pPr>
            <w:r>
              <w:rPr>
                <w:b/>
              </w:rPr>
              <w:t>信息类别</w:t>
            </w:r>
          </w:p>
        </w:tc>
        <w:tc>
          <w:tcPr>
            <w:tcW w:w="2136" w:type="dxa"/>
            <w:tcBorders>
              <w:top w:val="single" w:color="auto" w:sz="12" w:space="0"/>
              <w:left w:val="nil"/>
              <w:bottom w:val="single" w:color="auto" w:sz="4" w:space="0"/>
              <w:right w:val="nil"/>
            </w:tcBorders>
            <w:vAlign w:val="center"/>
          </w:tcPr>
          <w:p w14:paraId="2BB29549">
            <w:pPr>
              <w:pStyle w:val="27"/>
              <w:snapToGrid w:val="0"/>
              <w:spacing w:line="240" w:lineRule="auto"/>
              <w:ind w:left="0" w:leftChars="0" w:right="0" w:rightChars="0" w:firstLine="0" w:firstLineChars="0"/>
              <w:jc w:val="center"/>
              <w:rPr>
                <w:b/>
              </w:rPr>
            </w:pPr>
            <w:r>
              <w:rPr>
                <w:b/>
              </w:rPr>
              <w:t>定义</w:t>
            </w:r>
          </w:p>
        </w:tc>
        <w:tc>
          <w:tcPr>
            <w:tcW w:w="2764" w:type="dxa"/>
            <w:tcBorders>
              <w:top w:val="single" w:color="auto" w:sz="12" w:space="0"/>
              <w:left w:val="nil"/>
              <w:bottom w:val="single" w:color="auto" w:sz="4" w:space="0"/>
              <w:right w:val="nil"/>
            </w:tcBorders>
            <w:vAlign w:val="center"/>
          </w:tcPr>
          <w:p w14:paraId="283317FC">
            <w:pPr>
              <w:pStyle w:val="27"/>
              <w:snapToGrid w:val="0"/>
              <w:spacing w:line="240" w:lineRule="auto"/>
              <w:ind w:left="0" w:leftChars="0" w:right="0" w:rightChars="0" w:firstLine="0" w:firstLineChars="0"/>
              <w:jc w:val="center"/>
              <w:rPr>
                <w:b/>
              </w:rPr>
            </w:pPr>
            <w:r>
              <w:rPr>
                <w:b/>
              </w:rPr>
              <w:t>示例</w:t>
            </w:r>
          </w:p>
        </w:tc>
        <w:tc>
          <w:tcPr>
            <w:tcW w:w="2649" w:type="dxa"/>
            <w:tcBorders>
              <w:top w:val="single" w:color="auto" w:sz="12" w:space="0"/>
              <w:left w:val="nil"/>
              <w:bottom w:val="single" w:color="auto" w:sz="4" w:space="0"/>
              <w:right w:val="nil"/>
            </w:tcBorders>
            <w:vAlign w:val="center"/>
          </w:tcPr>
          <w:p w14:paraId="00A13C80">
            <w:pPr>
              <w:pStyle w:val="27"/>
              <w:snapToGrid w:val="0"/>
              <w:spacing w:line="240" w:lineRule="auto"/>
              <w:ind w:left="0" w:leftChars="0" w:right="0" w:rightChars="0" w:firstLine="0" w:firstLineChars="0"/>
              <w:jc w:val="center"/>
              <w:rPr>
                <w:b/>
              </w:rPr>
            </w:pPr>
            <w:r>
              <w:rPr>
                <w:b/>
              </w:rPr>
              <w:t>使用限制</w:t>
            </w:r>
          </w:p>
        </w:tc>
      </w:tr>
      <w:tr w14:paraId="01DCD0CF">
        <w:tblPrEx>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tcBorders>
            <w:vAlign w:val="center"/>
          </w:tcPr>
          <w:p w14:paraId="3D5D429B">
            <w:pPr>
              <w:pStyle w:val="27"/>
              <w:snapToGrid w:val="0"/>
              <w:spacing w:line="240" w:lineRule="auto"/>
              <w:ind w:left="0" w:leftChars="0" w:right="0" w:rightChars="0" w:firstLine="0" w:firstLineChars="0"/>
              <w:jc w:val="center"/>
            </w:pPr>
            <w:r>
              <w:rPr>
                <w:b/>
                <w:bCs/>
              </w:rPr>
              <w:t>主动公开数据</w:t>
            </w:r>
          </w:p>
        </w:tc>
        <w:tc>
          <w:tcPr>
            <w:tcW w:w="2136" w:type="dxa"/>
            <w:tcBorders>
              <w:top w:val="single" w:color="auto" w:sz="4" w:space="0"/>
              <w:left w:val="nil"/>
              <w:bottom w:val="nil"/>
              <w:right w:val="nil"/>
            </w:tcBorders>
            <w:vAlign w:val="center"/>
          </w:tcPr>
          <w:p w14:paraId="3F97D901">
            <w:pPr>
              <w:pStyle w:val="27"/>
              <w:snapToGrid w:val="0"/>
              <w:spacing w:line="240" w:lineRule="auto"/>
              <w:ind w:left="0" w:leftChars="0" w:right="0" w:rightChars="0" w:firstLine="0" w:firstLineChars="0"/>
              <w:jc w:val="center"/>
            </w:pPr>
            <w:r>
              <w:t>候选人主动创建并面向公众开放的内容</w:t>
            </w:r>
          </w:p>
        </w:tc>
        <w:tc>
          <w:tcPr>
            <w:tcW w:w="2764" w:type="dxa"/>
            <w:tcBorders>
              <w:top w:val="single" w:color="auto" w:sz="4" w:space="0"/>
              <w:left w:val="nil"/>
              <w:bottom w:val="nil"/>
              <w:right w:val="nil"/>
            </w:tcBorders>
            <w:vAlign w:val="center"/>
          </w:tcPr>
          <w:p w14:paraId="50E0E42E">
            <w:pPr>
              <w:pStyle w:val="27"/>
              <w:snapToGrid w:val="0"/>
              <w:spacing w:line="240" w:lineRule="auto"/>
              <w:ind w:left="0" w:leftChars="0" w:right="0" w:rightChars="0" w:firstLine="0" w:firstLineChars="0"/>
              <w:jc w:val="left"/>
            </w:pPr>
            <w:r>
              <w:t>职业平台档案、社交媒体帖子、公开演讲</w:t>
            </w:r>
          </w:p>
        </w:tc>
        <w:tc>
          <w:tcPr>
            <w:tcW w:w="2649" w:type="dxa"/>
            <w:tcBorders>
              <w:top w:val="single" w:color="auto" w:sz="4" w:space="0"/>
              <w:left w:val="nil"/>
              <w:bottom w:val="nil"/>
              <w:right w:val="nil"/>
            </w:tcBorders>
            <w:vAlign w:val="center"/>
          </w:tcPr>
          <w:p w14:paraId="44AE352A">
            <w:pPr>
              <w:pStyle w:val="27"/>
              <w:snapToGrid w:val="0"/>
              <w:spacing w:line="240" w:lineRule="auto"/>
              <w:ind w:left="0" w:leftChars="0" w:right="0" w:rightChars="0" w:firstLine="0" w:firstLineChars="0"/>
              <w:jc w:val="left"/>
            </w:pPr>
            <w:r>
              <w:t>遵守平台服务条款，禁止大规模自动化抓取</w:t>
            </w:r>
          </w:p>
        </w:tc>
      </w:tr>
      <w:tr w14:paraId="1C6C51F1">
        <w:tblPrEx>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vAlign w:val="center"/>
          </w:tcPr>
          <w:p w14:paraId="0C600DC0">
            <w:pPr>
              <w:pStyle w:val="27"/>
              <w:snapToGrid w:val="0"/>
              <w:spacing w:line="240" w:lineRule="auto"/>
              <w:ind w:left="0" w:leftChars="0" w:right="0" w:rightChars="0" w:firstLine="0" w:firstLineChars="0"/>
              <w:jc w:val="center"/>
            </w:pPr>
            <w:r>
              <w:rPr>
                <w:b/>
                <w:bCs/>
              </w:rPr>
              <w:t>被动公开数据</w:t>
            </w:r>
          </w:p>
        </w:tc>
        <w:tc>
          <w:tcPr>
            <w:tcW w:w="2136" w:type="dxa"/>
            <w:tcBorders>
              <w:top w:val="nil"/>
              <w:left w:val="nil"/>
              <w:bottom w:val="nil"/>
              <w:right w:val="nil"/>
            </w:tcBorders>
            <w:vAlign w:val="center"/>
          </w:tcPr>
          <w:p w14:paraId="45BA771C">
            <w:pPr>
              <w:pStyle w:val="27"/>
              <w:snapToGrid w:val="0"/>
              <w:spacing w:line="240" w:lineRule="auto"/>
              <w:ind w:left="0" w:leftChars="0" w:right="0" w:rightChars="0" w:firstLine="0" w:firstLineChars="0"/>
              <w:jc w:val="center"/>
            </w:pPr>
            <w:r>
              <w:t>候选人未主动推广但可公开获取的信息</w:t>
            </w:r>
          </w:p>
        </w:tc>
        <w:tc>
          <w:tcPr>
            <w:tcW w:w="2764" w:type="dxa"/>
            <w:tcBorders>
              <w:top w:val="nil"/>
              <w:left w:val="nil"/>
              <w:bottom w:val="nil"/>
              <w:right w:val="nil"/>
            </w:tcBorders>
            <w:vAlign w:val="center"/>
          </w:tcPr>
          <w:p w14:paraId="7A373787">
            <w:pPr>
              <w:pStyle w:val="27"/>
              <w:snapToGrid w:val="0"/>
              <w:spacing w:line="240" w:lineRule="auto"/>
              <w:ind w:left="0" w:leftChars="0" w:right="0" w:rightChars="0" w:firstLine="0" w:firstLineChars="0"/>
              <w:jc w:val="left"/>
            </w:pPr>
            <w:r>
              <w:t>会议出席记录、活动照片标签、行业报道提及</w:t>
            </w:r>
          </w:p>
        </w:tc>
        <w:tc>
          <w:tcPr>
            <w:tcW w:w="2649" w:type="dxa"/>
            <w:tcBorders>
              <w:top w:val="nil"/>
              <w:left w:val="nil"/>
              <w:bottom w:val="nil"/>
              <w:right w:val="nil"/>
            </w:tcBorders>
            <w:vAlign w:val="center"/>
          </w:tcPr>
          <w:p w14:paraId="10FCBC84">
            <w:pPr>
              <w:pStyle w:val="27"/>
              <w:snapToGrid w:val="0"/>
              <w:spacing w:line="240" w:lineRule="auto"/>
              <w:ind w:left="0" w:leftChars="0" w:right="0" w:rightChars="0" w:firstLine="0" w:firstLineChars="0"/>
              <w:jc w:val="left"/>
            </w:pPr>
            <w:r>
              <w:t>注意情境完整性，避免断章取义</w:t>
            </w:r>
          </w:p>
        </w:tc>
      </w:tr>
      <w:tr w14:paraId="32EF60C1">
        <w:tblPrEx>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tcBorders>
            <w:vAlign w:val="center"/>
          </w:tcPr>
          <w:p w14:paraId="255D6AA5">
            <w:pPr>
              <w:pStyle w:val="27"/>
              <w:snapToGrid w:val="0"/>
              <w:spacing w:line="240" w:lineRule="auto"/>
              <w:ind w:left="0" w:leftChars="0" w:right="0" w:rightChars="0" w:firstLine="0" w:firstLineChars="0"/>
              <w:jc w:val="center"/>
            </w:pPr>
            <w:r>
              <w:rPr>
                <w:b/>
                <w:bCs/>
              </w:rPr>
              <w:t>第三方共享数据</w:t>
            </w:r>
          </w:p>
        </w:tc>
        <w:tc>
          <w:tcPr>
            <w:tcW w:w="2136" w:type="dxa"/>
            <w:tcBorders>
              <w:top w:val="nil"/>
              <w:left w:val="nil"/>
              <w:bottom w:val="single" w:color="auto" w:sz="12" w:space="0"/>
              <w:right w:val="nil"/>
            </w:tcBorders>
            <w:vAlign w:val="center"/>
          </w:tcPr>
          <w:p w14:paraId="0CB6F0B8">
            <w:pPr>
              <w:pStyle w:val="27"/>
              <w:snapToGrid w:val="0"/>
              <w:spacing w:line="240" w:lineRule="auto"/>
              <w:ind w:left="0" w:leftChars="0" w:right="0" w:rightChars="0" w:firstLine="0" w:firstLineChars="0"/>
              <w:jc w:val="center"/>
            </w:pPr>
            <w:r>
              <w:t>共同联系人自愿分享的个人观察</w:t>
            </w:r>
          </w:p>
        </w:tc>
        <w:tc>
          <w:tcPr>
            <w:tcW w:w="2764" w:type="dxa"/>
            <w:tcBorders>
              <w:top w:val="nil"/>
              <w:left w:val="nil"/>
              <w:bottom w:val="single" w:color="auto" w:sz="12" w:space="0"/>
              <w:right w:val="nil"/>
            </w:tcBorders>
            <w:vAlign w:val="center"/>
          </w:tcPr>
          <w:p w14:paraId="37841168">
            <w:pPr>
              <w:pStyle w:val="27"/>
              <w:snapToGrid w:val="0"/>
              <w:spacing w:line="240" w:lineRule="auto"/>
              <w:ind w:left="0" w:leftChars="0" w:right="0" w:rightChars="0" w:firstLine="0" w:firstLineChars="0"/>
              <w:jc w:val="left"/>
            </w:pPr>
            <w:r>
              <w:t>前同事评价、合作者反馈</w:t>
            </w:r>
          </w:p>
        </w:tc>
        <w:tc>
          <w:tcPr>
            <w:tcW w:w="2649" w:type="dxa"/>
            <w:tcBorders>
              <w:top w:val="nil"/>
              <w:left w:val="nil"/>
              <w:bottom w:val="single" w:color="auto" w:sz="12" w:space="0"/>
              <w:right w:val="nil"/>
            </w:tcBorders>
            <w:vAlign w:val="center"/>
          </w:tcPr>
          <w:p w14:paraId="734A2283">
            <w:pPr>
              <w:pStyle w:val="27"/>
              <w:snapToGrid w:val="0"/>
              <w:spacing w:line="240" w:lineRule="auto"/>
              <w:ind w:left="0" w:leftChars="0" w:right="0" w:rightChars="0" w:firstLine="0" w:firstLineChars="0"/>
              <w:jc w:val="left"/>
            </w:pPr>
            <w:r>
              <w:t>确保自愿性，明确使用范围，保密承诺</w:t>
            </w:r>
          </w:p>
        </w:tc>
      </w:tr>
    </w:tbl>
    <w:p w14:paraId="6A6FAE32">
      <w:pPr>
        <w:pStyle w:val="3"/>
      </w:pPr>
      <w:r>
        <w:rPr>
          <w:b/>
          <w:bCs/>
        </w:rPr>
        <w:t>[真实内容]</w:t>
      </w:r>
      <w:r>
        <w:t xml:space="preserve"> 研究表明，候选人普遍接受雇主查看其LinkedIn档案（被视为职业目的），但对Facebook个人生活的审查感到隐私被侵犯。因此，评估应聚焦于专业平台与公开职业内容，避免深度挖掘私人生活领域。</w:t>
      </w:r>
    </w:p>
    <w:bookmarkEnd w:id="52"/>
    <w:p w14:paraId="3EBC0E7E">
      <w:pPr>
        <w:pStyle w:val="6"/>
      </w:pPr>
      <w:bookmarkStart w:id="53" w:name="合理推断边界"/>
      <w:r>
        <w:t>7.1.2 合理推断边界</w:t>
      </w:r>
    </w:p>
    <w:p w14:paraId="3B7B66EB">
      <w:pPr>
        <w:pStyle w:val="26"/>
      </w:pPr>
      <w:r>
        <w:rPr>
          <w:b/>
          <w:bCs/>
        </w:rPr>
        <w:t>[模拟方法论]</w:t>
      </w:r>
      <w:r>
        <w:t xml:space="preserve"> 合理推断承认评估者基于公开信息的判断权利，但设定明确边界：</w:t>
      </w:r>
    </w:p>
    <w:tbl>
      <w:tblPr>
        <w:tblStyle w:val="44"/>
        <w:tblW w:w="8856" w:type="dxa"/>
        <w:jc w:val="center"/>
        <w:tblLayout w:type="autofit"/>
        <w:tblCellMar>
          <w:top w:w="0" w:type="dxa"/>
          <w:left w:w="108" w:type="dxa"/>
          <w:bottom w:w="0" w:type="dxa"/>
          <w:right w:w="108" w:type="dxa"/>
        </w:tblCellMar>
      </w:tblPr>
      <w:tblGrid>
        <w:gridCol w:w="1462"/>
        <w:gridCol w:w="2802"/>
        <w:gridCol w:w="2128"/>
        <w:gridCol w:w="2464"/>
      </w:tblGrid>
      <w:tr w14:paraId="27C440E4">
        <w:tblPrEx>
          <w:tblCellMar>
            <w:top w:w="0" w:type="dxa"/>
            <w:left w:w="108" w:type="dxa"/>
            <w:bottom w:w="0" w:type="dxa"/>
            <w:right w:w="108" w:type="dxa"/>
          </w:tblCellMar>
        </w:tblPrEx>
        <w:trPr>
          <w:trHeight w:val="0" w:hRule="atLeast"/>
          <w:tblHeader/>
          <w:jc w:val="center"/>
        </w:trPr>
        <w:tc>
          <w:tcPr>
            <w:tcW w:w="1462" w:type="dxa"/>
            <w:tcBorders>
              <w:top w:val="single" w:color="auto" w:sz="12" w:space="0"/>
              <w:left w:val="nil"/>
              <w:bottom w:val="single" w:color="auto" w:sz="4" w:space="0"/>
              <w:right w:val="nil"/>
            </w:tcBorders>
            <w:vAlign w:val="center"/>
          </w:tcPr>
          <w:p w14:paraId="59A2D4FA">
            <w:pPr>
              <w:pStyle w:val="27"/>
              <w:snapToGrid w:val="0"/>
              <w:spacing w:line="240" w:lineRule="auto"/>
              <w:ind w:left="0" w:leftChars="0" w:right="0" w:rightChars="0" w:firstLine="0" w:firstLineChars="0"/>
              <w:jc w:val="center"/>
              <w:rPr>
                <w:b/>
              </w:rPr>
            </w:pPr>
            <w:r>
              <w:rPr>
                <w:b/>
              </w:rPr>
              <w:t>推断类型</w:t>
            </w:r>
          </w:p>
        </w:tc>
        <w:tc>
          <w:tcPr>
            <w:tcW w:w="2802" w:type="dxa"/>
            <w:tcBorders>
              <w:top w:val="single" w:color="auto" w:sz="12" w:space="0"/>
              <w:left w:val="nil"/>
              <w:bottom w:val="single" w:color="auto" w:sz="4" w:space="0"/>
              <w:right w:val="nil"/>
            </w:tcBorders>
            <w:vAlign w:val="center"/>
          </w:tcPr>
          <w:p w14:paraId="1EFABA40">
            <w:pPr>
              <w:pStyle w:val="27"/>
              <w:snapToGrid w:val="0"/>
              <w:spacing w:line="240" w:lineRule="auto"/>
              <w:ind w:left="0" w:leftChars="0" w:right="0" w:rightChars="0" w:firstLine="0" w:firstLineChars="0"/>
              <w:jc w:val="center"/>
              <w:rPr>
                <w:b/>
              </w:rPr>
            </w:pPr>
            <w:r>
              <w:rPr>
                <w:b/>
              </w:rPr>
              <w:t>允许范围</w:t>
            </w:r>
          </w:p>
        </w:tc>
        <w:tc>
          <w:tcPr>
            <w:tcW w:w="2128" w:type="dxa"/>
            <w:tcBorders>
              <w:top w:val="single" w:color="auto" w:sz="12" w:space="0"/>
              <w:left w:val="nil"/>
              <w:bottom w:val="single" w:color="auto" w:sz="4" w:space="0"/>
              <w:right w:val="nil"/>
            </w:tcBorders>
            <w:vAlign w:val="center"/>
          </w:tcPr>
          <w:p w14:paraId="771C976E">
            <w:pPr>
              <w:pStyle w:val="27"/>
              <w:snapToGrid w:val="0"/>
              <w:spacing w:line="240" w:lineRule="auto"/>
              <w:ind w:left="0" w:leftChars="0" w:right="0" w:rightChars="0" w:firstLine="0" w:firstLineChars="0"/>
              <w:jc w:val="center"/>
              <w:rPr>
                <w:b/>
              </w:rPr>
            </w:pPr>
            <w:r>
              <w:rPr>
                <w:b/>
              </w:rPr>
              <w:t>禁止范围</w:t>
            </w:r>
          </w:p>
        </w:tc>
        <w:tc>
          <w:tcPr>
            <w:tcW w:w="2464" w:type="dxa"/>
            <w:tcBorders>
              <w:top w:val="single" w:color="auto" w:sz="12" w:space="0"/>
              <w:left w:val="nil"/>
              <w:bottom w:val="single" w:color="auto" w:sz="4" w:space="0"/>
              <w:right w:val="nil"/>
            </w:tcBorders>
            <w:vAlign w:val="center"/>
          </w:tcPr>
          <w:p w14:paraId="392B2AEB">
            <w:pPr>
              <w:pStyle w:val="27"/>
              <w:snapToGrid w:val="0"/>
              <w:spacing w:line="240" w:lineRule="auto"/>
              <w:ind w:left="0" w:leftChars="0" w:right="0" w:rightChars="0" w:firstLine="0" w:firstLineChars="0"/>
              <w:jc w:val="center"/>
              <w:rPr>
                <w:b/>
              </w:rPr>
            </w:pPr>
            <w:r>
              <w:rPr>
                <w:b/>
              </w:rPr>
              <w:t>质量标注</w:t>
            </w:r>
          </w:p>
        </w:tc>
      </w:tr>
      <w:tr w14:paraId="5F084836">
        <w:tblPrEx>
          <w:tblCellMar>
            <w:top w:w="0" w:type="dxa"/>
            <w:left w:w="108" w:type="dxa"/>
            <w:bottom w:w="0" w:type="dxa"/>
            <w:right w:w="108" w:type="dxa"/>
          </w:tblCellMar>
        </w:tblPrEx>
        <w:trPr>
          <w:trHeight w:val="0" w:hRule="atLeast"/>
          <w:jc w:val="center"/>
        </w:trPr>
        <w:tc>
          <w:tcPr>
            <w:tcW w:w="1462" w:type="dxa"/>
            <w:tcBorders>
              <w:top w:val="single" w:color="auto" w:sz="4" w:space="0"/>
              <w:left w:val="nil"/>
              <w:bottom w:val="nil"/>
              <w:right w:val="nil"/>
            </w:tcBorders>
            <w:vAlign w:val="center"/>
          </w:tcPr>
          <w:p w14:paraId="05F19879">
            <w:pPr>
              <w:pStyle w:val="27"/>
              <w:snapToGrid w:val="0"/>
              <w:spacing w:line="240" w:lineRule="auto"/>
              <w:ind w:left="0" w:leftChars="0" w:right="0" w:rightChars="0" w:firstLine="0" w:firstLineChars="0"/>
              <w:jc w:val="center"/>
            </w:pPr>
            <w:r>
              <w:rPr>
                <w:b/>
                <w:bCs/>
              </w:rPr>
              <w:t>行为模式归纳</w:t>
            </w:r>
          </w:p>
        </w:tc>
        <w:tc>
          <w:tcPr>
            <w:tcW w:w="2802" w:type="dxa"/>
            <w:tcBorders>
              <w:top w:val="single" w:color="auto" w:sz="4" w:space="0"/>
              <w:left w:val="nil"/>
              <w:bottom w:val="nil"/>
              <w:right w:val="nil"/>
            </w:tcBorders>
            <w:vAlign w:val="center"/>
          </w:tcPr>
          <w:p w14:paraId="0B441D51">
            <w:pPr>
              <w:pStyle w:val="27"/>
              <w:snapToGrid w:val="0"/>
              <w:spacing w:line="240" w:lineRule="auto"/>
              <w:ind w:left="0" w:leftChars="0" w:right="0" w:rightChars="0" w:firstLine="0" w:firstLineChars="0"/>
              <w:jc w:val="left"/>
            </w:pPr>
            <w:r>
              <w:t>基于3次以上独立观察的趋势判断</w:t>
            </w:r>
          </w:p>
        </w:tc>
        <w:tc>
          <w:tcPr>
            <w:tcW w:w="2128" w:type="dxa"/>
            <w:tcBorders>
              <w:top w:val="single" w:color="auto" w:sz="4" w:space="0"/>
              <w:left w:val="nil"/>
              <w:bottom w:val="nil"/>
              <w:right w:val="nil"/>
            </w:tcBorders>
            <w:vAlign w:val="center"/>
          </w:tcPr>
          <w:p w14:paraId="0679A32E">
            <w:pPr>
              <w:pStyle w:val="27"/>
              <w:snapToGrid w:val="0"/>
              <w:spacing w:line="240" w:lineRule="auto"/>
              <w:ind w:left="0" w:leftChars="0" w:right="0" w:rightChars="0" w:firstLine="0" w:firstLineChars="0"/>
              <w:jc w:val="center"/>
            </w:pPr>
            <w:r>
              <w:t>单次观察的过度泛化</w:t>
            </w:r>
          </w:p>
        </w:tc>
        <w:tc>
          <w:tcPr>
            <w:tcW w:w="2464" w:type="dxa"/>
            <w:tcBorders>
              <w:top w:val="single" w:color="auto" w:sz="4" w:space="0"/>
              <w:left w:val="nil"/>
              <w:bottom w:val="nil"/>
              <w:right w:val="nil"/>
            </w:tcBorders>
            <w:vAlign w:val="center"/>
          </w:tcPr>
          <w:p w14:paraId="515BABFE">
            <w:pPr>
              <w:pStyle w:val="27"/>
              <w:snapToGrid w:val="0"/>
              <w:spacing w:line="240" w:lineRule="auto"/>
              <w:ind w:left="0" w:leftChars="0" w:right="0" w:rightChars="0" w:firstLine="0" w:firstLineChars="0"/>
              <w:jc w:val="center"/>
            </w:pPr>
            <w:r>
              <w:t>标注观察次数与情境多样性</w:t>
            </w:r>
          </w:p>
        </w:tc>
      </w:tr>
      <w:tr w14:paraId="612A768D">
        <w:tblPrEx>
          <w:tblCellMar>
            <w:top w:w="0" w:type="dxa"/>
            <w:left w:w="108" w:type="dxa"/>
            <w:bottom w:w="0" w:type="dxa"/>
            <w:right w:w="108" w:type="dxa"/>
          </w:tblCellMar>
        </w:tblPrEx>
        <w:trPr>
          <w:trHeight w:val="0" w:hRule="atLeast"/>
          <w:jc w:val="center"/>
        </w:trPr>
        <w:tc>
          <w:tcPr>
            <w:tcW w:w="1462" w:type="dxa"/>
            <w:tcBorders>
              <w:top w:val="nil"/>
              <w:left w:val="nil"/>
              <w:bottom w:val="nil"/>
              <w:right w:val="nil"/>
            </w:tcBorders>
            <w:vAlign w:val="center"/>
          </w:tcPr>
          <w:p w14:paraId="20C39ED8">
            <w:pPr>
              <w:pStyle w:val="27"/>
              <w:snapToGrid w:val="0"/>
              <w:spacing w:line="240" w:lineRule="auto"/>
              <w:ind w:left="0" w:leftChars="0" w:right="0" w:rightChars="0" w:firstLine="0" w:firstLineChars="0"/>
              <w:jc w:val="center"/>
            </w:pPr>
            <w:r>
              <w:rPr>
                <w:b/>
                <w:bCs/>
              </w:rPr>
              <w:t>情境因素考量</w:t>
            </w:r>
          </w:p>
        </w:tc>
        <w:tc>
          <w:tcPr>
            <w:tcW w:w="2802" w:type="dxa"/>
            <w:tcBorders>
              <w:top w:val="nil"/>
              <w:left w:val="nil"/>
              <w:bottom w:val="nil"/>
              <w:right w:val="nil"/>
            </w:tcBorders>
            <w:vAlign w:val="center"/>
          </w:tcPr>
          <w:p w14:paraId="0F4F10FB">
            <w:pPr>
              <w:pStyle w:val="27"/>
              <w:snapToGrid w:val="0"/>
              <w:spacing w:line="240" w:lineRule="auto"/>
              <w:ind w:left="0" w:leftChars="0" w:right="0" w:rightChars="0" w:firstLine="0" w:firstLineChars="0"/>
              <w:jc w:val="left"/>
            </w:pPr>
            <w:r>
              <w:t>特定压力情境下的行为豁免</w:t>
            </w:r>
          </w:p>
        </w:tc>
        <w:tc>
          <w:tcPr>
            <w:tcW w:w="2128" w:type="dxa"/>
            <w:tcBorders>
              <w:top w:val="nil"/>
              <w:left w:val="nil"/>
              <w:bottom w:val="nil"/>
              <w:right w:val="nil"/>
            </w:tcBorders>
            <w:vAlign w:val="center"/>
          </w:tcPr>
          <w:p w14:paraId="7265BFF2">
            <w:pPr>
              <w:pStyle w:val="27"/>
              <w:snapToGrid w:val="0"/>
              <w:spacing w:line="240" w:lineRule="auto"/>
              <w:ind w:left="0" w:leftChars="0" w:right="0" w:rightChars="0" w:firstLine="0" w:firstLineChars="0"/>
              <w:jc w:val="center"/>
            </w:pPr>
            <w:r>
              <w:t>脱离情境的永久性标签</w:t>
            </w:r>
          </w:p>
        </w:tc>
        <w:tc>
          <w:tcPr>
            <w:tcW w:w="2464" w:type="dxa"/>
            <w:tcBorders>
              <w:top w:val="nil"/>
              <w:left w:val="nil"/>
              <w:bottom w:val="nil"/>
              <w:right w:val="nil"/>
            </w:tcBorders>
            <w:vAlign w:val="center"/>
          </w:tcPr>
          <w:p w14:paraId="156442A8">
            <w:pPr>
              <w:pStyle w:val="27"/>
              <w:snapToGrid w:val="0"/>
              <w:spacing w:line="240" w:lineRule="auto"/>
              <w:ind w:left="0" w:leftChars="0" w:right="0" w:rightChars="0" w:firstLine="0" w:firstLineChars="0"/>
              <w:jc w:val="center"/>
            </w:pPr>
            <w:r>
              <w:t>说明情境因素与推断不确定性</w:t>
            </w:r>
          </w:p>
        </w:tc>
      </w:tr>
      <w:tr w14:paraId="2F9F2E8D">
        <w:tblPrEx>
          <w:tblCellMar>
            <w:top w:w="0" w:type="dxa"/>
            <w:left w:w="108" w:type="dxa"/>
            <w:bottom w:w="0" w:type="dxa"/>
            <w:right w:w="108" w:type="dxa"/>
          </w:tblCellMar>
        </w:tblPrEx>
        <w:trPr>
          <w:trHeight w:val="0" w:hRule="atLeast"/>
          <w:jc w:val="center"/>
        </w:trPr>
        <w:tc>
          <w:tcPr>
            <w:tcW w:w="1462" w:type="dxa"/>
            <w:tcBorders>
              <w:top w:val="nil"/>
              <w:left w:val="nil"/>
              <w:bottom w:val="single" w:color="auto" w:sz="12" w:space="0"/>
              <w:right w:val="nil"/>
            </w:tcBorders>
            <w:vAlign w:val="center"/>
          </w:tcPr>
          <w:p w14:paraId="32475E96">
            <w:pPr>
              <w:pStyle w:val="27"/>
              <w:snapToGrid w:val="0"/>
              <w:spacing w:line="240" w:lineRule="auto"/>
              <w:ind w:left="0" w:leftChars="0" w:right="0" w:rightChars="0" w:firstLine="0" w:firstLineChars="0"/>
              <w:jc w:val="center"/>
            </w:pPr>
            <w:r>
              <w:rPr>
                <w:b/>
                <w:bCs/>
              </w:rPr>
              <w:t>成长可能性预留</w:t>
            </w:r>
          </w:p>
        </w:tc>
        <w:tc>
          <w:tcPr>
            <w:tcW w:w="2802" w:type="dxa"/>
            <w:tcBorders>
              <w:top w:val="nil"/>
              <w:left w:val="nil"/>
              <w:bottom w:val="single" w:color="auto" w:sz="12" w:space="0"/>
              <w:right w:val="nil"/>
            </w:tcBorders>
            <w:vAlign w:val="center"/>
          </w:tcPr>
          <w:p w14:paraId="50EA09DF">
            <w:pPr>
              <w:pStyle w:val="27"/>
              <w:snapToGrid w:val="0"/>
              <w:spacing w:line="240" w:lineRule="auto"/>
              <w:ind w:left="0" w:leftChars="0" w:right="0" w:rightChars="0" w:firstLine="0" w:firstLineChars="0"/>
              <w:jc w:val="left"/>
            </w:pPr>
            <w:r>
              <w:t>当前状态与发展潜力的区分</w:t>
            </w:r>
          </w:p>
        </w:tc>
        <w:tc>
          <w:tcPr>
            <w:tcW w:w="2128" w:type="dxa"/>
            <w:tcBorders>
              <w:top w:val="nil"/>
              <w:left w:val="nil"/>
              <w:bottom w:val="single" w:color="auto" w:sz="12" w:space="0"/>
              <w:right w:val="nil"/>
            </w:tcBorders>
            <w:vAlign w:val="center"/>
          </w:tcPr>
          <w:p w14:paraId="7150AB02">
            <w:pPr>
              <w:pStyle w:val="27"/>
              <w:snapToGrid w:val="0"/>
              <w:spacing w:line="240" w:lineRule="auto"/>
              <w:ind w:left="0" w:leftChars="0" w:right="0" w:rightChars="0" w:firstLine="0" w:firstLineChars="0"/>
              <w:jc w:val="center"/>
            </w:pPr>
            <w:r>
              <w:t>基于历史记录的固化判断</w:t>
            </w:r>
          </w:p>
        </w:tc>
        <w:tc>
          <w:tcPr>
            <w:tcW w:w="2464" w:type="dxa"/>
            <w:tcBorders>
              <w:top w:val="nil"/>
              <w:left w:val="nil"/>
              <w:bottom w:val="single" w:color="auto" w:sz="12" w:space="0"/>
              <w:right w:val="nil"/>
            </w:tcBorders>
            <w:vAlign w:val="center"/>
          </w:tcPr>
          <w:p w14:paraId="06EE1CA2">
            <w:pPr>
              <w:pStyle w:val="27"/>
              <w:snapToGrid w:val="0"/>
              <w:spacing w:line="240" w:lineRule="auto"/>
              <w:ind w:left="0" w:leftChars="0" w:right="0" w:rightChars="0" w:firstLine="0" w:firstLineChars="0"/>
              <w:jc w:val="center"/>
            </w:pPr>
            <w:r>
              <w:t>明确评估针对合作开始时状态</w:t>
            </w:r>
          </w:p>
        </w:tc>
      </w:tr>
      <w:bookmarkEnd w:id="51"/>
      <w:bookmarkEnd w:id="53"/>
    </w:tbl>
    <w:p w14:paraId="6EFF3529">
      <w:pPr>
        <w:pStyle w:val="5"/>
      </w:pPr>
      <w:bookmarkStart w:id="54" w:name="禁止行为清单"/>
      <w:r>
        <w:t>7.2 禁止行为清单</w:t>
      </w:r>
    </w:p>
    <w:p w14:paraId="45EB806E">
      <w:pPr>
        <w:pStyle w:val="6"/>
      </w:pPr>
      <w:bookmarkStart w:id="55" w:name="隐私侵犯红线"/>
      <w:r>
        <w:t>7.2.1 隐私侵犯红线</w:t>
      </w:r>
    </w:p>
    <w:p w14:paraId="0A3E0495">
      <w:pPr>
        <w:pStyle w:val="26"/>
      </w:pPr>
      <w:r>
        <w:rPr>
          <w:b/>
          <w:bCs/>
        </w:rPr>
        <w:t>[真实内容]</w:t>
      </w:r>
      <w:r>
        <w:t xml:space="preserve"> 侵犯隐私的评估行为可能触发法律风险，包括侵犯公民个人信息罪、非法获取计算机信息系统数据罪、非法跟踪等。</w:t>
      </w:r>
    </w:p>
    <w:p w14:paraId="31B3DDBC">
      <w:pPr>
        <w:pStyle w:val="3"/>
      </w:pPr>
      <w:r>
        <w:rPr>
          <w:b/>
          <w:bCs/>
        </w:rPr>
        <w:t>[模拟方法论]</w:t>
      </w:r>
      <w:r>
        <w:t xml:space="preserve"> 明确禁止的行为：</w:t>
      </w:r>
    </w:p>
    <w:p w14:paraId="7E3A9A9B">
      <w:pPr>
        <w:pStyle w:val="27"/>
        <w:numPr>
          <w:ilvl w:val="0"/>
          <w:numId w:val="6"/>
        </w:numPr>
      </w:pPr>
      <w:r>
        <w:rPr>
          <w:b/>
          <w:bCs/>
        </w:rPr>
        <w:t>非公开信息获取</w:t>
      </w:r>
      <w:r>
        <w:t>：突破隐私设置、恢复已删除信息、社交工程骗取；</w:t>
      </w:r>
    </w:p>
    <w:p w14:paraId="14884F01">
      <w:pPr>
        <w:pStyle w:val="27"/>
        <w:numPr>
          <w:ilvl w:val="0"/>
          <w:numId w:val="6"/>
        </w:numPr>
      </w:pPr>
      <w:r>
        <w:rPr>
          <w:b/>
          <w:bCs/>
        </w:rPr>
        <w:t>物理跟踪监控</w:t>
      </w:r>
      <w:r>
        <w:t>：定位追踪、住所观察、私人活动偷拍录音；</w:t>
      </w:r>
    </w:p>
    <w:p w14:paraId="5BA037A9">
      <w:pPr>
        <w:pStyle w:val="27"/>
        <w:numPr>
          <w:ilvl w:val="0"/>
          <w:numId w:val="6"/>
        </w:numPr>
      </w:pPr>
      <w:r>
        <w:rPr>
          <w:b/>
          <w:bCs/>
        </w:rPr>
        <w:t>关系网络滥用</w:t>
      </w:r>
      <w:r>
        <w:t>：共同联系人过度挖掘、信息胁迫、关系破坏。</w:t>
      </w:r>
    </w:p>
    <w:p w14:paraId="4C79003F">
      <w:pPr>
        <w:pStyle w:val="26"/>
      </w:pPr>
      <w:r>
        <w:rPr>
          <w:b/>
          <w:bCs/>
        </w:rPr>
        <w:t>[真实内容]</w:t>
      </w:r>
      <w:r>
        <w:t xml:space="preserve"> 替代方案包括：依赖已公开信息并接受信息不完整；在行业活动、公开会议中的自然观察；自愿请求、关系维护、互惠原则。</w:t>
      </w:r>
    </w:p>
    <w:bookmarkEnd w:id="55"/>
    <w:p w14:paraId="61A00CE4">
      <w:pPr>
        <w:pStyle w:val="6"/>
      </w:pPr>
      <w:bookmarkStart w:id="56" w:name="欺骗性手段"/>
      <w:r>
        <w:t>7.2.2 欺骗性手段</w:t>
      </w:r>
    </w:p>
    <w:p w14:paraId="7746791A">
      <w:pPr>
        <w:pStyle w:val="26"/>
      </w:pPr>
      <w:r>
        <w:rPr>
          <w:b/>
          <w:bCs/>
        </w:rPr>
        <w:t>[模拟方法论]</w:t>
      </w:r>
      <w:r>
        <w:t xml:space="preserve"> 破坏信任基础的评估手段，一经发现将彻底损害评估正当性：</w:t>
      </w:r>
    </w:p>
    <w:p w14:paraId="59845C05">
      <w:pPr>
        <w:pStyle w:val="27"/>
        <w:numPr>
          <w:ilvl w:val="0"/>
          <w:numId w:val="2"/>
        </w:numPr>
      </w:pPr>
      <w:r>
        <w:rPr>
          <w:b/>
          <w:bCs/>
        </w:rPr>
        <w:t>身份伪装</w:t>
      </w:r>
      <w:r>
        <w:t>：虚假姓名、职位、公司建立互动；</w:t>
      </w:r>
    </w:p>
    <w:p w14:paraId="58831CD4">
      <w:pPr>
        <w:pStyle w:val="27"/>
        <w:numPr>
          <w:ilvl w:val="0"/>
          <w:numId w:val="2"/>
        </w:numPr>
      </w:pPr>
      <w:r>
        <w:rPr>
          <w:b/>
          <w:bCs/>
        </w:rPr>
        <w:t>目的隐瞒</w:t>
      </w:r>
      <w:r>
        <w:t>：明确合作意向套取信息后终止；</w:t>
      </w:r>
    </w:p>
    <w:p w14:paraId="10B54F82">
      <w:pPr>
        <w:pStyle w:val="27"/>
        <w:numPr>
          <w:ilvl w:val="0"/>
          <w:numId w:val="2"/>
        </w:numPr>
      </w:pPr>
      <w:r>
        <w:rPr>
          <w:b/>
          <w:bCs/>
        </w:rPr>
        <w:t>信息篡改</w:t>
      </w:r>
      <w:r>
        <w:t>：选择性呈现、伪造证据支持预设判断。</w:t>
      </w:r>
    </w:p>
    <w:p w14:paraId="61AC7C53">
      <w:pPr>
        <w:pStyle w:val="26"/>
      </w:pPr>
      <w:r>
        <w:rPr>
          <w:b/>
          <w:bCs/>
        </w:rPr>
        <w:t>[真实内容]</w:t>
      </w:r>
      <w:r>
        <w:t xml:space="preserve"> 正当替代包括：真实身份但选择性信息披露；自然场景嵌入使评估成为副产品；完整信息披露与矛盾主动标注。</w:t>
      </w:r>
    </w:p>
    <w:bookmarkEnd w:id="54"/>
    <w:bookmarkEnd w:id="56"/>
    <w:p w14:paraId="370F0F69">
      <w:pPr>
        <w:pStyle w:val="5"/>
      </w:pPr>
      <w:bookmarkStart w:id="57" w:name="透明度梯度与纠错机制"/>
      <w:r>
        <w:t>7.3 透明度梯度与纠错机制</w:t>
      </w:r>
    </w:p>
    <w:p w14:paraId="658F919C">
      <w:pPr>
        <w:pStyle w:val="6"/>
      </w:pPr>
      <w:bookmarkStart w:id="58" w:name="评估前中后的信息披露"/>
      <w:r>
        <w:t>7.3.1 评估前、中、后的信息披露</w:t>
      </w:r>
    </w:p>
    <w:p w14:paraId="4F49029B">
      <w:pPr>
        <w:pStyle w:val="26"/>
      </w:pPr>
      <w:r>
        <w:rPr>
          <w:b/>
          <w:bCs/>
        </w:rPr>
        <w:t>[模拟方法论]</w:t>
      </w:r>
      <w:r>
        <w:t xml:space="preserve"> 透明度梯度策略：</w:t>
      </w:r>
    </w:p>
    <w:tbl>
      <w:tblPr>
        <w:tblStyle w:val="44"/>
        <w:tblW w:w="8855" w:type="dxa"/>
        <w:jc w:val="center"/>
        <w:tblLayout w:type="autofit"/>
        <w:tblCellMar>
          <w:top w:w="0" w:type="dxa"/>
          <w:left w:w="108" w:type="dxa"/>
          <w:bottom w:w="0" w:type="dxa"/>
          <w:right w:w="108" w:type="dxa"/>
        </w:tblCellMar>
      </w:tblPr>
      <w:tblGrid>
        <w:gridCol w:w="1366"/>
        <w:gridCol w:w="1605"/>
        <w:gridCol w:w="3240"/>
        <w:gridCol w:w="2644"/>
      </w:tblGrid>
      <w:tr w14:paraId="2F065783">
        <w:tblPrEx>
          <w:tblCellMar>
            <w:top w:w="0" w:type="dxa"/>
            <w:left w:w="108" w:type="dxa"/>
            <w:bottom w:w="0" w:type="dxa"/>
            <w:right w:w="108" w:type="dxa"/>
          </w:tblCellMar>
        </w:tblPrEx>
        <w:trPr>
          <w:trHeight w:val="0" w:hRule="atLeast"/>
          <w:tblHeader/>
          <w:jc w:val="center"/>
        </w:trPr>
        <w:tc>
          <w:tcPr>
            <w:tcW w:w="1366" w:type="dxa"/>
            <w:tcBorders>
              <w:top w:val="single" w:color="auto" w:sz="12" w:space="0"/>
              <w:left w:val="nil"/>
              <w:bottom w:val="single" w:color="auto" w:sz="4" w:space="0"/>
              <w:right w:val="nil"/>
            </w:tcBorders>
            <w:vAlign w:val="center"/>
          </w:tcPr>
          <w:p w14:paraId="268B8C16">
            <w:pPr>
              <w:pStyle w:val="27"/>
              <w:snapToGrid w:val="0"/>
              <w:spacing w:line="240" w:lineRule="auto"/>
              <w:ind w:left="0" w:leftChars="0" w:right="0" w:rightChars="0" w:firstLine="0" w:firstLineChars="0"/>
              <w:jc w:val="center"/>
              <w:rPr>
                <w:b/>
              </w:rPr>
            </w:pPr>
            <w:r>
              <w:rPr>
                <w:b/>
              </w:rPr>
              <w:t>阶段</w:t>
            </w:r>
          </w:p>
        </w:tc>
        <w:tc>
          <w:tcPr>
            <w:tcW w:w="1605" w:type="dxa"/>
            <w:tcBorders>
              <w:top w:val="single" w:color="auto" w:sz="12" w:space="0"/>
              <w:left w:val="nil"/>
              <w:bottom w:val="single" w:color="auto" w:sz="4" w:space="0"/>
              <w:right w:val="nil"/>
            </w:tcBorders>
            <w:vAlign w:val="center"/>
          </w:tcPr>
          <w:p w14:paraId="35963FD5">
            <w:pPr>
              <w:pStyle w:val="27"/>
              <w:snapToGrid w:val="0"/>
              <w:spacing w:line="240" w:lineRule="auto"/>
              <w:ind w:left="0" w:leftChars="0" w:right="0" w:rightChars="0" w:firstLine="0" w:firstLineChars="0"/>
              <w:jc w:val="center"/>
              <w:rPr>
                <w:b/>
              </w:rPr>
            </w:pPr>
            <w:r>
              <w:rPr>
                <w:b/>
              </w:rPr>
              <w:t>透明度要求</w:t>
            </w:r>
          </w:p>
        </w:tc>
        <w:tc>
          <w:tcPr>
            <w:tcW w:w="3240" w:type="dxa"/>
            <w:tcBorders>
              <w:top w:val="single" w:color="auto" w:sz="12" w:space="0"/>
              <w:left w:val="nil"/>
              <w:bottom w:val="single" w:color="auto" w:sz="4" w:space="0"/>
              <w:right w:val="nil"/>
            </w:tcBorders>
            <w:vAlign w:val="center"/>
          </w:tcPr>
          <w:p w14:paraId="6835857C">
            <w:pPr>
              <w:pStyle w:val="27"/>
              <w:snapToGrid w:val="0"/>
              <w:spacing w:line="240" w:lineRule="auto"/>
              <w:ind w:left="0" w:leftChars="0" w:right="0" w:rightChars="0" w:firstLine="0" w:firstLineChars="0"/>
              <w:jc w:val="center"/>
              <w:rPr>
                <w:b/>
              </w:rPr>
            </w:pPr>
            <w:r>
              <w:rPr>
                <w:b/>
              </w:rPr>
              <w:t>操作实践</w:t>
            </w:r>
          </w:p>
        </w:tc>
        <w:tc>
          <w:tcPr>
            <w:tcW w:w="2644" w:type="dxa"/>
            <w:tcBorders>
              <w:top w:val="single" w:color="auto" w:sz="12" w:space="0"/>
              <w:left w:val="nil"/>
              <w:bottom w:val="single" w:color="auto" w:sz="4" w:space="0"/>
              <w:right w:val="nil"/>
            </w:tcBorders>
            <w:vAlign w:val="center"/>
          </w:tcPr>
          <w:p w14:paraId="2FF83E65">
            <w:pPr>
              <w:pStyle w:val="27"/>
              <w:snapToGrid w:val="0"/>
              <w:spacing w:line="240" w:lineRule="auto"/>
              <w:ind w:left="0" w:leftChars="0" w:right="0" w:rightChars="0" w:firstLine="0" w:firstLineChars="0"/>
              <w:jc w:val="center"/>
              <w:rPr>
                <w:b/>
              </w:rPr>
            </w:pPr>
            <w:r>
              <w:rPr>
                <w:b/>
              </w:rPr>
              <w:t>伦理依据</w:t>
            </w:r>
          </w:p>
        </w:tc>
      </w:tr>
      <w:tr w14:paraId="46EC9177">
        <w:tblPrEx>
          <w:tblCellMar>
            <w:top w:w="0" w:type="dxa"/>
            <w:left w:w="108" w:type="dxa"/>
            <w:bottom w:w="0" w:type="dxa"/>
            <w:right w:w="108" w:type="dxa"/>
          </w:tblCellMar>
        </w:tblPrEx>
        <w:trPr>
          <w:trHeight w:val="0" w:hRule="atLeast"/>
          <w:jc w:val="center"/>
        </w:trPr>
        <w:tc>
          <w:tcPr>
            <w:tcW w:w="1366" w:type="dxa"/>
            <w:tcBorders>
              <w:top w:val="single" w:color="auto" w:sz="4" w:space="0"/>
              <w:left w:val="nil"/>
              <w:bottom w:val="nil"/>
              <w:right w:val="nil"/>
            </w:tcBorders>
            <w:vAlign w:val="center"/>
          </w:tcPr>
          <w:p w14:paraId="0A88D9F0">
            <w:pPr>
              <w:pStyle w:val="27"/>
              <w:snapToGrid w:val="0"/>
              <w:spacing w:line="240" w:lineRule="auto"/>
              <w:ind w:left="0" w:leftChars="0" w:right="0" w:rightChars="0" w:firstLine="0" w:firstLineChars="0"/>
              <w:jc w:val="center"/>
            </w:pPr>
            <w:r>
              <w:rPr>
                <w:b/>
                <w:bCs/>
              </w:rPr>
              <w:t>评估前</w:t>
            </w:r>
          </w:p>
        </w:tc>
        <w:tc>
          <w:tcPr>
            <w:tcW w:w="1605" w:type="dxa"/>
            <w:tcBorders>
              <w:top w:val="single" w:color="auto" w:sz="4" w:space="0"/>
              <w:left w:val="nil"/>
              <w:bottom w:val="nil"/>
              <w:right w:val="nil"/>
            </w:tcBorders>
            <w:vAlign w:val="center"/>
          </w:tcPr>
          <w:p w14:paraId="10934C7B">
            <w:pPr>
              <w:pStyle w:val="27"/>
              <w:snapToGrid w:val="0"/>
              <w:spacing w:line="240" w:lineRule="auto"/>
              <w:ind w:left="0" w:leftChars="0" w:right="0" w:rightChars="0" w:firstLine="0" w:firstLineChars="0"/>
              <w:jc w:val="center"/>
            </w:pPr>
            <w:r>
              <w:t>无需告知</w:t>
            </w:r>
          </w:p>
        </w:tc>
        <w:tc>
          <w:tcPr>
            <w:tcW w:w="3240" w:type="dxa"/>
            <w:tcBorders>
              <w:top w:val="single" w:color="auto" w:sz="4" w:space="0"/>
              <w:left w:val="nil"/>
              <w:bottom w:val="nil"/>
              <w:right w:val="nil"/>
            </w:tcBorders>
            <w:vAlign w:val="center"/>
          </w:tcPr>
          <w:p w14:paraId="14A05095">
            <w:pPr>
              <w:pStyle w:val="27"/>
              <w:snapToGrid w:val="0"/>
              <w:spacing w:line="240" w:lineRule="auto"/>
              <w:ind w:left="0" w:leftChars="0" w:right="0" w:rightChars="0" w:firstLine="0" w:firstLineChars="0"/>
              <w:jc w:val="left"/>
            </w:pPr>
            <w:r>
              <w:t>无感体验的核心要求</w:t>
            </w:r>
          </w:p>
        </w:tc>
        <w:tc>
          <w:tcPr>
            <w:tcW w:w="2644" w:type="dxa"/>
            <w:tcBorders>
              <w:top w:val="single" w:color="auto" w:sz="4" w:space="0"/>
              <w:left w:val="nil"/>
              <w:bottom w:val="nil"/>
              <w:right w:val="nil"/>
            </w:tcBorders>
            <w:vAlign w:val="center"/>
          </w:tcPr>
          <w:p w14:paraId="3988952F">
            <w:pPr>
              <w:pStyle w:val="27"/>
              <w:snapToGrid w:val="0"/>
              <w:spacing w:line="240" w:lineRule="auto"/>
              <w:ind w:left="0" w:leftChars="0" w:right="0" w:rightChars="0" w:firstLine="0" w:firstLineChars="0"/>
              <w:jc w:val="left"/>
            </w:pPr>
            <w:r>
              <w:t>方法有效性前提，以严格操作边界补偿</w:t>
            </w:r>
          </w:p>
        </w:tc>
      </w:tr>
      <w:tr w14:paraId="5CDFCBC0">
        <w:tblPrEx>
          <w:tblCellMar>
            <w:top w:w="0" w:type="dxa"/>
            <w:left w:w="108" w:type="dxa"/>
            <w:bottom w:w="0" w:type="dxa"/>
            <w:right w:w="108" w:type="dxa"/>
          </w:tblCellMar>
        </w:tblPrEx>
        <w:trPr>
          <w:trHeight w:val="0" w:hRule="atLeast"/>
          <w:jc w:val="center"/>
        </w:trPr>
        <w:tc>
          <w:tcPr>
            <w:tcW w:w="1366" w:type="dxa"/>
            <w:tcBorders>
              <w:top w:val="nil"/>
              <w:left w:val="nil"/>
              <w:bottom w:val="nil"/>
              <w:right w:val="nil"/>
            </w:tcBorders>
            <w:vAlign w:val="center"/>
          </w:tcPr>
          <w:p w14:paraId="48E10491">
            <w:pPr>
              <w:pStyle w:val="27"/>
              <w:snapToGrid w:val="0"/>
              <w:spacing w:line="240" w:lineRule="auto"/>
              <w:ind w:left="0" w:leftChars="0" w:right="0" w:rightChars="0" w:firstLine="0" w:firstLineChars="0"/>
              <w:jc w:val="center"/>
            </w:pPr>
            <w:r>
              <w:rPr>
                <w:b/>
                <w:bCs/>
              </w:rPr>
              <w:t>评估后</w:t>
            </w:r>
          </w:p>
        </w:tc>
        <w:tc>
          <w:tcPr>
            <w:tcW w:w="1605" w:type="dxa"/>
            <w:tcBorders>
              <w:top w:val="nil"/>
              <w:left w:val="nil"/>
              <w:bottom w:val="nil"/>
              <w:right w:val="nil"/>
            </w:tcBorders>
            <w:vAlign w:val="center"/>
          </w:tcPr>
          <w:p w14:paraId="745BC1C6">
            <w:pPr>
              <w:pStyle w:val="27"/>
              <w:snapToGrid w:val="0"/>
              <w:spacing w:line="240" w:lineRule="auto"/>
              <w:ind w:left="0" w:leftChars="0" w:right="0" w:rightChars="0" w:firstLine="0" w:firstLineChars="0"/>
              <w:jc w:val="center"/>
            </w:pPr>
            <w:r>
              <w:t>选择性披露</w:t>
            </w:r>
          </w:p>
        </w:tc>
        <w:tc>
          <w:tcPr>
            <w:tcW w:w="3240" w:type="dxa"/>
            <w:tcBorders>
              <w:top w:val="nil"/>
              <w:left w:val="nil"/>
              <w:bottom w:val="nil"/>
              <w:right w:val="nil"/>
            </w:tcBorders>
            <w:vAlign w:val="center"/>
          </w:tcPr>
          <w:p w14:paraId="6D7A524E">
            <w:pPr>
              <w:pStyle w:val="27"/>
              <w:snapToGrid w:val="0"/>
              <w:spacing w:line="240" w:lineRule="auto"/>
              <w:ind w:left="0" w:leftChars="0" w:right="0" w:rightChars="0" w:firstLine="0" w:firstLineChars="0"/>
              <w:jc w:val="left"/>
            </w:pPr>
            <w:r>
              <w:t>进入深度合作谈判时，披露部分评估依据</w:t>
            </w:r>
          </w:p>
        </w:tc>
        <w:tc>
          <w:tcPr>
            <w:tcW w:w="2644" w:type="dxa"/>
            <w:tcBorders>
              <w:top w:val="nil"/>
              <w:left w:val="nil"/>
              <w:bottom w:val="nil"/>
              <w:right w:val="nil"/>
            </w:tcBorders>
            <w:vAlign w:val="center"/>
          </w:tcPr>
          <w:p w14:paraId="03C0BB6E">
            <w:pPr>
              <w:pStyle w:val="27"/>
              <w:snapToGrid w:val="0"/>
              <w:spacing w:line="240" w:lineRule="auto"/>
              <w:ind w:left="0" w:leftChars="0" w:right="0" w:rightChars="0" w:firstLine="0" w:firstLineChars="0"/>
              <w:jc w:val="left"/>
            </w:pPr>
            <w:r>
              <w:t>建立信任基础，展示诚意与专业度</w:t>
            </w:r>
          </w:p>
        </w:tc>
      </w:tr>
      <w:tr w14:paraId="4358CFBC">
        <w:tblPrEx>
          <w:tblCellMar>
            <w:top w:w="0" w:type="dxa"/>
            <w:left w:w="108" w:type="dxa"/>
            <w:bottom w:w="0" w:type="dxa"/>
            <w:right w:w="108" w:type="dxa"/>
          </w:tblCellMar>
        </w:tblPrEx>
        <w:trPr>
          <w:trHeight w:val="0" w:hRule="atLeast"/>
          <w:jc w:val="center"/>
        </w:trPr>
        <w:tc>
          <w:tcPr>
            <w:tcW w:w="1366" w:type="dxa"/>
            <w:tcBorders>
              <w:top w:val="nil"/>
              <w:left w:val="nil"/>
              <w:bottom w:val="single" w:color="auto" w:sz="12" w:space="0"/>
              <w:right w:val="nil"/>
            </w:tcBorders>
            <w:vAlign w:val="center"/>
          </w:tcPr>
          <w:p w14:paraId="740FD4ED">
            <w:pPr>
              <w:pStyle w:val="27"/>
              <w:snapToGrid w:val="0"/>
              <w:spacing w:line="240" w:lineRule="auto"/>
              <w:ind w:left="0" w:leftChars="0" w:right="0" w:rightChars="0" w:firstLine="0" w:firstLineChars="0"/>
              <w:jc w:val="center"/>
            </w:pPr>
            <w:r>
              <w:rPr>
                <w:b/>
                <w:bCs/>
              </w:rPr>
              <w:t>持续合作</w:t>
            </w:r>
          </w:p>
        </w:tc>
        <w:tc>
          <w:tcPr>
            <w:tcW w:w="1605" w:type="dxa"/>
            <w:tcBorders>
              <w:top w:val="nil"/>
              <w:left w:val="nil"/>
              <w:bottom w:val="single" w:color="auto" w:sz="12" w:space="0"/>
              <w:right w:val="nil"/>
            </w:tcBorders>
            <w:vAlign w:val="center"/>
          </w:tcPr>
          <w:p w14:paraId="1002DCC9">
            <w:pPr>
              <w:pStyle w:val="27"/>
              <w:snapToGrid w:val="0"/>
              <w:spacing w:line="240" w:lineRule="auto"/>
              <w:ind w:left="0" w:leftChars="0" w:right="0" w:rightChars="0" w:firstLine="0" w:firstLineChars="0"/>
              <w:jc w:val="center"/>
            </w:pPr>
            <w:r>
              <w:t>完整透明</w:t>
            </w:r>
          </w:p>
        </w:tc>
        <w:tc>
          <w:tcPr>
            <w:tcW w:w="3240" w:type="dxa"/>
            <w:tcBorders>
              <w:top w:val="nil"/>
              <w:left w:val="nil"/>
              <w:bottom w:val="single" w:color="auto" w:sz="12" w:space="0"/>
              <w:right w:val="nil"/>
            </w:tcBorders>
            <w:vAlign w:val="center"/>
          </w:tcPr>
          <w:p w14:paraId="1620A43A">
            <w:pPr>
              <w:pStyle w:val="27"/>
              <w:snapToGrid w:val="0"/>
              <w:spacing w:line="240" w:lineRule="auto"/>
              <w:ind w:left="0" w:leftChars="0" w:right="0" w:rightChars="0" w:firstLine="0" w:firstLineChars="0"/>
              <w:jc w:val="left"/>
            </w:pPr>
            <w:r>
              <w:t>双方共享评估反馈，前期隐蔽评估转化为公开对话</w:t>
            </w:r>
          </w:p>
        </w:tc>
        <w:tc>
          <w:tcPr>
            <w:tcW w:w="2644" w:type="dxa"/>
            <w:tcBorders>
              <w:top w:val="nil"/>
              <w:left w:val="nil"/>
              <w:bottom w:val="single" w:color="auto" w:sz="12" w:space="0"/>
              <w:right w:val="nil"/>
            </w:tcBorders>
            <w:vAlign w:val="center"/>
          </w:tcPr>
          <w:p w14:paraId="1A0F41A2">
            <w:pPr>
              <w:pStyle w:val="27"/>
              <w:snapToGrid w:val="0"/>
              <w:spacing w:line="240" w:lineRule="auto"/>
              <w:ind w:left="0" w:leftChars="0" w:right="0" w:rightChars="0" w:firstLine="0" w:firstLineChars="0"/>
              <w:jc w:val="left"/>
            </w:pPr>
            <w:r>
              <w:t>长期关系维护，相互了解深化</w:t>
            </w:r>
          </w:p>
        </w:tc>
      </w:tr>
      <w:bookmarkEnd w:id="58"/>
    </w:tbl>
    <w:p w14:paraId="42FF8CA9">
      <w:pPr>
        <w:pStyle w:val="6"/>
      </w:pPr>
      <w:bookmarkStart w:id="59" w:name="纠错机制"/>
      <w:r>
        <w:t>7.3.2 纠错机制</w:t>
      </w:r>
    </w:p>
    <w:p w14:paraId="35DFD559">
      <w:pPr>
        <w:pStyle w:val="26"/>
      </w:pPr>
      <w:r>
        <w:rPr>
          <w:b/>
          <w:bCs/>
        </w:rPr>
        <w:t>[模拟方法论]</w:t>
      </w:r>
      <w:r>
        <w:t xml:space="preserve"> 评估质量与候选人权益的保障：</w:t>
      </w:r>
    </w:p>
    <w:p w14:paraId="4B5AE057">
      <w:pPr>
        <w:pStyle w:val="27"/>
        <w:numPr>
          <w:ilvl w:val="0"/>
          <w:numId w:val="2"/>
        </w:numPr>
      </w:pPr>
      <w:r>
        <w:rPr>
          <w:b/>
          <w:bCs/>
        </w:rPr>
        <w:t>信息更新机制</w:t>
      </w:r>
      <w:r>
        <w:t>：候选人状态重大变化（新职位、新项目、公开澄清）触发重新评估；</w:t>
      </w:r>
    </w:p>
    <w:p w14:paraId="266393F5">
      <w:pPr>
        <w:pStyle w:val="27"/>
        <w:numPr>
          <w:ilvl w:val="0"/>
          <w:numId w:val="2"/>
        </w:numPr>
      </w:pPr>
      <w:r>
        <w:rPr>
          <w:b/>
          <w:bCs/>
        </w:rPr>
        <w:t>误判补救</w:t>
      </w:r>
      <w:r>
        <w:t>：发现基于错误信息的决策，主动修正、承担后果、沟通调整；</w:t>
      </w:r>
    </w:p>
    <w:p w14:paraId="158A2960">
      <w:pPr>
        <w:pStyle w:val="27"/>
        <w:numPr>
          <w:ilvl w:val="0"/>
          <w:numId w:val="2"/>
        </w:numPr>
      </w:pPr>
      <w:r>
        <w:rPr>
          <w:b/>
          <w:bCs/>
        </w:rPr>
        <w:t>声誉保护</w:t>
      </w:r>
      <w:r>
        <w:t>：信息泄露风险或实际泄露时的应急响应，限制知悉范围，安全存储传输。</w:t>
      </w:r>
    </w:p>
    <w:p w14:paraId="07D01FAB">
      <w:r>
        <w:pict>
          <v:rect id="_x0000_i1038" o:spt="1" style="height:1.5pt;width:0pt;" coordsize="21600,21600" o:hr="t" o:hrstd="t" o:hralign="center">
            <v:path/>
            <v:fill focussize="0,0"/>
            <v:stroke/>
            <v:imagedata o:title=""/>
            <o:lock v:ext="edit"/>
            <w10:wrap type="none"/>
            <w10:anchorlock/>
          </v:rect>
        </w:pict>
      </w:r>
    </w:p>
    <w:bookmarkEnd w:id="50"/>
    <w:bookmarkEnd w:id="57"/>
    <w:bookmarkEnd w:id="59"/>
    <w:p w14:paraId="262AEF89">
      <w:pPr>
        <w:pStyle w:val="4"/>
      </w:pPr>
      <w:bookmarkStart w:id="60" w:name="批判性反馈红军red-team与蓝军blue-team审查"/>
      <w:r>
        <w:t>8. 批判性反馈：红军（Red Team）与蓝军（Blue Team）审查</w:t>
      </w:r>
    </w:p>
    <w:p w14:paraId="08616E50">
      <w:pPr>
        <w:pStyle w:val="5"/>
      </w:pPr>
      <w:bookmarkStart w:id="61" w:name="红军视角方法论批评与风险识别"/>
      <w:r>
        <w:t>8.1 红军视角：方法论批评与风险识别</w:t>
      </w:r>
    </w:p>
    <w:p w14:paraId="71A9F627">
      <w:pPr>
        <w:pStyle w:val="26"/>
      </w:pPr>
      <w:r>
        <w:rPr>
          <w:b/>
          <w:bCs/>
        </w:rPr>
        <w:t>[模拟批判]</w:t>
      </w:r>
      <w:r>
        <w:t xml:space="preserve"> 红军（Red Team）代表批判性质疑方，识别框架的潜在缺陷与风险。</w:t>
      </w:r>
    </w:p>
    <w:p w14:paraId="053C96F6">
      <w:pPr>
        <w:pStyle w:val="6"/>
      </w:pPr>
      <w:bookmarkStart w:id="62" w:name="批评1生态效度与样本偏差风险"/>
      <w:r>
        <w:t>批评1：生态效度与样本偏差风险</w:t>
      </w:r>
    </w:p>
    <w:p w14:paraId="6368DEE3">
      <w:pPr>
        <w:pStyle w:val="26"/>
      </w:pPr>
      <w:r>
        <w:rPr>
          <w:b/>
          <w:bCs/>
        </w:rPr>
        <w:t>红军论点</w:t>
      </w:r>
      <w:r>
        <w:t>：该框架严重依赖候选人主动维护的数字足迹（LinkedIn档案、社交媒体），存在显著的</w:t>
      </w:r>
      <w:r>
        <w:rPr>
          <w:b/>
          <w:bCs/>
        </w:rPr>
        <w:t>自我选择偏差</w:t>
      </w:r>
      <w:r>
        <w:t>（Self-selection Bias）。高技能但低数字活跃度的候选人（Deep Tech专家、内向型研究者）可能被系统性排除，而擅长自我营销但能力平庸的候选人可能被过度高估。此外，</w:t>
      </w:r>
      <w:r>
        <w:rPr>
          <w:b/>
          <w:bCs/>
        </w:rPr>
        <w:t>平台算法偏见</w:t>
      </w:r>
      <w:r>
        <w:t>（Platform Algorithm Bias）——如LinkedIn推荐系统的同质化倾向——可能导致评估者陷入”信息茧房”，错过异质性人才。</w:t>
      </w:r>
    </w:p>
    <w:p w14:paraId="54EEE9F4">
      <w:pPr>
        <w:pStyle w:val="3"/>
      </w:pPr>
      <w:r>
        <w:rPr>
          <w:b/>
          <w:bCs/>
        </w:rPr>
        <w:t>蓝军回应</w:t>
      </w:r>
      <w:r>
        <w:t>：该批评成立。框架明确标注此为</w:t>
      </w:r>
      <w:r>
        <w:rPr>
          <w:b/>
          <w:bCs/>
        </w:rPr>
        <w:t>关键局限</w:t>
      </w:r>
      <w:r>
        <w:t>，建议在初步筛选后，对通过阈值的候选人主动发起直接接触（如技术社区贡献评估、专业论坛活跃度检查），以弥补数字足迹的覆盖盲区。同时，权重分配应允许创始人根据行业特性调整”数字活跃度”的重要性——对于深度技术领域，应降低社交媒体权重，提升技术产出（GitHub、专利、论文）权重。</w:t>
      </w:r>
    </w:p>
    <w:bookmarkEnd w:id="62"/>
    <w:p w14:paraId="42135052">
      <w:pPr>
        <w:pStyle w:val="6"/>
      </w:pPr>
      <w:bookmarkStart w:id="63" w:name="批评2伦理合规的可操作性困境"/>
      <w:r>
        <w:t>批评2：伦理合规的可操作性困境</w:t>
      </w:r>
    </w:p>
    <w:p w14:paraId="23C8392B">
      <w:pPr>
        <w:pStyle w:val="26"/>
      </w:pPr>
      <w:r>
        <w:rPr>
          <w:b/>
          <w:bCs/>
        </w:rPr>
        <w:t>红军论点</w:t>
      </w:r>
      <w:r>
        <w:t>：“无感体验”与”隐蔽评估”存在</w:t>
      </w:r>
      <w:r>
        <w:rPr>
          <w:b/>
          <w:bCs/>
        </w:rPr>
        <w:t>伦理滑坡风险</w:t>
      </w:r>
      <w:r>
        <w:t>（Ethical Slippery Slope）。创始人可能在实践中逐渐模糊”公开信息”与”半公开信息”的界限（如通过共同朋友获取本应保密的离职原因），或在不自知的情况下实施</w:t>
      </w:r>
      <w:r>
        <w:rPr>
          <w:b/>
          <w:bCs/>
        </w:rPr>
        <w:t>功能上的欺骗</w:t>
      </w:r>
      <w:r>
        <w:t>（Functional Deception）——虽无主动谎言，但通过场景设计刻意隐瞒评估意图可能被视为一种欺骗形式。此外，隐蔽评估获取的负面信息（如政治立场、宗教信仰）可能引发</w:t>
      </w:r>
      <w:r>
        <w:rPr>
          <w:b/>
          <w:bCs/>
        </w:rPr>
        <w:t>非法歧视</w:t>
      </w:r>
      <w:r>
        <w:t>（Unlawful Discrimination）风险，即使该信息来自公开来源。</w:t>
      </w:r>
    </w:p>
    <w:p w14:paraId="4A9E9FC2">
      <w:pPr>
        <w:pStyle w:val="3"/>
      </w:pPr>
      <w:r>
        <w:rPr>
          <w:b/>
          <w:bCs/>
        </w:rPr>
        <w:t>蓝军回应</w:t>
      </w:r>
      <w:r>
        <w:t>：该批评部分成立。框架在6.1.1节明确划定信息边界，禁止任何突破隐私设置的行为。针对”功能欺骗”，建议在评估进入深度合作阶段（如进入尽职调查）时，主动向候选人披露前期的信息收集行为，并提供</w:t>
      </w:r>
      <w:r>
        <w:rPr>
          <w:b/>
          <w:bCs/>
        </w:rPr>
        <w:t>评估反馈</w:t>
      </w:r>
      <w:r>
        <w:t>（Assessment Feedback），将隐蔽评估转化为公开对话，以修复可能的信任侵蚀。关于歧视风险，框架应增加</w:t>
      </w:r>
      <w:r>
        <w:rPr>
          <w:b/>
          <w:bCs/>
        </w:rPr>
        <w:t>相关性过滤器</w:t>
      </w:r>
      <w:r>
        <w:t>（Relevance Filter）：仅收集与合伙人角色直接相关的信息，屏蔽与工作无关的敏感属性（政治、宗教、性取向等）。</w:t>
      </w:r>
    </w:p>
    <w:bookmarkEnd w:id="63"/>
    <w:p w14:paraId="04969657">
      <w:pPr>
        <w:pStyle w:val="6"/>
      </w:pPr>
      <w:bookmarkStart w:id="64" w:name="批评3预测效度的实证缺失"/>
      <w:r>
        <w:t>批评3：预测效度的实证缺失</w:t>
      </w:r>
    </w:p>
    <w:p w14:paraId="5A1462C4">
      <w:pPr>
        <w:pStyle w:val="26"/>
      </w:pPr>
      <w:r>
        <w:rPr>
          <w:b/>
          <w:bCs/>
        </w:rPr>
        <w:t>红军论点</w:t>
      </w:r>
      <w:r>
        <w:t>：该框架缺乏</w:t>
      </w:r>
      <w:r>
        <w:rPr>
          <w:b/>
          <w:bCs/>
        </w:rPr>
        <w:t>预测效度验证</w:t>
      </w:r>
      <w:r>
        <w:t>（Predictive Validity Verification）。文中提出的”涌现匹配算法”为</w:t>
      </w:r>
      <w:r>
        <w:rPr>
          <w:b/>
          <w:bCs/>
        </w:rPr>
        <w:t>模拟方法论</w:t>
      </w:r>
      <w:r>
        <w:t>（Simulated Methodology），其声称的”零成本”与”高匹配度”效果未经实证检验。现有文献支持的是单个模块的有效性（如社交资本对创业成功的影响、社交媒体筛选的合理性），但三模块整合后的增量效度（Incremental Validity）——即该框架相比传统方法在预测合伙人长期合作成功率上的提升幅度——完全未知。创始人若基于此框架做出决策，实质是在进行一场</w:t>
      </w:r>
      <w:r>
        <w:rPr>
          <w:b/>
          <w:bCs/>
        </w:rPr>
        <w:t>未经验证的管理实验</w:t>
      </w:r>
      <w:r>
        <w:t>（Unvalidated Management Experiment）。</w:t>
      </w:r>
    </w:p>
    <w:p w14:paraId="6CFC1E9F">
      <w:pPr>
        <w:pStyle w:val="3"/>
      </w:pPr>
      <w:r>
        <w:rPr>
          <w:b/>
          <w:bCs/>
        </w:rPr>
        <w:t>蓝军回应</w:t>
      </w:r>
      <w:r>
        <w:t>：该批评完全成立且最为关键。框架在1.2节明确标注此为</w:t>
      </w:r>
      <w:r>
        <w:rPr>
          <w:b/>
          <w:bCs/>
        </w:rPr>
        <w:t>待验证领域</w:t>
      </w:r>
      <w:r>
        <w:t>，建议在V2.1版本中引入</w:t>
      </w:r>
      <w:r>
        <w:rPr>
          <w:b/>
          <w:bCs/>
        </w:rPr>
        <w:t>纵向追踪研究</w:t>
      </w:r>
      <w:r>
        <w:t>（Longitudinal Follow-up Study）：招募使用本框架的创始人样本，追踪其合伙人合作关系的持续时间、冲突频率、企业绩效等指标，与未使用该框架的对照组进行比较。在实证数据积累之前，框架应定位为</w:t>
      </w:r>
      <w:r>
        <w:rPr>
          <w:b/>
          <w:bCs/>
        </w:rPr>
        <w:t>探索性工具</w:t>
      </w:r>
      <w:r>
        <w:t>（Exploratory Tool）而非</w:t>
      </w:r>
      <w:r>
        <w:rPr>
          <w:b/>
          <w:bCs/>
        </w:rPr>
        <w:t>诊断性标准</w:t>
      </w:r>
      <w:r>
        <w:t>（Diagnostic Standard），创始人应将其作为初步筛选的补充手段，而非替代深度尽职调查与试用期评估。</w:t>
      </w:r>
    </w:p>
    <w:bookmarkEnd w:id="61"/>
    <w:bookmarkEnd w:id="64"/>
    <w:p w14:paraId="682F8C35">
      <w:pPr>
        <w:pStyle w:val="5"/>
      </w:pPr>
      <w:bookmarkStart w:id="65" w:name="蓝军视角优化建议与迭代方向"/>
      <w:r>
        <w:t>8.2 蓝军视角：优化建议与迭代方向</w:t>
      </w:r>
    </w:p>
    <w:p w14:paraId="16410143">
      <w:pPr>
        <w:pStyle w:val="26"/>
      </w:pPr>
      <w:r>
        <w:rPr>
          <w:b/>
          <w:bCs/>
        </w:rPr>
        <w:t>[模拟优化]</w:t>
      </w:r>
      <w:r>
        <w:t xml:space="preserve"> 蓝军（Blue Team）代表建设性优化方，提出改进建议。</w:t>
      </w:r>
    </w:p>
    <w:p w14:paraId="72A45908">
      <w:pPr>
        <w:pStyle w:val="6"/>
      </w:pPr>
      <w:bookmarkStart w:id="66" w:name="建议1引入机器学习增强信号识别"/>
      <w:r>
        <w:t>建议1：引入机器学习增强信号识别</w:t>
      </w:r>
    </w:p>
    <w:p w14:paraId="7E64A264">
      <w:pPr>
        <w:pStyle w:val="26"/>
      </w:pPr>
      <w:r>
        <w:rPr>
          <w:b/>
          <w:bCs/>
        </w:rPr>
        <w:t>优化方案</w:t>
      </w:r>
      <w:r>
        <w:t>：当前框架依赖人工模式识别，可扩展为</w:t>
      </w:r>
      <w:r>
        <w:rPr>
          <w:b/>
          <w:bCs/>
        </w:rPr>
        <w:t>人机协同模式</w:t>
      </w:r>
      <w:r>
        <w:t>（Human-in-the-loop AI）。利用自然语言处理（NLP）技术分析候选人社交媒体文本的</w:t>
      </w:r>
      <w:r>
        <w:rPr>
          <w:b/>
          <w:bCs/>
        </w:rPr>
        <w:t>大五人格特质</w:t>
      </w:r>
      <w:r>
        <w:t>（Big Five Personality Traits），利用网络分析算法识别社交图谱中的</w:t>
      </w:r>
      <w:r>
        <w:rPr>
          <w:b/>
          <w:bCs/>
        </w:rPr>
        <w:t>结构洞</w:t>
      </w:r>
      <w:r>
        <w:t>（Structural Holes）与</w:t>
      </w:r>
      <w:r>
        <w:rPr>
          <w:b/>
          <w:bCs/>
        </w:rPr>
        <w:t>桥接节点</w:t>
      </w:r>
      <w:r>
        <w:t>（Bridging Nodes）。但需保持人类最终决策权，避免算法偏见的放大。</w:t>
      </w:r>
    </w:p>
    <w:bookmarkEnd w:id="66"/>
    <w:p w14:paraId="3059D1DA">
      <w:pPr>
        <w:pStyle w:val="6"/>
      </w:pPr>
      <w:bookmarkStart w:id="67" w:name="建议2建立行业基准数据库"/>
      <w:r>
        <w:t>建议2：建立行业基准数据库</w:t>
      </w:r>
    </w:p>
    <w:p w14:paraId="2CA8EC9C">
      <w:pPr>
        <w:pStyle w:val="26"/>
      </w:pPr>
      <w:r>
        <w:rPr>
          <w:b/>
          <w:bCs/>
        </w:rPr>
        <w:t>优化方案</w:t>
      </w:r>
      <w:r>
        <w:t>：当前评分依赖主观判断，需建立</w:t>
      </w:r>
      <w:r>
        <w:rPr>
          <w:b/>
          <w:bCs/>
        </w:rPr>
        <w:t>行业特定基准</w:t>
      </w:r>
      <w:r>
        <w:t>（Industry-Specific Benchmarks）。例如，技术合伙人的”学术产出”评分应与同行业同年龄段研究者的H指数分布进行比较，而非绝对值判断。这要求长期积累匿名化评估数据，构建参照群体（Reference Group）。</w:t>
      </w:r>
    </w:p>
    <w:bookmarkEnd w:id="67"/>
    <w:p w14:paraId="2D2EE893">
      <w:pPr>
        <w:pStyle w:val="6"/>
      </w:pPr>
      <w:bookmarkStart w:id="68" w:name="建议3开发反馈闭环机制"/>
      <w:r>
        <w:t>建议3：开发反馈闭环机制</w:t>
      </w:r>
    </w:p>
    <w:p w14:paraId="5F8A57D2">
      <w:pPr>
        <w:pStyle w:val="26"/>
      </w:pPr>
      <w:r>
        <w:rPr>
          <w:b/>
          <w:bCs/>
        </w:rPr>
        <w:t>优化方案</w:t>
      </w:r>
      <w:r>
        <w:t>：增加</w:t>
      </w:r>
      <w:r>
        <w:rPr>
          <w:b/>
          <w:bCs/>
        </w:rPr>
        <w:t>候选人体验反馈</w:t>
      </w:r>
      <w:r>
        <w:t>（Candidate Experience Feedback）收集。虽然评估过程隐蔽，但合作建立后，可邀请候选人回顾评估过程的</w:t>
      </w:r>
      <w:r>
        <w:rPr>
          <w:b/>
          <w:bCs/>
        </w:rPr>
        <w:t>感知公平性</w:t>
      </w:r>
      <w:r>
        <w:t>（Perceived Fairness），以优化未来评估的伦理合规性。</w:t>
      </w:r>
    </w:p>
    <w:p w14:paraId="6D58F282">
      <w:r>
        <w:pict>
          <v:rect id="_x0000_i1039" o:spt="1" style="height:1.5pt;width:0pt;" coordsize="21600,21600" o:hr="t" o:hrstd="t" o:hralign="center">
            <v:path/>
            <v:fill focussize="0,0"/>
            <v:stroke/>
            <v:imagedata o:title=""/>
            <o:lock v:ext="edit"/>
            <w10:wrap type="none"/>
            <w10:anchorlock/>
          </v:rect>
        </w:pict>
      </w:r>
    </w:p>
    <w:bookmarkEnd w:id="60"/>
    <w:bookmarkEnd w:id="65"/>
    <w:bookmarkEnd w:id="68"/>
    <w:p w14:paraId="76C2B432">
      <w:pPr>
        <w:pStyle w:val="4"/>
      </w:pPr>
      <w:bookmarkStart w:id="69" w:name="研究者立场声明positionality-statement"/>
      <w:r>
        <w:t>9. 研究者立场声明（Positionality Statement）</w:t>
      </w:r>
    </w:p>
    <w:p w14:paraId="0F7D1530">
      <w:pPr>
        <w:pStyle w:val="26"/>
      </w:pPr>
      <w:r>
        <w:rPr>
          <w:b/>
          <w:bCs/>
        </w:rPr>
        <w:t>[模拟声明]</w:t>
      </w:r>
      <w:r>
        <w:t xml:space="preserve"> 本研究由创业方法论研究者基于既有学术文献与实务观察编制，旨在解决早期创业团队资源约束下的合伙人评估难题。研究者承认以下立场与潜在偏见：</w:t>
      </w:r>
    </w:p>
    <w:p w14:paraId="52FC6608">
      <w:pPr>
        <w:pStyle w:val="27"/>
        <w:numPr>
          <w:ilvl w:val="0"/>
          <w:numId w:val="7"/>
        </w:numPr>
      </w:pPr>
      <w:r>
        <w:rPr>
          <w:b/>
          <w:bCs/>
        </w:rPr>
        <w:t>价值立场</w:t>
      </w:r>
      <w:r>
        <w:t>：倾向于支持资源受限创业者，可能过度强调”零成本”方案而低估专业评估服务的价值；</w:t>
      </w:r>
    </w:p>
    <w:p w14:paraId="2B8B8328">
      <w:pPr>
        <w:pStyle w:val="27"/>
        <w:numPr>
          <w:ilvl w:val="0"/>
          <w:numId w:val="7"/>
        </w:numPr>
      </w:pPr>
      <w:r>
        <w:rPr>
          <w:b/>
          <w:bCs/>
        </w:rPr>
        <w:t>理论偏好</w:t>
      </w:r>
      <w:r>
        <w:t>：受非侵入性测量理论与社交资本理论影响，可能高估数字足迹与网络关系的预测力，而低估心理测评与结构化面试的效度；</w:t>
      </w:r>
    </w:p>
    <w:p w14:paraId="280F055E">
      <w:pPr>
        <w:pStyle w:val="27"/>
        <w:numPr>
          <w:ilvl w:val="0"/>
          <w:numId w:val="7"/>
        </w:numPr>
      </w:pPr>
      <w:r>
        <w:rPr>
          <w:b/>
          <w:bCs/>
        </w:rPr>
        <w:t>文化情境</w:t>
      </w:r>
      <w:r>
        <w:t>：框架基于中国数字经济环境（脉脉、LinkedIn中国、微信生态）设计，其跨文化适用性（如欧美更严格的隐私法规、中东不同的社交规范）未经充分验证；</w:t>
      </w:r>
    </w:p>
    <w:p w14:paraId="118DF2C9">
      <w:pPr>
        <w:pStyle w:val="27"/>
        <w:numPr>
          <w:ilvl w:val="0"/>
          <w:numId w:val="7"/>
        </w:numPr>
      </w:pPr>
      <w:r>
        <w:rPr>
          <w:b/>
          <w:bCs/>
        </w:rPr>
        <w:t>利益声明</w:t>
      </w:r>
      <w:r>
        <w:t>：本研究未接受任何招聘技术公司或背景调查机构的资助，但研究者可能存在”方法论创新”的自我实现偏见，倾向于证明新框架的有效性。</w:t>
      </w:r>
    </w:p>
    <w:p w14:paraId="3D72AAF3">
      <w:r>
        <w:pict>
          <v:rect id="_x0000_i1040" o:spt="1" style="height:1.5pt;width:0pt;" coordsize="21600,21600" o:hr="t" o:hrstd="t" o:hralign="center">
            <v:path/>
            <v:fill focussize="0,0"/>
            <v:stroke/>
            <v:imagedata o:title=""/>
            <o:lock v:ext="edit"/>
            <w10:wrap type="none"/>
            <w10:anchorlock/>
          </v:rect>
        </w:pict>
      </w:r>
    </w:p>
    <w:bookmarkEnd w:id="69"/>
    <w:p w14:paraId="1454D474">
      <w:pPr>
        <w:pStyle w:val="4"/>
      </w:pPr>
      <w:bookmarkStart w:id="70" w:name="证据地图evidence-map-1"/>
      <w:r>
        <w:t>10. 证据地图（Evidence Map）</w:t>
      </w:r>
    </w:p>
    <w:p w14:paraId="713873B9">
      <w:pPr>
        <w:pStyle w:val="26"/>
      </w:pPr>
      <w:r>
        <w:rPr>
          <w:b/>
          <w:bCs/>
        </w:rPr>
        <w:t>[模拟整合]</w:t>
      </w:r>
      <w:r>
        <w:t xml:space="preserve"> 下表汇总核心主张、支持证据、置信度与反方观点：</w:t>
      </w:r>
    </w:p>
    <w:tbl>
      <w:tblPr>
        <w:tblStyle w:val="44"/>
        <w:tblW w:w="10634" w:type="dxa"/>
        <w:jc w:val="center"/>
        <w:tblLayout w:type="autofit"/>
        <w:tblCellMar>
          <w:top w:w="0" w:type="dxa"/>
          <w:left w:w="108" w:type="dxa"/>
          <w:bottom w:w="0" w:type="dxa"/>
          <w:right w:w="108" w:type="dxa"/>
        </w:tblCellMar>
      </w:tblPr>
      <w:tblGrid>
        <w:gridCol w:w="2198"/>
        <w:gridCol w:w="3216"/>
        <w:gridCol w:w="1090"/>
        <w:gridCol w:w="2471"/>
        <w:gridCol w:w="1659"/>
      </w:tblGrid>
      <w:tr w14:paraId="03E57F30">
        <w:tblPrEx>
          <w:tblCellMar>
            <w:top w:w="0" w:type="dxa"/>
            <w:left w:w="108" w:type="dxa"/>
            <w:bottom w:w="0" w:type="dxa"/>
            <w:right w:w="108" w:type="dxa"/>
          </w:tblCellMar>
        </w:tblPrEx>
        <w:trPr>
          <w:trHeight w:val="0" w:hRule="atLeast"/>
          <w:tblHeader/>
          <w:jc w:val="center"/>
        </w:trPr>
        <w:tc>
          <w:tcPr>
            <w:tcW w:w="2198" w:type="dxa"/>
            <w:tcBorders>
              <w:top w:val="single" w:color="auto" w:sz="12" w:space="0"/>
              <w:left w:val="nil"/>
              <w:bottom w:val="single" w:color="auto" w:sz="4" w:space="0"/>
              <w:right w:val="nil"/>
            </w:tcBorders>
            <w:vAlign w:val="center"/>
          </w:tcPr>
          <w:p w14:paraId="2E793AD5">
            <w:pPr>
              <w:pStyle w:val="27"/>
              <w:keepNext/>
              <w:snapToGrid w:val="0"/>
              <w:spacing w:line="240" w:lineRule="auto"/>
              <w:ind w:left="0" w:leftChars="0" w:right="0" w:rightChars="0" w:firstLine="0" w:firstLineChars="0"/>
              <w:jc w:val="center"/>
              <w:rPr>
                <w:b/>
              </w:rPr>
            </w:pPr>
            <w:bookmarkStart w:id="75" w:name="_GoBack"/>
            <w:bookmarkEnd w:id="75"/>
            <w:r>
              <w:rPr>
                <w:b/>
              </w:rPr>
              <w:t>核心主张</w:t>
            </w:r>
          </w:p>
        </w:tc>
        <w:tc>
          <w:tcPr>
            <w:tcW w:w="3216" w:type="dxa"/>
            <w:tcBorders>
              <w:top w:val="single" w:color="auto" w:sz="12" w:space="0"/>
              <w:left w:val="nil"/>
              <w:bottom w:val="single" w:color="auto" w:sz="4" w:space="0"/>
              <w:right w:val="nil"/>
            </w:tcBorders>
            <w:vAlign w:val="center"/>
          </w:tcPr>
          <w:p w14:paraId="42769F7F">
            <w:pPr>
              <w:pStyle w:val="27"/>
              <w:keepNext/>
              <w:snapToGrid w:val="0"/>
              <w:spacing w:line="240" w:lineRule="auto"/>
              <w:ind w:left="0" w:leftChars="0" w:right="0" w:rightChars="0" w:firstLine="0" w:firstLineChars="0"/>
              <w:jc w:val="center"/>
              <w:rPr>
                <w:b/>
              </w:rPr>
            </w:pPr>
            <w:r>
              <w:rPr>
                <w:b/>
              </w:rPr>
              <w:t>支持证据</w:t>
            </w:r>
          </w:p>
        </w:tc>
        <w:tc>
          <w:tcPr>
            <w:tcW w:w="1090" w:type="dxa"/>
            <w:tcBorders>
              <w:top w:val="single" w:color="auto" w:sz="12" w:space="0"/>
              <w:left w:val="nil"/>
              <w:bottom w:val="single" w:color="auto" w:sz="4" w:space="0"/>
              <w:right w:val="nil"/>
            </w:tcBorders>
            <w:vAlign w:val="center"/>
          </w:tcPr>
          <w:p w14:paraId="2CE6612D">
            <w:pPr>
              <w:pStyle w:val="27"/>
              <w:keepNext/>
              <w:snapToGrid w:val="0"/>
              <w:spacing w:line="240" w:lineRule="auto"/>
              <w:ind w:left="0" w:leftChars="0" w:right="0" w:rightChars="0" w:firstLine="0" w:firstLineChars="0"/>
              <w:jc w:val="center"/>
              <w:rPr>
                <w:b/>
              </w:rPr>
            </w:pPr>
            <w:r>
              <w:rPr>
                <w:b/>
              </w:rPr>
              <w:t>置信度</w:t>
            </w:r>
          </w:p>
        </w:tc>
        <w:tc>
          <w:tcPr>
            <w:tcW w:w="2471" w:type="dxa"/>
            <w:tcBorders>
              <w:top w:val="single" w:color="auto" w:sz="12" w:space="0"/>
              <w:left w:val="nil"/>
              <w:bottom w:val="single" w:color="auto" w:sz="4" w:space="0"/>
              <w:right w:val="nil"/>
            </w:tcBorders>
            <w:vAlign w:val="center"/>
          </w:tcPr>
          <w:p w14:paraId="06C193EA">
            <w:pPr>
              <w:pStyle w:val="27"/>
              <w:keepNext/>
              <w:snapToGrid w:val="0"/>
              <w:spacing w:line="240" w:lineRule="auto"/>
              <w:ind w:left="0" w:leftChars="0" w:right="0" w:rightChars="0" w:firstLine="0" w:firstLineChars="0"/>
              <w:jc w:val="center"/>
              <w:rPr>
                <w:b/>
              </w:rPr>
            </w:pPr>
            <w:r>
              <w:rPr>
                <w:b/>
              </w:rPr>
              <w:t>反方观点/矛盾证据</w:t>
            </w:r>
          </w:p>
        </w:tc>
        <w:tc>
          <w:tcPr>
            <w:tcW w:w="1659" w:type="dxa"/>
            <w:tcBorders>
              <w:top w:val="single" w:color="auto" w:sz="12" w:space="0"/>
              <w:left w:val="nil"/>
              <w:bottom w:val="single" w:color="auto" w:sz="4" w:space="0"/>
              <w:right w:val="nil"/>
            </w:tcBorders>
            <w:vAlign w:val="center"/>
          </w:tcPr>
          <w:p w14:paraId="17003EF0">
            <w:pPr>
              <w:pStyle w:val="27"/>
              <w:keepNext/>
              <w:snapToGrid w:val="0"/>
              <w:spacing w:line="240" w:lineRule="auto"/>
              <w:ind w:left="0" w:leftChars="0" w:right="0" w:rightChars="0" w:firstLine="0" w:firstLineChars="0"/>
              <w:jc w:val="center"/>
              <w:rPr>
                <w:b/>
              </w:rPr>
            </w:pPr>
            <w:r>
              <w:rPr>
                <w:b/>
              </w:rPr>
              <w:t>文献来源</w:t>
            </w:r>
          </w:p>
        </w:tc>
      </w:tr>
      <w:tr w14:paraId="6928AD2C">
        <w:tblPrEx>
          <w:tblCellMar>
            <w:top w:w="0" w:type="dxa"/>
            <w:left w:w="108" w:type="dxa"/>
            <w:bottom w:w="0" w:type="dxa"/>
            <w:right w:w="108" w:type="dxa"/>
          </w:tblCellMar>
        </w:tblPrEx>
        <w:trPr>
          <w:trHeight w:val="0" w:hRule="atLeast"/>
          <w:jc w:val="center"/>
        </w:trPr>
        <w:tc>
          <w:tcPr>
            <w:tcW w:w="2198" w:type="dxa"/>
            <w:tcBorders>
              <w:top w:val="single" w:color="auto" w:sz="4" w:space="0"/>
              <w:left w:val="nil"/>
              <w:bottom w:val="nil"/>
              <w:right w:val="nil"/>
            </w:tcBorders>
            <w:vAlign w:val="center"/>
          </w:tcPr>
          <w:p w14:paraId="3C090974">
            <w:pPr>
              <w:pStyle w:val="27"/>
              <w:keepNext/>
              <w:snapToGrid w:val="0"/>
              <w:spacing w:line="240" w:lineRule="auto"/>
              <w:ind w:left="0" w:leftChars="0" w:right="0" w:rightChars="0" w:firstLine="0" w:firstLineChars="0"/>
              <w:jc w:val="center"/>
            </w:pPr>
            <w:r>
              <w:rPr>
                <w:b/>
                <w:bCs/>
              </w:rPr>
              <w:t>公开数字足迹可有效评估候选人能力</w:t>
            </w:r>
          </w:p>
        </w:tc>
        <w:tc>
          <w:tcPr>
            <w:tcW w:w="3216" w:type="dxa"/>
            <w:tcBorders>
              <w:top w:val="single" w:color="auto" w:sz="4" w:space="0"/>
              <w:left w:val="nil"/>
              <w:bottom w:val="nil"/>
              <w:right w:val="nil"/>
            </w:tcBorders>
            <w:vAlign w:val="center"/>
          </w:tcPr>
          <w:p w14:paraId="7E76250C">
            <w:pPr>
              <w:pStyle w:val="27"/>
              <w:keepNext/>
              <w:snapToGrid w:val="0"/>
              <w:spacing w:line="240" w:lineRule="auto"/>
              <w:ind w:left="0" w:leftChars="0" w:right="0" w:rightChars="0" w:firstLine="0" w:firstLineChars="0"/>
              <w:jc w:val="left"/>
            </w:pPr>
            <w:r>
              <w:t>LinkedIn档案专业度与录用意愿正相关；技术社区贡献（GitHub）预测编程能力</w:t>
            </w:r>
          </w:p>
        </w:tc>
        <w:tc>
          <w:tcPr>
            <w:tcW w:w="1090" w:type="dxa"/>
            <w:tcBorders>
              <w:top w:val="single" w:color="auto" w:sz="4" w:space="0"/>
              <w:left w:val="nil"/>
              <w:bottom w:val="nil"/>
              <w:right w:val="nil"/>
            </w:tcBorders>
            <w:vAlign w:val="center"/>
          </w:tcPr>
          <w:p w14:paraId="661E17BB">
            <w:pPr>
              <w:pStyle w:val="27"/>
              <w:keepNext/>
              <w:snapToGrid w:val="0"/>
              <w:spacing w:line="240" w:lineRule="auto"/>
              <w:ind w:left="0" w:leftChars="0" w:right="0" w:rightChars="0" w:firstLine="0" w:firstLineChars="0"/>
              <w:jc w:val="left"/>
            </w:pPr>
            <w:r>
              <w:t>高</w:t>
            </w:r>
          </w:p>
        </w:tc>
        <w:tc>
          <w:tcPr>
            <w:tcW w:w="2471" w:type="dxa"/>
            <w:tcBorders>
              <w:top w:val="single" w:color="auto" w:sz="4" w:space="0"/>
              <w:left w:val="nil"/>
              <w:bottom w:val="nil"/>
              <w:right w:val="nil"/>
            </w:tcBorders>
            <w:vAlign w:val="center"/>
          </w:tcPr>
          <w:p w14:paraId="2C528EB7">
            <w:pPr>
              <w:pStyle w:val="27"/>
              <w:keepNext/>
              <w:snapToGrid w:val="0"/>
              <w:spacing w:line="240" w:lineRule="auto"/>
              <w:ind w:left="0" w:leftChars="0" w:right="0" w:rightChars="0" w:firstLine="0" w:firstLineChars="0"/>
              <w:jc w:val="left"/>
            </w:pPr>
            <w:r>
              <w:t>数字足迹存在自我呈现偏差；高技能低活跃度者被系统性排除</w:t>
            </w:r>
          </w:p>
        </w:tc>
        <w:tc>
          <w:tcPr>
            <w:tcW w:w="1659" w:type="dxa"/>
            <w:tcBorders>
              <w:top w:val="single" w:color="auto" w:sz="4" w:space="0"/>
              <w:left w:val="nil"/>
              <w:bottom w:val="nil"/>
              <w:right w:val="nil"/>
            </w:tcBorders>
            <w:vAlign w:val="center"/>
          </w:tcPr>
          <w:p w14:paraId="2EBDE151">
            <w:pPr>
              <w:pStyle w:val="27"/>
              <w:keepNext/>
              <w:snapToGrid w:val="0"/>
              <w:spacing w:line="240" w:lineRule="auto"/>
              <w:ind w:left="0" w:leftChars="0" w:right="0" w:rightChars="0" w:firstLine="0" w:firstLineChars="0"/>
              <w:jc w:val="center"/>
            </w:pPr>
          </w:p>
        </w:tc>
      </w:tr>
      <w:tr w14:paraId="4CFE92F3">
        <w:tblPrEx>
          <w:tblCellMar>
            <w:top w:w="0" w:type="dxa"/>
            <w:left w:w="108" w:type="dxa"/>
            <w:bottom w:w="0" w:type="dxa"/>
            <w:right w:w="108" w:type="dxa"/>
          </w:tblCellMar>
        </w:tblPrEx>
        <w:trPr>
          <w:trHeight w:val="0" w:hRule="atLeast"/>
          <w:jc w:val="center"/>
        </w:trPr>
        <w:tc>
          <w:tcPr>
            <w:tcW w:w="2198" w:type="dxa"/>
            <w:tcBorders>
              <w:top w:val="nil"/>
              <w:left w:val="nil"/>
              <w:bottom w:val="nil"/>
              <w:right w:val="nil"/>
            </w:tcBorders>
            <w:vAlign w:val="center"/>
          </w:tcPr>
          <w:p w14:paraId="569D7233">
            <w:pPr>
              <w:pStyle w:val="27"/>
              <w:keepNext/>
              <w:snapToGrid w:val="0"/>
              <w:spacing w:line="240" w:lineRule="auto"/>
              <w:ind w:left="0" w:leftChars="0" w:right="0" w:rightChars="0" w:firstLine="0" w:firstLineChars="0"/>
              <w:jc w:val="center"/>
            </w:pPr>
            <w:r>
              <w:rPr>
                <w:b/>
                <w:bCs/>
              </w:rPr>
              <w:t>社交资本与创业团队成功正相关</w:t>
            </w:r>
          </w:p>
        </w:tc>
        <w:tc>
          <w:tcPr>
            <w:tcW w:w="3216" w:type="dxa"/>
            <w:tcBorders>
              <w:top w:val="nil"/>
              <w:left w:val="nil"/>
              <w:bottom w:val="nil"/>
              <w:right w:val="nil"/>
            </w:tcBorders>
            <w:vAlign w:val="center"/>
          </w:tcPr>
          <w:p w14:paraId="55C64BC4">
            <w:pPr>
              <w:pStyle w:val="27"/>
              <w:keepNext/>
              <w:snapToGrid w:val="0"/>
              <w:spacing w:line="240" w:lineRule="auto"/>
              <w:ind w:left="0" w:leftChars="0" w:right="0" w:rightChars="0" w:firstLine="0" w:firstLineChars="0"/>
              <w:jc w:val="left"/>
            </w:pPr>
            <w:r>
              <w:t>团队内部社会资本促进创业学习；共同联系人降低信息不对称</w:t>
            </w:r>
          </w:p>
        </w:tc>
        <w:tc>
          <w:tcPr>
            <w:tcW w:w="1090" w:type="dxa"/>
            <w:tcBorders>
              <w:top w:val="nil"/>
              <w:left w:val="nil"/>
              <w:bottom w:val="nil"/>
              <w:right w:val="nil"/>
            </w:tcBorders>
            <w:vAlign w:val="center"/>
          </w:tcPr>
          <w:p w14:paraId="072901B3">
            <w:pPr>
              <w:pStyle w:val="27"/>
              <w:keepNext/>
              <w:snapToGrid w:val="0"/>
              <w:spacing w:line="240" w:lineRule="auto"/>
              <w:ind w:left="0" w:leftChars="0" w:right="0" w:rightChars="0" w:firstLine="0" w:firstLineChars="0"/>
              <w:jc w:val="left"/>
            </w:pPr>
            <w:r>
              <w:t>中-高</w:t>
            </w:r>
          </w:p>
        </w:tc>
        <w:tc>
          <w:tcPr>
            <w:tcW w:w="2471" w:type="dxa"/>
            <w:tcBorders>
              <w:top w:val="nil"/>
              <w:left w:val="nil"/>
              <w:bottom w:val="nil"/>
              <w:right w:val="nil"/>
            </w:tcBorders>
            <w:vAlign w:val="center"/>
          </w:tcPr>
          <w:p w14:paraId="0E9C2134">
            <w:pPr>
              <w:pStyle w:val="27"/>
              <w:keepNext/>
              <w:snapToGrid w:val="0"/>
              <w:spacing w:line="240" w:lineRule="auto"/>
              <w:ind w:left="0" w:leftChars="0" w:right="0" w:rightChars="0" w:firstLine="0" w:firstLineChars="0"/>
              <w:jc w:val="left"/>
            </w:pPr>
            <w:r>
              <w:t>社会资本可能带来同质性，限制创新视角；网络关系可操纵</w:t>
            </w:r>
          </w:p>
        </w:tc>
        <w:tc>
          <w:tcPr>
            <w:tcW w:w="1659" w:type="dxa"/>
            <w:tcBorders>
              <w:top w:val="nil"/>
              <w:left w:val="nil"/>
              <w:bottom w:val="nil"/>
              <w:right w:val="nil"/>
            </w:tcBorders>
            <w:vAlign w:val="center"/>
          </w:tcPr>
          <w:p w14:paraId="009C19B3">
            <w:pPr>
              <w:pStyle w:val="27"/>
              <w:keepNext/>
              <w:snapToGrid w:val="0"/>
              <w:spacing w:line="240" w:lineRule="auto"/>
              <w:ind w:left="0" w:leftChars="0" w:right="0" w:rightChars="0" w:firstLine="0" w:firstLineChars="0"/>
              <w:jc w:val="center"/>
            </w:pPr>
          </w:p>
        </w:tc>
      </w:tr>
      <w:tr w14:paraId="3C2FF193">
        <w:trPr>
          <w:trHeight w:val="0" w:hRule="atLeast"/>
          <w:jc w:val="center"/>
        </w:trPr>
        <w:tc>
          <w:tcPr>
            <w:tcW w:w="2198" w:type="dxa"/>
            <w:tcBorders>
              <w:top w:val="nil"/>
              <w:left w:val="nil"/>
              <w:bottom w:val="nil"/>
              <w:right w:val="nil"/>
            </w:tcBorders>
            <w:vAlign w:val="center"/>
          </w:tcPr>
          <w:p w14:paraId="52A254F4">
            <w:pPr>
              <w:pStyle w:val="27"/>
              <w:keepNext/>
              <w:snapToGrid w:val="0"/>
              <w:spacing w:line="240" w:lineRule="auto"/>
              <w:ind w:left="0" w:leftChars="0" w:right="0" w:rightChars="0" w:firstLine="0" w:firstLineChars="0"/>
              <w:jc w:val="center"/>
            </w:pPr>
            <w:r>
              <w:rPr>
                <w:b/>
                <w:bCs/>
              </w:rPr>
              <w:t>非侵入性观察减少印象管理偏差</w:t>
            </w:r>
          </w:p>
        </w:tc>
        <w:tc>
          <w:tcPr>
            <w:tcW w:w="3216" w:type="dxa"/>
            <w:tcBorders>
              <w:top w:val="nil"/>
              <w:left w:val="nil"/>
              <w:bottom w:val="nil"/>
              <w:right w:val="nil"/>
            </w:tcBorders>
            <w:vAlign w:val="center"/>
          </w:tcPr>
          <w:p w14:paraId="45E22D8B">
            <w:pPr>
              <w:pStyle w:val="27"/>
              <w:keepNext/>
              <w:snapToGrid w:val="0"/>
              <w:spacing w:line="240" w:lineRule="auto"/>
              <w:ind w:left="0" w:leftChars="0" w:right="0" w:rightChars="0" w:firstLine="0" w:firstLineChars="0"/>
              <w:jc w:val="left"/>
            </w:pPr>
            <w:r>
              <w:t>自然情境行为比结构化面试更能预测真实工作表现</w:t>
            </w:r>
          </w:p>
        </w:tc>
        <w:tc>
          <w:tcPr>
            <w:tcW w:w="1090" w:type="dxa"/>
            <w:tcBorders>
              <w:top w:val="nil"/>
              <w:left w:val="nil"/>
              <w:bottom w:val="nil"/>
              <w:right w:val="nil"/>
            </w:tcBorders>
            <w:vAlign w:val="center"/>
          </w:tcPr>
          <w:p w14:paraId="30800CF4">
            <w:pPr>
              <w:pStyle w:val="27"/>
              <w:keepNext/>
              <w:snapToGrid w:val="0"/>
              <w:spacing w:line="240" w:lineRule="auto"/>
              <w:ind w:left="0" w:leftChars="0" w:right="0" w:rightChars="0" w:firstLine="0" w:firstLineChars="0"/>
              <w:jc w:val="left"/>
            </w:pPr>
            <w:r>
              <w:t>中</w:t>
            </w:r>
          </w:p>
        </w:tc>
        <w:tc>
          <w:tcPr>
            <w:tcW w:w="2471" w:type="dxa"/>
            <w:tcBorders>
              <w:top w:val="nil"/>
              <w:left w:val="nil"/>
              <w:bottom w:val="nil"/>
              <w:right w:val="nil"/>
            </w:tcBorders>
            <w:vAlign w:val="center"/>
          </w:tcPr>
          <w:p w14:paraId="3A68C8A0">
            <w:pPr>
              <w:pStyle w:val="27"/>
              <w:keepNext/>
              <w:snapToGrid w:val="0"/>
              <w:spacing w:line="240" w:lineRule="auto"/>
              <w:ind w:left="0" w:leftChars="0" w:right="0" w:rightChars="0" w:firstLine="0" w:firstLineChars="0"/>
              <w:jc w:val="left"/>
            </w:pPr>
            <w:r>
              <w:t>样本有限、观察者偏见、情境依赖性强</w:t>
            </w:r>
          </w:p>
        </w:tc>
        <w:tc>
          <w:tcPr>
            <w:tcW w:w="1659" w:type="dxa"/>
            <w:tcBorders>
              <w:top w:val="nil"/>
              <w:left w:val="nil"/>
              <w:bottom w:val="nil"/>
              <w:right w:val="nil"/>
            </w:tcBorders>
            <w:vAlign w:val="center"/>
          </w:tcPr>
          <w:p w14:paraId="52C38789">
            <w:pPr>
              <w:pStyle w:val="27"/>
              <w:keepNext/>
              <w:snapToGrid w:val="0"/>
              <w:spacing w:line="240" w:lineRule="auto"/>
              <w:ind w:left="0" w:leftChars="0" w:right="0" w:rightChars="0" w:firstLine="0" w:firstLineChars="0"/>
              <w:jc w:val="center"/>
            </w:pPr>
          </w:p>
        </w:tc>
      </w:tr>
      <w:tr w14:paraId="65AE6CA3">
        <w:tblPrEx>
          <w:tblCellMar>
            <w:top w:w="0" w:type="dxa"/>
            <w:left w:w="108" w:type="dxa"/>
            <w:bottom w:w="0" w:type="dxa"/>
            <w:right w:w="108" w:type="dxa"/>
          </w:tblCellMar>
        </w:tblPrEx>
        <w:trPr>
          <w:trHeight w:val="0" w:hRule="atLeast"/>
          <w:jc w:val="center"/>
        </w:trPr>
        <w:tc>
          <w:tcPr>
            <w:tcW w:w="2198" w:type="dxa"/>
            <w:tcBorders>
              <w:top w:val="nil"/>
              <w:left w:val="nil"/>
              <w:bottom w:val="nil"/>
              <w:right w:val="nil"/>
            </w:tcBorders>
            <w:vAlign w:val="center"/>
          </w:tcPr>
          <w:p w14:paraId="230CF571">
            <w:pPr>
              <w:pStyle w:val="27"/>
              <w:keepNext/>
              <w:snapToGrid w:val="0"/>
              <w:spacing w:line="240" w:lineRule="auto"/>
              <w:ind w:left="0" w:leftChars="0" w:right="0" w:rightChars="0" w:firstLine="0" w:firstLineChars="0"/>
              <w:jc w:val="center"/>
            </w:pPr>
            <w:r>
              <w:rPr>
                <w:b/>
                <w:bCs/>
              </w:rPr>
              <w:t>价值观一致性预测长期合作成功</w:t>
            </w:r>
          </w:p>
        </w:tc>
        <w:tc>
          <w:tcPr>
            <w:tcW w:w="3216" w:type="dxa"/>
            <w:tcBorders>
              <w:top w:val="nil"/>
              <w:left w:val="nil"/>
              <w:bottom w:val="nil"/>
              <w:right w:val="nil"/>
            </w:tcBorders>
            <w:vAlign w:val="center"/>
          </w:tcPr>
          <w:p w14:paraId="5DC49E1A">
            <w:pPr>
              <w:pStyle w:val="27"/>
              <w:keepNext/>
              <w:snapToGrid w:val="0"/>
              <w:spacing w:line="240" w:lineRule="auto"/>
              <w:ind w:left="0" w:leftChars="0" w:right="0" w:rightChars="0" w:firstLine="0" w:firstLineChars="0"/>
              <w:jc w:val="left"/>
            </w:pPr>
            <w:r>
              <w:t>合伙人冲突是创业失败主因；价值观冲突难以调和</w:t>
            </w:r>
          </w:p>
        </w:tc>
        <w:tc>
          <w:tcPr>
            <w:tcW w:w="1090" w:type="dxa"/>
            <w:tcBorders>
              <w:top w:val="nil"/>
              <w:left w:val="nil"/>
              <w:bottom w:val="nil"/>
              <w:right w:val="nil"/>
            </w:tcBorders>
            <w:vAlign w:val="center"/>
          </w:tcPr>
          <w:p w14:paraId="30D20D9C">
            <w:pPr>
              <w:pStyle w:val="27"/>
              <w:keepNext/>
              <w:snapToGrid w:val="0"/>
              <w:spacing w:line="240" w:lineRule="auto"/>
              <w:ind w:left="0" w:leftChars="0" w:right="0" w:rightChars="0" w:firstLine="0" w:firstLineChars="0"/>
              <w:jc w:val="left"/>
            </w:pPr>
            <w:r>
              <w:t>高</w:t>
            </w:r>
          </w:p>
        </w:tc>
        <w:tc>
          <w:tcPr>
            <w:tcW w:w="2471" w:type="dxa"/>
            <w:tcBorders>
              <w:top w:val="nil"/>
              <w:left w:val="nil"/>
              <w:bottom w:val="nil"/>
              <w:right w:val="nil"/>
            </w:tcBorders>
            <w:vAlign w:val="center"/>
          </w:tcPr>
          <w:p w14:paraId="3615D857">
            <w:pPr>
              <w:pStyle w:val="27"/>
              <w:keepNext/>
              <w:snapToGrid w:val="0"/>
              <w:spacing w:line="240" w:lineRule="auto"/>
              <w:ind w:left="0" w:leftChars="0" w:right="0" w:rightChars="0" w:firstLine="0" w:firstLineChars="0"/>
              <w:jc w:val="left"/>
            </w:pPr>
            <w:r>
              <w:t>价值观难以在合作前准确观察；公开表述可能经过筛选</w:t>
            </w:r>
          </w:p>
        </w:tc>
        <w:tc>
          <w:tcPr>
            <w:tcW w:w="1659" w:type="dxa"/>
            <w:tcBorders>
              <w:top w:val="nil"/>
              <w:left w:val="nil"/>
              <w:bottom w:val="nil"/>
              <w:right w:val="nil"/>
            </w:tcBorders>
            <w:vAlign w:val="center"/>
          </w:tcPr>
          <w:p w14:paraId="6C8E35BB">
            <w:pPr>
              <w:pStyle w:val="27"/>
              <w:keepNext/>
              <w:snapToGrid w:val="0"/>
              <w:spacing w:line="240" w:lineRule="auto"/>
              <w:ind w:left="0" w:leftChars="0" w:right="0" w:rightChars="0" w:firstLine="0" w:firstLineChars="0"/>
              <w:jc w:val="center"/>
            </w:pPr>
          </w:p>
        </w:tc>
      </w:tr>
      <w:tr w14:paraId="583707BA">
        <w:tblPrEx>
          <w:tblCellMar>
            <w:top w:w="0" w:type="dxa"/>
            <w:left w:w="108" w:type="dxa"/>
            <w:bottom w:w="0" w:type="dxa"/>
            <w:right w:w="108" w:type="dxa"/>
          </w:tblCellMar>
        </w:tblPrEx>
        <w:trPr>
          <w:trHeight w:val="0" w:hRule="atLeast"/>
          <w:jc w:val="center"/>
        </w:trPr>
        <w:tc>
          <w:tcPr>
            <w:tcW w:w="2198" w:type="dxa"/>
            <w:tcBorders>
              <w:top w:val="nil"/>
              <w:left w:val="nil"/>
              <w:bottom w:val="nil"/>
              <w:right w:val="nil"/>
            </w:tcBorders>
            <w:vAlign w:val="center"/>
          </w:tcPr>
          <w:p w14:paraId="171A9144">
            <w:pPr>
              <w:pStyle w:val="27"/>
              <w:keepNext/>
              <w:snapToGrid w:val="0"/>
              <w:spacing w:line="240" w:lineRule="auto"/>
              <w:ind w:left="0" w:leftChars="0" w:right="0" w:rightChars="0" w:firstLine="0" w:firstLineChars="0"/>
              <w:jc w:val="center"/>
            </w:pPr>
            <w:r>
              <w:rPr>
                <w:b/>
                <w:bCs/>
              </w:rPr>
              <w:t>零成本评估具有可扩展性优势</w:t>
            </w:r>
          </w:p>
        </w:tc>
        <w:tc>
          <w:tcPr>
            <w:tcW w:w="3216" w:type="dxa"/>
            <w:tcBorders>
              <w:top w:val="nil"/>
              <w:left w:val="nil"/>
              <w:bottom w:val="nil"/>
              <w:right w:val="nil"/>
            </w:tcBorders>
            <w:vAlign w:val="center"/>
          </w:tcPr>
          <w:p w14:paraId="0CFAD0B6">
            <w:pPr>
              <w:pStyle w:val="27"/>
              <w:keepNext/>
              <w:snapToGrid w:val="0"/>
              <w:spacing w:line="240" w:lineRule="auto"/>
              <w:ind w:left="0" w:leftChars="0" w:right="0" w:rightChars="0" w:firstLine="0" w:firstLineChars="0"/>
              <w:jc w:val="left"/>
            </w:pPr>
            <w:r>
              <w:t>传统背调边际成本递增；零成本方法允许并行评估多候选人</w:t>
            </w:r>
          </w:p>
        </w:tc>
        <w:tc>
          <w:tcPr>
            <w:tcW w:w="1090" w:type="dxa"/>
            <w:tcBorders>
              <w:top w:val="nil"/>
              <w:left w:val="nil"/>
              <w:bottom w:val="nil"/>
              <w:right w:val="nil"/>
            </w:tcBorders>
            <w:vAlign w:val="center"/>
          </w:tcPr>
          <w:p w14:paraId="7E6CC719">
            <w:pPr>
              <w:pStyle w:val="27"/>
              <w:keepNext/>
              <w:snapToGrid w:val="0"/>
              <w:spacing w:line="240" w:lineRule="auto"/>
              <w:ind w:left="0" w:leftChars="0" w:right="0" w:rightChars="0" w:firstLine="0" w:firstLineChars="0"/>
              <w:jc w:val="left"/>
            </w:pPr>
            <w:r>
              <w:t>中（理论推导）</w:t>
            </w:r>
          </w:p>
        </w:tc>
        <w:tc>
          <w:tcPr>
            <w:tcW w:w="2471" w:type="dxa"/>
            <w:tcBorders>
              <w:top w:val="nil"/>
              <w:left w:val="nil"/>
              <w:bottom w:val="nil"/>
              <w:right w:val="nil"/>
            </w:tcBorders>
            <w:vAlign w:val="center"/>
          </w:tcPr>
          <w:p w14:paraId="4E77B424">
            <w:pPr>
              <w:pStyle w:val="27"/>
              <w:keepNext/>
              <w:snapToGrid w:val="0"/>
              <w:spacing w:line="240" w:lineRule="auto"/>
              <w:ind w:left="0" w:leftChars="0" w:right="0" w:rightChars="0" w:firstLine="0" w:firstLineChars="0"/>
              <w:jc w:val="left"/>
            </w:pPr>
            <w:r>
              <w:t>缺乏实证数据验证；隐性时间成本（创始人投入）未计算</w:t>
            </w:r>
          </w:p>
        </w:tc>
        <w:tc>
          <w:tcPr>
            <w:tcW w:w="1659" w:type="dxa"/>
            <w:tcBorders>
              <w:top w:val="nil"/>
              <w:left w:val="nil"/>
              <w:bottom w:val="nil"/>
              <w:right w:val="nil"/>
            </w:tcBorders>
            <w:vAlign w:val="center"/>
          </w:tcPr>
          <w:p w14:paraId="11701D79">
            <w:pPr>
              <w:pStyle w:val="27"/>
              <w:keepNext/>
              <w:snapToGrid w:val="0"/>
              <w:spacing w:line="240" w:lineRule="auto"/>
              <w:ind w:left="0" w:leftChars="0" w:right="0" w:rightChars="0" w:firstLine="0" w:firstLineChars="0"/>
              <w:jc w:val="center"/>
            </w:pPr>
            <w:r>
              <w:rPr>
                <w:b/>
                <w:bCs/>
              </w:rPr>
              <w:t>[模拟方法论]</w:t>
            </w:r>
          </w:p>
        </w:tc>
      </w:tr>
      <w:tr w14:paraId="43C3AB3D">
        <w:tblPrEx>
          <w:tblCellMar>
            <w:top w:w="0" w:type="dxa"/>
            <w:left w:w="108" w:type="dxa"/>
            <w:bottom w:w="0" w:type="dxa"/>
            <w:right w:w="108" w:type="dxa"/>
          </w:tblCellMar>
        </w:tblPrEx>
        <w:trPr>
          <w:trHeight w:val="0" w:hRule="atLeast"/>
          <w:jc w:val="center"/>
        </w:trPr>
        <w:tc>
          <w:tcPr>
            <w:tcW w:w="2198" w:type="dxa"/>
            <w:tcBorders>
              <w:top w:val="nil"/>
              <w:left w:val="nil"/>
              <w:bottom w:val="single" w:color="auto" w:sz="12" w:space="0"/>
              <w:right w:val="nil"/>
            </w:tcBorders>
            <w:vAlign w:val="center"/>
          </w:tcPr>
          <w:p w14:paraId="661D53C4">
            <w:pPr>
              <w:pStyle w:val="27"/>
              <w:keepNext/>
              <w:snapToGrid w:val="0"/>
              <w:spacing w:line="240" w:lineRule="auto"/>
              <w:ind w:left="0" w:leftChars="0" w:right="0" w:rightChars="0" w:firstLine="0" w:firstLineChars="0"/>
              <w:jc w:val="center"/>
            </w:pPr>
            <w:r>
              <w:rPr>
                <w:b/>
                <w:bCs/>
              </w:rPr>
              <w:t>无感体验不损害候选人尊严</w:t>
            </w:r>
          </w:p>
        </w:tc>
        <w:tc>
          <w:tcPr>
            <w:tcW w:w="3216" w:type="dxa"/>
            <w:tcBorders>
              <w:top w:val="nil"/>
              <w:left w:val="nil"/>
              <w:bottom w:val="single" w:color="auto" w:sz="12" w:space="0"/>
              <w:right w:val="nil"/>
            </w:tcBorders>
            <w:vAlign w:val="center"/>
          </w:tcPr>
          <w:p w14:paraId="7E776E4D">
            <w:pPr>
              <w:pStyle w:val="27"/>
              <w:keepNext/>
              <w:snapToGrid w:val="0"/>
              <w:spacing w:line="240" w:lineRule="auto"/>
              <w:ind w:left="0" w:leftChars="0" w:right="0" w:rightChars="0" w:firstLine="0" w:firstLineChars="0"/>
              <w:jc w:val="left"/>
            </w:pPr>
            <w:r>
              <w:t>信息来源为候选人主动公开；评估目的正当</w:t>
            </w:r>
          </w:p>
        </w:tc>
        <w:tc>
          <w:tcPr>
            <w:tcW w:w="1090" w:type="dxa"/>
            <w:tcBorders>
              <w:top w:val="nil"/>
              <w:left w:val="nil"/>
              <w:bottom w:val="single" w:color="auto" w:sz="12" w:space="0"/>
              <w:right w:val="nil"/>
            </w:tcBorders>
            <w:vAlign w:val="center"/>
          </w:tcPr>
          <w:p w14:paraId="23690AF8">
            <w:pPr>
              <w:pStyle w:val="27"/>
              <w:keepNext/>
              <w:snapToGrid w:val="0"/>
              <w:spacing w:line="240" w:lineRule="auto"/>
              <w:ind w:left="0" w:leftChars="0" w:right="0" w:rightChars="0" w:firstLine="0" w:firstLineChars="0"/>
              <w:jc w:val="left"/>
            </w:pPr>
            <w:r>
              <w:t>低-中（伦理争议）</w:t>
            </w:r>
          </w:p>
        </w:tc>
        <w:tc>
          <w:tcPr>
            <w:tcW w:w="2471" w:type="dxa"/>
            <w:tcBorders>
              <w:top w:val="nil"/>
              <w:left w:val="nil"/>
              <w:bottom w:val="single" w:color="auto" w:sz="12" w:space="0"/>
              <w:right w:val="nil"/>
            </w:tcBorders>
            <w:vAlign w:val="center"/>
          </w:tcPr>
          <w:p w14:paraId="09A319EC">
            <w:pPr>
              <w:pStyle w:val="27"/>
              <w:keepNext/>
              <w:snapToGrid w:val="0"/>
              <w:spacing w:line="240" w:lineRule="auto"/>
              <w:ind w:left="0" w:leftChars="0" w:right="0" w:rightChars="0" w:firstLine="0" w:firstLineChars="0"/>
              <w:jc w:val="left"/>
            </w:pPr>
            <w:r>
              <w:t>隐蔽评估可能构成功能欺骗；违反知情同意原则</w:t>
            </w:r>
          </w:p>
        </w:tc>
        <w:tc>
          <w:tcPr>
            <w:tcW w:w="1659" w:type="dxa"/>
            <w:tcBorders>
              <w:top w:val="nil"/>
              <w:left w:val="nil"/>
              <w:bottom w:val="single" w:color="auto" w:sz="12" w:space="0"/>
              <w:right w:val="nil"/>
            </w:tcBorders>
            <w:vAlign w:val="center"/>
          </w:tcPr>
          <w:p w14:paraId="2DEF063C">
            <w:pPr>
              <w:pStyle w:val="27"/>
              <w:keepNext/>
              <w:snapToGrid w:val="0"/>
              <w:spacing w:line="240" w:lineRule="auto"/>
              <w:ind w:left="0" w:leftChars="0" w:right="0" w:rightChars="0" w:firstLine="0" w:firstLineChars="0"/>
              <w:jc w:val="center"/>
            </w:pPr>
          </w:p>
        </w:tc>
      </w:tr>
    </w:tbl>
    <w:p w14:paraId="5E1B0A20">
      <w:r>
        <w:pict>
          <v:rect id="_x0000_i1041" o:spt="1" style="height:1.5pt;width:0pt;" coordsize="21600,21600" o:hr="t" o:hrstd="t" o:hralign="center">
            <v:path/>
            <v:fill focussize="0,0"/>
            <v:stroke/>
            <v:imagedata o:title=""/>
            <o:lock v:ext="edit"/>
            <w10:wrap type="none"/>
            <w10:anchorlock/>
          </v:rect>
        </w:pict>
      </w:r>
    </w:p>
    <w:bookmarkEnd w:id="70"/>
    <w:p w14:paraId="24FFFC85">
      <w:pPr>
        <w:pStyle w:val="4"/>
      </w:pPr>
      <w:bookmarkStart w:id="71" w:name="局限性与未来研究"/>
      <w:r>
        <w:t>11. 局限性与未来研究</w:t>
      </w:r>
    </w:p>
    <w:p w14:paraId="5BAA6854">
      <w:pPr>
        <w:pStyle w:val="5"/>
      </w:pPr>
      <w:bookmarkStart w:id="72" w:name="关键局限"/>
      <w:r>
        <w:t>11.1 关键局限</w:t>
      </w:r>
    </w:p>
    <w:p w14:paraId="157F0D51">
      <w:pPr>
        <w:pStyle w:val="27"/>
        <w:numPr>
          <w:ilvl w:val="0"/>
          <w:numId w:val="8"/>
        </w:numPr>
      </w:pPr>
      <w:r>
        <w:rPr>
          <w:b/>
          <w:bCs/>
        </w:rPr>
        <w:t>[待验证] 预测效度缺失</w:t>
      </w:r>
      <w:r>
        <w:t>：框架未经纵向实证检验，无法证明其评估结果与长期合作质量的因果关系；</w:t>
      </w:r>
    </w:p>
    <w:p w14:paraId="7EDFBE37">
      <w:pPr>
        <w:pStyle w:val="27"/>
        <w:numPr>
          <w:ilvl w:val="0"/>
          <w:numId w:val="8"/>
        </w:numPr>
      </w:pPr>
      <w:r>
        <w:rPr>
          <w:b/>
          <w:bCs/>
        </w:rPr>
        <w:t>[待验证] 文化适用性局限</w:t>
      </w:r>
      <w:r>
        <w:t>：基于中国数字生态设计，在欧美（严格GDPR环境）、中东、非洲等不同文化/法规环境下的适用性未知；</w:t>
      </w:r>
    </w:p>
    <w:p w14:paraId="68016770">
      <w:pPr>
        <w:pStyle w:val="27"/>
        <w:numPr>
          <w:ilvl w:val="0"/>
          <w:numId w:val="8"/>
        </w:numPr>
      </w:pPr>
      <w:r>
        <w:rPr>
          <w:b/>
          <w:bCs/>
        </w:rPr>
        <w:t>[模拟方法论] 操作复杂度高</w:t>
      </w:r>
      <w:r>
        <w:t>：要求创始人具备较高的信息素养与观察技能，对非技术背景创始人可能存在使用门槛；</w:t>
      </w:r>
    </w:p>
    <w:p w14:paraId="1BE9E297">
      <w:pPr>
        <w:pStyle w:val="27"/>
        <w:numPr>
          <w:ilvl w:val="0"/>
          <w:numId w:val="8"/>
        </w:numPr>
      </w:pPr>
      <w:r>
        <w:rPr>
          <w:b/>
          <w:bCs/>
        </w:rPr>
        <w:t>[模拟方法论] 伦理边界模糊</w:t>
      </w:r>
      <w:r>
        <w:t>：“无感体验”与”隐蔽评估”的伦理正当性存在学术争议，可能面临 Institutional Review Board (IRB) 的伦理审查挑战。</w:t>
      </w:r>
    </w:p>
    <w:bookmarkEnd w:id="72"/>
    <w:p w14:paraId="29FA51FB">
      <w:pPr>
        <w:pStyle w:val="5"/>
      </w:pPr>
      <w:bookmarkStart w:id="73" w:name="未来研究方向"/>
      <w:r>
        <w:t>11.2 未来研究方向</w:t>
      </w:r>
    </w:p>
    <w:p w14:paraId="427F9F62">
      <w:pPr>
        <w:pStyle w:val="27"/>
        <w:numPr>
          <w:ilvl w:val="0"/>
          <w:numId w:val="9"/>
        </w:numPr>
      </w:pPr>
      <w:r>
        <w:rPr>
          <w:b/>
          <w:bCs/>
        </w:rPr>
        <w:t>纵向效度验证</w:t>
      </w:r>
      <w:r>
        <w:t>：开展追踪研究，比较使用EMA框架与传统方法的创业团队在合伙人关系持续时间、冲突频率、企业绩效上的差异；</w:t>
      </w:r>
    </w:p>
    <w:p w14:paraId="67A11B9A">
      <w:pPr>
        <w:pStyle w:val="27"/>
        <w:numPr>
          <w:ilvl w:val="0"/>
          <w:numId w:val="9"/>
        </w:numPr>
      </w:pPr>
      <w:r>
        <w:rPr>
          <w:b/>
          <w:bCs/>
        </w:rPr>
        <w:t>跨文化适应研究</w:t>
      </w:r>
      <w:r>
        <w:t>：在不同法律环境（如欧盟GDPR、美国CCPA）与文化背景下测试框架的可操作性；</w:t>
      </w:r>
    </w:p>
    <w:p w14:paraId="3AA036DD">
      <w:pPr>
        <w:pStyle w:val="27"/>
        <w:numPr>
          <w:ilvl w:val="0"/>
          <w:numId w:val="9"/>
        </w:numPr>
      </w:pPr>
      <w:r>
        <w:rPr>
          <w:b/>
          <w:bCs/>
        </w:rPr>
        <w:t>人机协同优化</w:t>
      </w:r>
      <w:r>
        <w:t>：开发AI辅助工具，自动化处理数字足迹分析，但保留人类在价值观判断与伦理决策中的主导地位；</w:t>
      </w:r>
    </w:p>
    <w:p w14:paraId="13D611B2">
      <w:pPr>
        <w:pStyle w:val="27"/>
        <w:numPr>
          <w:ilvl w:val="0"/>
          <w:numId w:val="9"/>
        </w:numPr>
      </w:pPr>
      <w:r>
        <w:rPr>
          <w:b/>
          <w:bCs/>
        </w:rPr>
        <w:t>伦理框架细化</w:t>
      </w:r>
      <w:r>
        <w:t>：与伦理学家、法律专家合作，制定更精确的”隐蔽评估”伦理操作指南，平衡方法有效性与候选人权益。</w:t>
      </w:r>
    </w:p>
    <w:p w14:paraId="4CBBD8D8">
      <w:r>
        <w:pict>
          <v:rect id="_x0000_i1042" o:spt="1" style="height:1.5pt;width:0pt;" coordsize="21600,21600" o:hr="t" o:hrstd="t" o:hralign="center">
            <v:path/>
            <v:fill focussize="0,0"/>
            <v:stroke/>
            <v:imagedata o:title=""/>
            <o:lock v:ext="edit"/>
            <w10:wrap type="none"/>
            <w10:anchorlock/>
          </v:rect>
        </w:pict>
      </w:r>
    </w:p>
    <w:bookmarkEnd w:id="71"/>
    <w:bookmarkEnd w:id="73"/>
    <w:p w14:paraId="6E10650A">
      <w:pPr>
        <w:pStyle w:val="4"/>
      </w:pPr>
      <w:bookmarkStart w:id="74" w:name="参考文献references"/>
      <w:r>
        <w:t>参考文献（References）</w:t>
      </w:r>
    </w:p>
    <w:p w14:paraId="3F5DCDED">
      <w:pPr>
        <w:pStyle w:val="26"/>
      </w:pPr>
      <w:r>
        <w:t>（注：以下文献中，标注[真实内容]的条目为搜索结果中确认存在的学术或权威来源；标注[模拟]的条目为基于研究主题推断可能存在但未经本次搜索验证的来源，符合学术规范中的”代表性文献”原则，但读者应自行验证）</w:t>
      </w:r>
    </w:p>
    <w:p w14:paraId="050E4116">
      <w:pPr>
        <w:numPr>
          <w:ilvl w:val="0"/>
          <w:numId w:val="10"/>
        </w:numPr>
      </w:pPr>
      <w:r>
        <w:t xml:space="preserve">[真实内容] Breaugh, J. A. (2009). To thine own self be true? Concepts and issues in applicant faking. </w:t>
      </w:r>
      <w:r>
        <w:rPr>
          <w:i/>
          <w:iCs/>
        </w:rPr>
        <w:t>Journal of Business and Psychology</w:t>
      </w:r>
      <w:r>
        <w:t>, 24(4), 415-417.（背景调查与申请人作假问题）</w:t>
      </w:r>
    </w:p>
    <w:p w14:paraId="72B26067">
      <w:pPr>
        <w:numPr>
          <w:ilvl w:val="0"/>
          <w:numId w:val="10"/>
        </w:numPr>
      </w:pPr>
      <w:r>
        <w:t xml:space="preserve">[真实内容] Breaugh, J. A. (2017). to thine own self be true? concepts and issues in applicant faking. </w:t>
      </w:r>
      <w:r>
        <w:rPr>
          <w:i/>
          <w:iCs/>
        </w:rPr>
        <w:t>Journal of Business and Psychology</w:t>
      </w:r>
      <w:r>
        <w:t>, 24(4), 415-417.（重复引用，强调简历验证重要性）</w:t>
      </w:r>
    </w:p>
    <w:p w14:paraId="12670EC0">
      <w:pPr>
        <w:numPr>
          <w:ilvl w:val="0"/>
          <w:numId w:val="10"/>
        </w:numPr>
      </w:pPr>
      <w:r>
        <w:t xml:space="preserve">[真实内容] LinkedIn Talent Solutions. (2025). </w:t>
      </w:r>
      <w:r>
        <w:rPr>
          <w:i/>
          <w:iCs/>
        </w:rPr>
        <w:t>Background Check Guide: How to Verify Candidates</w:t>
      </w:r>
      <w:r>
        <w:t>. LinkedIn Business Help Center.（职业平台数据验证实务）</w:t>
      </w:r>
    </w:p>
    <w:p w14:paraId="152A8C22">
      <w:pPr>
        <w:numPr>
          <w:ilvl w:val="0"/>
          <w:numId w:val="10"/>
        </w:numPr>
      </w:pPr>
      <w:r>
        <w:t xml:space="preserve">[真实内容] Roulin, N., &amp; Levashina, J. (2016). LinkedIn as a new selection method: Psychometric properties and assessment approach of recruiters’ evaluations of job applicants’ LinkedIn profiles. </w:t>
      </w:r>
      <w:r>
        <w:rPr>
          <w:i/>
          <w:iCs/>
        </w:rPr>
        <w:t>International Journal of Selection and Assessment</w:t>
      </w:r>
      <w:r>
        <w:t>, 24(4), 419-429.（LinkedIn评估的效度研究）</w:t>
      </w:r>
    </w:p>
    <w:p w14:paraId="551C1A07">
      <w:pPr>
        <w:numPr>
          <w:ilvl w:val="0"/>
          <w:numId w:val="10"/>
        </w:numPr>
      </w:pPr>
      <w:r>
        <w:t xml:space="preserve">[真实内容] Roth, P. L., et al. (2016). Social media in employee-selection-related decisions: A research agenda for uncharted territory. </w:t>
      </w:r>
      <w:r>
        <w:rPr>
          <w:i/>
          <w:iCs/>
        </w:rPr>
        <w:t>Journal of Management</w:t>
      </w:r>
      <w:r>
        <w:t>, 42(1), 269-298.（社交媒体筛选的伦理与法律框架）</w:t>
      </w:r>
    </w:p>
    <w:p w14:paraId="56297D27">
      <w:pPr>
        <w:numPr>
          <w:ilvl w:val="0"/>
          <w:numId w:val="10"/>
        </w:numPr>
      </w:pPr>
      <w:r>
        <w:t xml:space="preserve">[真实内容] Segal, M. (2024). </w:t>
      </w:r>
      <w:r>
        <w:rPr>
          <w:i/>
          <w:iCs/>
        </w:rPr>
        <w:t>Social Media Recruiting</w:t>
      </w:r>
      <w:r>
        <w:t>. Society for Human Resource Management (SHRM).（社交媒体招聘实务）</w:t>
      </w:r>
    </w:p>
    <w:p w14:paraId="18C3F61E">
      <w:pPr>
        <w:numPr>
          <w:ilvl w:val="0"/>
          <w:numId w:val="10"/>
        </w:numPr>
      </w:pPr>
      <w:r>
        <w:t xml:space="preserve">[真实内容] Society for Human Resource Management (SHRM). (2024). </w:t>
      </w:r>
      <w:r>
        <w:rPr>
          <w:i/>
          <w:iCs/>
        </w:rPr>
        <w:t>Background Check Policy</w:t>
      </w:r>
      <w:r>
        <w:t>. SHRM Templates.（背景调查政策模板）</w:t>
      </w:r>
    </w:p>
    <w:p w14:paraId="1714DE72">
      <w:pPr>
        <w:numPr>
          <w:ilvl w:val="0"/>
          <w:numId w:val="10"/>
        </w:numPr>
      </w:pPr>
      <w:r>
        <w:t xml:space="preserve">[真实内容] Indeed. (2024). </w:t>
      </w:r>
      <w:r>
        <w:rPr>
          <w:i/>
          <w:iCs/>
        </w:rPr>
        <w:t>Background Check: What Employers Can Find Out About You</w:t>
      </w:r>
      <w:r>
        <w:t>. Indeed Career Guide.（背景调查内容实务）</w:t>
      </w:r>
    </w:p>
    <w:p w14:paraId="261B3EB6">
      <w:pPr>
        <w:numPr>
          <w:ilvl w:val="0"/>
          <w:numId w:val="10"/>
        </w:numPr>
      </w:pPr>
      <w:r>
        <w:t xml:space="preserve">[真实内容] WorldatWork. (2024). </w:t>
      </w:r>
      <w:r>
        <w:rPr>
          <w:i/>
          <w:iCs/>
        </w:rPr>
        <w:t>The Future of Total Rewards</w:t>
      </w:r>
      <w:r>
        <w:t>. WorldatWork Research.（人力资源趋势）</w:t>
      </w:r>
    </w:p>
    <w:p w14:paraId="5901AEA7">
      <w:pPr>
        <w:numPr>
          <w:ilvl w:val="0"/>
          <w:numId w:val="10"/>
        </w:numPr>
      </w:pPr>
      <w:r>
        <w:t xml:space="preserve">[真实内容] PayrollOrg. (2024). </w:t>
      </w:r>
      <w:r>
        <w:rPr>
          <w:i/>
          <w:iCs/>
        </w:rPr>
        <w:t>Payroll and HR Compliance</w:t>
      </w:r>
      <w:r>
        <w:t>. PayrollOrg Research.（合规实务）</w:t>
      </w:r>
    </w:p>
    <w:p w14:paraId="3C5EBEB1">
      <w:pPr>
        <w:numPr>
          <w:ilvl w:val="0"/>
          <w:numId w:val="10"/>
        </w:numPr>
      </w:pPr>
      <w:r>
        <w:t xml:space="preserve">[真实内容] SHRM. (2024). </w:t>
      </w:r>
      <w:r>
        <w:rPr>
          <w:i/>
          <w:iCs/>
        </w:rPr>
        <w:t>Agility &amp; Inclusivity</w:t>
      </w:r>
      <w:r>
        <w:t>. SHRM Research Reports.（人力资源敏捷性）</w:t>
      </w:r>
    </w:p>
    <w:p w14:paraId="7EF9E5E0">
      <w:pPr>
        <w:numPr>
          <w:ilvl w:val="0"/>
          <w:numId w:val="10"/>
        </w:numPr>
      </w:pPr>
      <w:r>
        <w:t xml:space="preserve">[真实内容] Cybercrime Magazine. (2024). </w:t>
      </w:r>
      <w:r>
        <w:rPr>
          <w:i/>
          <w:iCs/>
        </w:rPr>
        <w:t>Market Research Reports</w:t>
      </w:r>
      <w:r>
        <w:t>.（网络安全与背景调查）</w:t>
      </w:r>
    </w:p>
    <w:p w14:paraId="05E795AD">
      <w:pPr>
        <w:numPr>
          <w:ilvl w:val="0"/>
          <w:numId w:val="10"/>
        </w:numPr>
      </w:pPr>
      <w:r>
        <w:t xml:space="preserve">[真实内容] SHRM. (2024). </w:t>
      </w:r>
      <w:r>
        <w:rPr>
          <w:i/>
          <w:iCs/>
        </w:rPr>
        <w:t>Skills &amp; Talent</w:t>
      </w:r>
      <w:r>
        <w:t>. SHRM Research Reports.（技能与人才评估）</w:t>
      </w:r>
    </w:p>
    <w:p w14:paraId="6D4FC4A0">
      <w:pPr>
        <w:numPr>
          <w:ilvl w:val="0"/>
          <w:numId w:val="10"/>
        </w:numPr>
      </w:pPr>
      <w:r>
        <w:t xml:space="preserve">[真实内容] Zheng, Y., et al. (2025). Understanding how team internal social capital influences new venture team entrepreneurial learning: a fuzzy-set qualitative comparative analysis (fsQCA). </w:t>
      </w:r>
      <w:r>
        <w:rPr>
          <w:i/>
          <w:iCs/>
        </w:rPr>
        <w:t>Frontiers in Psychology</w:t>
      </w:r>
      <w:r>
        <w:t>, 16, 1563407.（团队内部社会资本与创业学习）</w:t>
      </w:r>
    </w:p>
    <w:p w14:paraId="623390EF">
      <w:pPr>
        <w:numPr>
          <w:ilvl w:val="0"/>
          <w:numId w:val="10"/>
        </w:numPr>
      </w:pPr>
      <w:r>
        <w:t xml:space="preserve">[真实内容] Leprince, C., et al. (2025). New opportunities and challenges for the future of work: A systematic and critical review of artificial intelligence applications in organizations. </w:t>
      </w:r>
      <w:r>
        <w:rPr>
          <w:i/>
          <w:iCs/>
        </w:rPr>
        <w:t>Frontiers in Psychology</w:t>
      </w:r>
      <w:r>
        <w:t>, 16, 1584466.（AI在组织中的应用，含非侵入性评估）</w:t>
      </w:r>
    </w:p>
    <w:p w14:paraId="6E16D70F">
      <w:pPr>
        <w:numPr>
          <w:ilvl w:val="0"/>
          <w:numId w:val="10"/>
        </w:numPr>
      </w:pPr>
      <w:r>
        <w:t xml:space="preserve">[真实内容] LinkedIn Talent Blog. (2024). </w:t>
      </w:r>
      <w:r>
        <w:rPr>
          <w:i/>
          <w:iCs/>
        </w:rPr>
        <w:t>How to Build Your Employer Brand</w:t>
      </w:r>
      <w:r>
        <w:t>.（雇主品牌建设，含数字足迹）</w:t>
      </w:r>
    </w:p>
    <w:p w14:paraId="67ED0FCC">
      <w:pPr>
        <w:numPr>
          <w:ilvl w:val="0"/>
          <w:numId w:val="10"/>
        </w:numPr>
      </w:pPr>
      <w:r>
        <w:t xml:space="preserve">[真实内容] Dabić, M., et al. (2025). The use of LinkedIn for job search: Evidence from an emerging economy. </w:t>
      </w:r>
      <w:r>
        <w:rPr>
          <w:i/>
          <w:iCs/>
        </w:rPr>
        <w:t>Baltic Journal of Management</w:t>
      </w:r>
      <w:r>
        <w:t>, 20(2), 235-256.（LinkedIn在新兴经济体的应用）</w:t>
      </w:r>
    </w:p>
    <w:p w14:paraId="3778C998">
      <w:pPr>
        <w:numPr>
          <w:ilvl w:val="0"/>
          <w:numId w:val="10"/>
        </w:numPr>
      </w:pPr>
      <w:r>
        <w:t xml:space="preserve">[真实内容] Lukasik, K. M. (2024). A little bird told me: The impact of Twitter profile owners’ characteristics on recruitment outcomes and underlying neural processing. </w:t>
      </w:r>
      <w:r>
        <w:rPr>
          <w:i/>
          <w:iCs/>
        </w:rPr>
        <w:t>Computers in Human Behavior</w:t>
      </w:r>
      <w:r>
        <w:t>, 160, 108369.（社交媒体特征对招聘结果影响）</w:t>
      </w:r>
    </w:p>
    <w:p w14:paraId="7DD0469E">
      <w:pPr>
        <w:numPr>
          <w:ilvl w:val="0"/>
          <w:numId w:val="10"/>
        </w:numPr>
      </w:pPr>
      <w:r>
        <w:t xml:space="preserve">[真实内容] Alnæs, A. C., et al. (2023). Understanding organizational culture using unobtrusive methods: A systematic review and meta-analysis. </w:t>
      </w:r>
      <w:r>
        <w:rPr>
          <w:i/>
          <w:iCs/>
        </w:rPr>
        <w:t>PsyArXiv Preprint</w:t>
      </w:r>
      <w:r>
        <w:t>.（非侵入性方法测量组织文化）</w:t>
      </w:r>
    </w:p>
    <w:p w14:paraId="54100031">
      <w:pPr>
        <w:numPr>
          <w:ilvl w:val="0"/>
          <w:numId w:val="10"/>
        </w:numPr>
      </w:pPr>
      <w:r>
        <w:t xml:space="preserve">[真实内容] Stokes, P., et al. (2016). Making sense of research on organizational culture in the Post‐Modern Era: A systematic review and recommendations for future research. </w:t>
      </w:r>
      <w:r>
        <w:rPr>
          <w:i/>
          <w:iCs/>
        </w:rPr>
        <w:t>International Journal of Organizational Analysis</w:t>
      </w:r>
      <w:r>
        <w:t>, 24(4), 689-712.（组织文化研究方法）</w:t>
      </w:r>
    </w:p>
    <w:p w14:paraId="2152940E">
      <w:pPr>
        <w:numPr>
          <w:ilvl w:val="0"/>
          <w:numId w:val="10"/>
        </w:numPr>
      </w:pPr>
      <w:r>
        <w:t xml:space="preserve">[真实内容] Carney, J. (2024). Why your business needs a data-driven culture—and how to build one. </w:t>
      </w:r>
      <w:r>
        <w:rPr>
          <w:i/>
          <w:iCs/>
        </w:rPr>
        <w:t>McKinsey &amp; Company</w:t>
      </w:r>
      <w:r>
        <w:t>.（数据驱动文化建设）</w:t>
      </w:r>
    </w:p>
    <w:p w14:paraId="6AF3D6C0">
      <w:pPr>
        <w:numPr>
          <w:ilvl w:val="0"/>
          <w:numId w:val="10"/>
        </w:numPr>
      </w:pPr>
      <w:r>
        <w:t xml:space="preserve">[真实内容] Indeed Editorial Team. (2024). </w:t>
      </w:r>
      <w:r>
        <w:rPr>
          <w:i/>
          <w:iCs/>
        </w:rPr>
        <w:t>What Is a Background Check?</w:t>
      </w:r>
      <w:r>
        <w:t>. Indeed Career Guide.（背景调查定义与范围）</w:t>
      </w:r>
    </w:p>
    <w:p w14:paraId="7E2573F4">
      <w:pPr>
        <w:numPr>
          <w:ilvl w:val="0"/>
          <w:numId w:val="10"/>
        </w:numPr>
      </w:pPr>
      <w:r>
        <w:t xml:space="preserve">[真实内容] Webb, E. J., et al. (1966). </w:t>
      </w:r>
      <w:r>
        <w:rPr>
          <w:i/>
          <w:iCs/>
        </w:rPr>
        <w:t>Unobtrusive Measures: Nonreactive Research in the Social Sciences</w:t>
      </w:r>
      <w:r>
        <w:t>. Chicago: Rand McNally.（非侵入性测量理论经典著作）</w:t>
      </w:r>
    </w:p>
    <w:p w14:paraId="37B7E982">
      <w:pPr>
        <w:numPr>
          <w:ilvl w:val="0"/>
          <w:numId w:val="10"/>
        </w:numPr>
      </w:pPr>
      <w:r>
        <w:t xml:space="preserve">[真实内容] Zervoudakis, A., et al. (2024). Investigating a novel approach to healthcare quality: Exploring the relationship between organizational culture and performance. </w:t>
      </w:r>
      <w:r>
        <w:rPr>
          <w:i/>
          <w:iCs/>
        </w:rPr>
        <w:t>Balkan Journal of Medical Sciences</w:t>
      </w:r>
      <w:r>
        <w:t>, 4(2), 149-162.（组织文化与绩效关系）</w:t>
      </w:r>
    </w:p>
    <w:p w14:paraId="5769364E">
      <w:pPr>
        <w:numPr>
          <w:ilvl w:val="0"/>
          <w:numId w:val="10"/>
        </w:numPr>
      </w:pPr>
      <w:r>
        <w:t xml:space="preserve">[真实内容] Owoyemi, O., et al. (2020). Organizational culture as a predictor of organizational performances. </w:t>
      </w:r>
      <w:r>
        <w:rPr>
          <w:i/>
          <w:iCs/>
        </w:rPr>
        <w:t>Researchgate Preprint</w:t>
      </w:r>
      <w:r>
        <w:t>.（组织文化预测绩效）</w:t>
      </w:r>
    </w:p>
    <w:p w14:paraId="7CC4906E">
      <w:pPr>
        <w:numPr>
          <w:ilvl w:val="0"/>
          <w:numId w:val="10"/>
        </w:numPr>
      </w:pPr>
      <w:r>
        <w:t xml:space="preserve">[真实内容] Amoah, J., et al. (2016). A Review of the Effect of Organizational Culture on Employee Performance in Developing Countries. </w:t>
      </w:r>
      <w:r>
        <w:rPr>
          <w:i/>
          <w:iCs/>
        </w:rPr>
        <w:t>Journal of Business and Management</w:t>
      </w:r>
      <w:r>
        <w:t>, 18(2), 23-29.（组织文化与员工绩效）</w:t>
      </w:r>
    </w:p>
    <w:p w14:paraId="54C2779E">
      <w:pPr>
        <w:numPr>
          <w:ilvl w:val="0"/>
          <w:numId w:val="10"/>
        </w:numPr>
      </w:pPr>
      <w:r>
        <w:t xml:space="preserve">[真实内容] Noe, R., et al. (2015). </w:t>
      </w:r>
      <w:r>
        <w:rPr>
          <w:i/>
          <w:iCs/>
        </w:rPr>
        <w:t>Human Resource Management: Gaining a Competitive Advantage</w:t>
      </w:r>
      <w:r>
        <w:t xml:space="preserve"> (8th ed.). McGraw-Hill Education.（人力资源管理基础，含合伙人选择）</w:t>
      </w:r>
    </w:p>
    <w:p w14:paraId="47C0E9C9">
      <w:pPr>
        <w:numPr>
          <w:ilvl w:val="0"/>
          <w:numId w:val="10"/>
        </w:numPr>
      </w:pPr>
      <w:r>
        <w:t xml:space="preserve">[模拟] Barrick, M. R., &amp; Mount, M. K. (1991). The Big Five personality dimensions and job performance: A meta-analysis. </w:t>
      </w:r>
      <w:r>
        <w:rPr>
          <w:i/>
          <w:iCs/>
        </w:rPr>
        <w:t>Personnel Psychology</w:t>
      </w:r>
      <w:r>
        <w:t>, 44(1), 1-26.（大五人格与工作绩效，框架潜在理论基础）</w:t>
      </w:r>
    </w:p>
    <w:p w14:paraId="579042E3">
      <w:pPr>
        <w:numPr>
          <w:ilvl w:val="0"/>
          <w:numId w:val="10"/>
        </w:numPr>
      </w:pPr>
      <w:r>
        <w:t xml:space="preserve">[模拟] Granovetter, M. S. (1973). The strength of weak ties. </w:t>
      </w:r>
      <w:r>
        <w:rPr>
          <w:i/>
          <w:iCs/>
        </w:rPr>
        <w:t>American Journal of Sociology</w:t>
      </w:r>
      <w:r>
        <w:t>, 78(6), 1360-1380.（弱关系理论，社交图谱分析基础）</w:t>
      </w:r>
    </w:p>
    <w:p w14:paraId="7BDC98FC">
      <w:pPr>
        <w:numPr>
          <w:ilvl w:val="0"/>
          <w:numId w:val="10"/>
        </w:numPr>
      </w:pPr>
      <w:r>
        <w:t xml:space="preserve">[模拟] Burt, R. S. (1992). </w:t>
      </w:r>
      <w:r>
        <w:rPr>
          <w:i/>
          <w:iCs/>
        </w:rPr>
        <w:t>Structural Holes: The Social Structure of Competition</w:t>
      </w:r>
      <w:r>
        <w:t>. Harvard University Press.（结构洞理论，网络分析基础）</w:t>
      </w:r>
    </w:p>
    <w:p w14:paraId="57BDD1D4">
      <w:pPr>
        <w:numPr>
          <w:ilvl w:val="0"/>
          <w:numId w:val="10"/>
        </w:numPr>
      </w:pPr>
      <w:r>
        <w:t xml:space="preserve">[模拟] Furnham, A. (1986). Response bias, social desirability and dissimulation. </w:t>
      </w:r>
      <w:r>
        <w:rPr>
          <w:i/>
          <w:iCs/>
        </w:rPr>
        <w:t>Personality and Individual Differences</w:t>
      </w:r>
      <w:r>
        <w:t>, 7(3), 385-400.（社会期望偏差理论）</w:t>
      </w:r>
    </w:p>
    <w:p w14:paraId="64F957D5">
      <w:pPr>
        <w:numPr>
          <w:ilvl w:val="0"/>
          <w:numId w:val="10"/>
        </w:numPr>
      </w:pPr>
      <w:r>
        <w:t xml:space="preserve">[模拟] Heggestad, E. D., &amp; Cullen, M. J. (2020). Examining faking on personality items using a multiformat multidimensional IRT model. </w:t>
      </w:r>
      <w:r>
        <w:rPr>
          <w:i/>
          <w:iCs/>
        </w:rPr>
        <w:t>Personnel Assessment and Decisions</w:t>
      </w:r>
      <w:r>
        <w:t>, 6(1), 12-24.（人格测评作假问题）</w:t>
      </w:r>
    </w:p>
    <w:p w14:paraId="68895FAD">
      <w:pPr>
        <w:numPr>
          <w:ilvl w:val="0"/>
          <w:numId w:val="10"/>
        </w:numPr>
      </w:pPr>
      <w:r>
        <w:t xml:space="preserve">[模拟] Rynes, S. L., et al. (2014). Social media in employee selection: An issue whose time has come. </w:t>
      </w:r>
      <w:r>
        <w:rPr>
          <w:i/>
          <w:iCs/>
        </w:rPr>
        <w:t>Industrial and Organizational Psychology: Perspectives on Science and Practice</w:t>
      </w:r>
      <w:r>
        <w:t>, 7(3), 345-352.（社交媒体筛选专题）</w:t>
      </w:r>
    </w:p>
    <w:p w14:paraId="5A00806A">
      <w:pPr>
        <w:numPr>
          <w:ilvl w:val="0"/>
          <w:numId w:val="10"/>
        </w:numPr>
      </w:pPr>
      <w:r>
        <w:t xml:space="preserve">[模拟] Gillespie, J. Z., et al. (2020). Social media and selection: Validity and adverse impact. </w:t>
      </w:r>
      <w:r>
        <w:rPr>
          <w:i/>
          <w:iCs/>
        </w:rPr>
        <w:t>International Journal of Selection and Assessment</w:t>
      </w:r>
      <w:r>
        <w:t>, 28(2), 119-137.（社交媒体效度与不利影响）</w:t>
      </w:r>
    </w:p>
    <w:p w14:paraId="37635F32">
      <w:pPr>
        <w:numPr>
          <w:ilvl w:val="0"/>
          <w:numId w:val="10"/>
        </w:numPr>
      </w:pPr>
      <w:r>
        <w:t xml:space="preserve">[模拟] Uzzi, B. (1997). Social structure and competition in interfirm networks: The paradox of embeddedness. </w:t>
      </w:r>
      <w:r>
        <w:rPr>
          <w:i/>
          <w:iCs/>
        </w:rPr>
        <w:t>Administrative Science Quarterly</w:t>
      </w:r>
      <w:r>
        <w:t>, 42(1), 35-67.（嵌入性悖论，社交资本理论）</w:t>
      </w:r>
    </w:p>
    <w:p w14:paraId="0BD57B73">
      <w:r>
        <w:pict>
          <v:rect id="_x0000_i1043" o:spt="1" style="height:1.5pt;width:0pt;" coordsize="21600,21600" o:hr="t" o:hrstd="t" o:hralign="center">
            <v:path/>
            <v:fill focussize="0,0"/>
            <v:stroke/>
            <v:imagedata o:title=""/>
            <o:lock v:ext="edit"/>
            <w10:wrap type="none"/>
            <w10:anchorlock/>
          </v:rect>
        </w:pict>
      </w:r>
    </w:p>
    <w:p w14:paraId="7623513D">
      <w:pPr>
        <w:pStyle w:val="26"/>
      </w:pPr>
      <w:r>
        <w:rPr>
          <w:b/>
          <w:bCs/>
        </w:rPr>
        <w:t>文档信息：</w:t>
      </w:r>
      <w:r>
        <w:t xml:space="preserve"> - </w:t>
      </w:r>
      <w:r>
        <w:rPr>
          <w:b/>
          <w:bCs/>
        </w:rPr>
        <w:t>版本</w:t>
      </w:r>
      <w:r>
        <w:t xml:space="preserve">：V2.0 学术规范版 - </w:t>
      </w:r>
      <w:r>
        <w:rPr>
          <w:b/>
          <w:bCs/>
        </w:rPr>
        <w:t>总字数</w:t>
      </w:r>
      <w:r>
        <w:t xml:space="preserve">：约12,000字（含标点） - </w:t>
      </w:r>
      <w:r>
        <w:rPr>
          <w:b/>
          <w:bCs/>
        </w:rPr>
        <w:t>真实文献占比</w:t>
      </w:r>
      <w:r>
        <w:t xml:space="preserve">：约70%（24/34条为搜索结果确认文献） - </w:t>
      </w:r>
      <w:r>
        <w:rPr>
          <w:b/>
          <w:bCs/>
        </w:rPr>
        <w:t>模拟方法论标注</w:t>
      </w:r>
      <w:r>
        <w:t xml:space="preserve">：明确标注原创性方法论设计 - </w:t>
      </w:r>
      <w:r>
        <w:rPr>
          <w:b/>
          <w:bCs/>
        </w:rPr>
        <w:t>伦理审查状态</w:t>
      </w:r>
      <w:r>
        <w:t>：需经机构伦理审查委员会（IRB）审核后方可实施</w:t>
      </w:r>
    </w:p>
    <w:p w14:paraId="38FB4FB6">
      <w:pPr>
        <w:pStyle w:val="3"/>
      </w:pPr>
      <w:r>
        <w:rPr>
          <w:b/>
          <w:bCs/>
        </w:rPr>
        <w:t>使用说明：</w:t>
      </w:r>
      <w:r>
        <w:t xml:space="preserve"> 本手册V2.0定位为</w:t>
      </w:r>
      <w:r>
        <w:rPr>
          <w:b/>
          <w:bCs/>
        </w:rPr>
        <w:t>学术方法论框架</w:t>
      </w:r>
      <w:r>
        <w:t>与</w:t>
      </w:r>
      <w:r>
        <w:rPr>
          <w:b/>
          <w:bCs/>
        </w:rPr>
        <w:t>探索性操作指南</w:t>
      </w:r>
      <w:r>
        <w:t>，而非经实证验证的诊断工具。使用者应： 1. 区分真实学术证据与模拟方法论设计； 2. 在实施前咨询法律专家确保合规； 3. 将框架作为初步筛选辅助，不可替代深度尽职调查与试用期评估； 4. 参与纵向研究验证，积累实证数据以优化V3.0版本。</w:t>
      </w:r>
    </w:p>
    <w:p w14:paraId="10C4395F">
      <w:pPr>
        <w:pStyle w:val="3"/>
      </w:pPr>
      <w:r>
        <w:rPr>
          <w:b/>
          <w:bCs/>
        </w:rPr>
        <w:t>（全文完）</w:t>
      </w:r>
    </w:p>
    <w:p w14:paraId="625AB414">
      <w:r>
        <w:pict>
          <v:rect id="_x0000_i1044" o:spt="1" style="height:1.5pt;width:0pt;" coordsize="21600,21600" o:hr="t" o:hrstd="t" o:hralign="center">
            <v:path/>
            <v:fill focussize="0,0"/>
            <v:stroke/>
            <v:imagedata o:title=""/>
            <o:lock v:ext="edit"/>
            <w10:wrap type="none"/>
            <w10:anchorlock/>
          </v:rect>
        </w:pict>
      </w:r>
    </w:p>
    <w:bookmarkEnd w:id="0"/>
    <w:bookmarkEnd w:id="74"/>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pgNumType w:fmt="decimal"/>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1372F">
    <w:pPr>
      <w:pStyle w:val="16"/>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CDCF4E">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2CDCF4E">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30</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1E39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2F45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9199">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946F5">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15037006"/>
    <w:rsid w:val="1D804AE8"/>
    <w:rsid w:val="653528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uiPriority w:val="0"/>
    <w:pPr>
      <w:tabs>
        <w:tab w:val="center" w:pos="4153"/>
        <w:tab w:val="right" w:pos="8306"/>
      </w:tabs>
      <w:snapToGrid w:val="0"/>
      <w:spacing w:line="240" w:lineRule="auto"/>
    </w:pPr>
    <w:rPr>
      <w:sz w:val="18"/>
      <w:szCs w:val="18"/>
    </w:rPr>
  </w:style>
  <w:style w:type="paragraph" w:styleId="17">
    <w:name w:val="header"/>
    <w:basedOn w:val="1"/>
    <w:link w:val="5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uiPriority w:val="0"/>
    <w:rPr>
      <w:color w:val="40A070"/>
    </w:rPr>
  </w:style>
  <w:style w:type="character" w:customStyle="1" w:styleId="62">
    <w:name w:val="FloatTok"/>
    <w:basedOn w:val="51"/>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uiPriority w:val="0"/>
    <w:rPr>
      <w:color w:val="4070A0"/>
    </w:rPr>
  </w:style>
  <w:style w:type="character" w:customStyle="1" w:styleId="67">
    <w:name w:val="VerbatimStringTok"/>
    <w:basedOn w:val="51"/>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uiPriority w:val="0"/>
    <w:rPr>
      <w:b/>
      <w:color w:val="008000"/>
    </w:rPr>
  </w:style>
  <w:style w:type="character" w:customStyle="1" w:styleId="70">
    <w:name w:val="CommentTok"/>
    <w:basedOn w:val="51"/>
    <w:uiPriority w:val="0"/>
    <w:rPr>
      <w:i/>
      <w:color w:val="60A0B0"/>
    </w:rPr>
  </w:style>
  <w:style w:type="character" w:customStyle="1" w:styleId="71">
    <w:name w:val="DocumentationTok"/>
    <w:basedOn w:val="51"/>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uiPriority w:val="0"/>
    <w:rPr>
      <w:b/>
      <w:i/>
      <w:color w:val="60A0B0"/>
    </w:rPr>
  </w:style>
  <w:style w:type="character" w:customStyle="1" w:styleId="86">
    <w:name w:val="AlertTok"/>
    <w:basedOn w:val="51"/>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9252</Words>
  <Characters>11025</Characters>
  <Lines>3</Lines>
  <Paragraphs>1</Paragraphs>
  <TotalTime>2</TotalTime>
  <ScaleCrop>false</ScaleCrop>
  <LinksUpToDate>false</LinksUpToDate>
  <CharactersWithSpaces>11282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2026-03-18T13:34:00Z</dcterms:created>
  <dc:creator>刘华斌 Egbert Lau</dc:creator>
  <cp:lastModifiedBy>刘华斌 Egbert Lau</cp:lastModifiedBy>
  <dcterms:modified xsi:type="dcterms:W3CDTF">2026-03-18T13:37:11Z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011a6-1cd2-894f-8000-0903925a8c6b-20260318133423","ReservedCode1":"","ContentPropagator":"001191110108MACG2KBH8F20000","PropagateID":"cntqnesudu6262glarp0-19d011a6-1cd2-894f-8000-0903925a8c6b-20260318133423","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6ADD2C3A6701475DAA888DD1D325295A_13</vt:lpwstr>
  </property>
</Properties>
</file>