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52BE95">
      <w:r>
        <w:pict>
          <v:rect id="_x0000_i1025" o:spt="1" style="height:1.5pt;width:0pt;" coordsize="21600,21600" o:hr="t" o:hrstd="t" o:hralign="center">
            <v:path/>
            <v:fill focussize="0,0"/>
            <v:stroke/>
            <v:imagedata o:title=""/>
            <o:lock v:ext="edit"/>
            <w10:wrap type="none"/>
            <w10:anchorlock/>
          </v:rect>
        </w:pict>
      </w:r>
    </w:p>
    <w:p w14:paraId="0D88B446">
      <w:pPr>
        <w:pStyle w:val="4"/>
      </w:pPr>
      <w:bookmarkStart w:id="0" w:name="X7fc2f50ee4f831e4da6f6722e755db5edc76a66"/>
      <w:r>
        <w:t>第一阶段：关键数据验证与证据地图构建我将继续验证关键数据点，特别是关于希迪智驾上市情况、科创学院学生创业率以及李泽湘学术荣誉的具体信息。现在我将基于验证结果构建完整的学术化2.0版本研究报告。</w:t>
      </w:r>
    </w:p>
    <w:p w14:paraId="6173A5B2">
      <w:r>
        <w:pict>
          <v:rect id="_x0000_i1026" o:spt="1" style="height:1.5pt;width:0pt;" coordsize="21600,21600" o:hr="t" o:hrstd="t" o:hralign="center">
            <v:path/>
            <v:fill focussize="0,0"/>
            <v:stroke/>
            <v:imagedata o:title=""/>
            <o:lock v:ext="edit"/>
            <w10:wrap type="none"/>
            <w10:anchorlock/>
          </v:rect>
        </w:pict>
      </w:r>
    </w:p>
    <w:bookmarkEnd w:id="0"/>
    <w:p w14:paraId="44F8ABB2">
      <w:pPr>
        <w:pStyle w:val="2"/>
      </w:pPr>
      <w:bookmarkStart w:id="1" w:name="满意解研究所与xbotpark体系协同策略研究报告-2.0学术版"/>
      <w:r>
        <w:t>满意解研究所与XbotPark体系协同策略研究报告 2.0（学术版）</w:t>
      </w:r>
    </w:p>
    <w:p w14:paraId="067F6EFD">
      <w:pPr>
        <w:pStyle w:val="4"/>
      </w:pPr>
      <w:bookmarkStart w:id="2" w:name="证据地图evidence-map"/>
      <w:r>
        <w:t>证据地图（Evidence Map）</w:t>
      </w:r>
    </w:p>
    <w:tbl>
      <w:tblPr>
        <w:tblStyle w:val="44"/>
        <w:tblW w:w="10609" w:type="dxa"/>
        <w:jc w:val="center"/>
        <w:tblLayout w:type="autofit"/>
        <w:tblCellMar>
          <w:top w:w="0" w:type="dxa"/>
          <w:left w:w="108" w:type="dxa"/>
          <w:bottom w:w="0" w:type="dxa"/>
          <w:right w:w="108" w:type="dxa"/>
        </w:tblCellMar>
      </w:tblPr>
      <w:tblGrid>
        <w:gridCol w:w="2395"/>
        <w:gridCol w:w="2187"/>
        <w:gridCol w:w="756"/>
        <w:gridCol w:w="2836"/>
        <w:gridCol w:w="2435"/>
      </w:tblGrid>
      <w:tr w14:paraId="41F9B714">
        <w:tblPrEx>
          <w:tblCellMar>
            <w:top w:w="0" w:type="dxa"/>
            <w:left w:w="108" w:type="dxa"/>
            <w:bottom w:w="0" w:type="dxa"/>
            <w:right w:w="108" w:type="dxa"/>
          </w:tblCellMar>
        </w:tblPrEx>
        <w:trPr>
          <w:trHeight w:val="0" w:hRule="atLeast"/>
          <w:tblHeader/>
          <w:jc w:val="center"/>
        </w:trPr>
        <w:tc>
          <w:tcPr>
            <w:tcW w:w="2395" w:type="dxa"/>
            <w:tcBorders>
              <w:top w:val="single" w:color="auto" w:sz="12" w:space="0"/>
              <w:left w:val="nil"/>
              <w:bottom w:val="single" w:color="auto" w:sz="4" w:space="0"/>
              <w:right w:val="nil"/>
            </w:tcBorders>
            <w:vAlign w:val="center"/>
          </w:tcPr>
          <w:p w14:paraId="466A2669">
            <w:pPr>
              <w:pStyle w:val="27"/>
              <w:snapToGrid w:val="0"/>
              <w:spacing w:line="240" w:lineRule="auto"/>
              <w:ind w:left="0" w:leftChars="0" w:right="0" w:rightChars="0" w:firstLine="0" w:firstLineChars="0"/>
              <w:jc w:val="center"/>
              <w:rPr>
                <w:b/>
              </w:rPr>
            </w:pPr>
            <w:r>
              <w:rPr>
                <w:b/>
              </w:rPr>
              <w:t>核心主张</w:t>
            </w:r>
          </w:p>
        </w:tc>
        <w:tc>
          <w:tcPr>
            <w:tcW w:w="2187" w:type="dxa"/>
            <w:tcBorders>
              <w:top w:val="single" w:color="auto" w:sz="12" w:space="0"/>
              <w:left w:val="nil"/>
              <w:bottom w:val="single" w:color="auto" w:sz="4" w:space="0"/>
              <w:right w:val="nil"/>
            </w:tcBorders>
            <w:vAlign w:val="center"/>
          </w:tcPr>
          <w:p w14:paraId="48702537">
            <w:pPr>
              <w:pStyle w:val="27"/>
              <w:snapToGrid w:val="0"/>
              <w:spacing w:line="240" w:lineRule="auto"/>
              <w:ind w:left="0" w:leftChars="0" w:right="0" w:rightChars="0" w:firstLine="0" w:firstLineChars="0"/>
              <w:jc w:val="center"/>
              <w:rPr>
                <w:b/>
              </w:rPr>
            </w:pPr>
            <w:r>
              <w:rPr>
                <w:b/>
              </w:rPr>
              <w:t>证据来源</w:t>
            </w:r>
          </w:p>
        </w:tc>
        <w:tc>
          <w:tcPr>
            <w:tcW w:w="756" w:type="dxa"/>
            <w:tcBorders>
              <w:top w:val="single" w:color="auto" w:sz="12" w:space="0"/>
              <w:left w:val="nil"/>
              <w:bottom w:val="single" w:color="auto" w:sz="4" w:space="0"/>
              <w:right w:val="nil"/>
            </w:tcBorders>
            <w:vAlign w:val="center"/>
          </w:tcPr>
          <w:p w14:paraId="56F68E4D">
            <w:pPr>
              <w:pStyle w:val="27"/>
              <w:snapToGrid w:val="0"/>
              <w:spacing w:line="240" w:lineRule="auto"/>
              <w:ind w:left="0" w:leftChars="0" w:right="0" w:rightChars="0" w:firstLine="0" w:firstLineChars="0"/>
              <w:jc w:val="center"/>
              <w:rPr>
                <w:b/>
              </w:rPr>
            </w:pPr>
            <w:r>
              <w:rPr>
                <w:b/>
              </w:rPr>
              <w:t>置信度</w:t>
            </w:r>
          </w:p>
        </w:tc>
        <w:tc>
          <w:tcPr>
            <w:tcW w:w="2836" w:type="dxa"/>
            <w:tcBorders>
              <w:top w:val="single" w:color="auto" w:sz="12" w:space="0"/>
              <w:left w:val="nil"/>
              <w:bottom w:val="single" w:color="auto" w:sz="4" w:space="0"/>
              <w:right w:val="nil"/>
            </w:tcBorders>
            <w:vAlign w:val="center"/>
          </w:tcPr>
          <w:p w14:paraId="0614C617">
            <w:pPr>
              <w:pStyle w:val="27"/>
              <w:snapToGrid w:val="0"/>
              <w:spacing w:line="240" w:lineRule="auto"/>
              <w:ind w:left="0" w:leftChars="0" w:right="0" w:rightChars="0" w:firstLine="0" w:firstLineChars="0"/>
              <w:jc w:val="center"/>
              <w:rPr>
                <w:b/>
              </w:rPr>
            </w:pPr>
            <w:r>
              <w:rPr>
                <w:b/>
              </w:rPr>
              <w:t>反方观点/局限</w:t>
            </w:r>
          </w:p>
        </w:tc>
        <w:tc>
          <w:tcPr>
            <w:tcW w:w="2435" w:type="dxa"/>
            <w:tcBorders>
              <w:top w:val="single" w:color="auto" w:sz="12" w:space="0"/>
              <w:left w:val="nil"/>
              <w:bottom w:val="single" w:color="auto" w:sz="4" w:space="0"/>
              <w:right w:val="nil"/>
            </w:tcBorders>
            <w:vAlign w:val="center"/>
          </w:tcPr>
          <w:p w14:paraId="6304AE0D">
            <w:pPr>
              <w:pStyle w:val="27"/>
              <w:snapToGrid w:val="0"/>
              <w:spacing w:line="240" w:lineRule="auto"/>
              <w:ind w:left="0" w:leftChars="0" w:right="0" w:rightChars="0" w:firstLine="0" w:firstLineChars="0"/>
              <w:jc w:val="center"/>
              <w:rPr>
                <w:b/>
              </w:rPr>
            </w:pPr>
            <w:r>
              <w:rPr>
                <w:b/>
              </w:rPr>
              <w:t>备注</w:t>
            </w:r>
          </w:p>
        </w:tc>
      </w:tr>
      <w:tr w14:paraId="7E3FCDBA">
        <w:tblPrEx>
          <w:tblCellMar>
            <w:top w:w="0" w:type="dxa"/>
            <w:left w:w="108" w:type="dxa"/>
            <w:bottom w:w="0" w:type="dxa"/>
            <w:right w:w="108" w:type="dxa"/>
          </w:tblCellMar>
        </w:tblPrEx>
        <w:trPr>
          <w:trHeight w:val="0" w:hRule="atLeast"/>
          <w:jc w:val="center"/>
        </w:trPr>
        <w:tc>
          <w:tcPr>
            <w:tcW w:w="2395" w:type="dxa"/>
            <w:tcBorders>
              <w:top w:val="single" w:color="auto" w:sz="4" w:space="0"/>
              <w:left w:val="nil"/>
              <w:bottom w:val="nil"/>
              <w:right w:val="nil"/>
            </w:tcBorders>
            <w:vAlign w:val="center"/>
          </w:tcPr>
          <w:p w14:paraId="2F58B1D5">
            <w:pPr>
              <w:pStyle w:val="27"/>
              <w:snapToGrid w:val="0"/>
              <w:spacing w:line="240" w:lineRule="auto"/>
              <w:ind w:left="0" w:leftChars="0" w:right="0" w:rightChars="0" w:firstLine="0" w:firstLineChars="0"/>
              <w:jc w:val="left"/>
            </w:pPr>
            <w:r>
              <w:rPr>
                <w:b/>
                <w:bCs/>
              </w:rPr>
              <w:t>XbotPark孵化企业数量达270家</w:t>
            </w:r>
          </w:p>
        </w:tc>
        <w:tc>
          <w:tcPr>
            <w:tcW w:w="2187" w:type="dxa"/>
            <w:tcBorders>
              <w:top w:val="single" w:color="auto" w:sz="4" w:space="0"/>
              <w:left w:val="nil"/>
              <w:bottom w:val="nil"/>
              <w:right w:val="nil"/>
            </w:tcBorders>
            <w:vAlign w:val="center"/>
          </w:tcPr>
          <w:p w14:paraId="2A40111B">
            <w:pPr>
              <w:pStyle w:val="27"/>
              <w:snapToGrid w:val="0"/>
              <w:spacing w:line="240" w:lineRule="auto"/>
              <w:ind w:left="0" w:leftChars="0" w:right="0" w:rightChars="0" w:firstLine="0" w:firstLineChars="0"/>
              <w:jc w:val="left"/>
            </w:pPr>
            <w:r>
              <w:t>广东省高质量发展大会（2026-02-24）官方发布</w:t>
            </w:r>
          </w:p>
        </w:tc>
        <w:tc>
          <w:tcPr>
            <w:tcW w:w="756" w:type="dxa"/>
            <w:tcBorders>
              <w:top w:val="single" w:color="auto" w:sz="4" w:space="0"/>
              <w:left w:val="nil"/>
              <w:bottom w:val="nil"/>
              <w:right w:val="nil"/>
            </w:tcBorders>
            <w:vAlign w:val="center"/>
          </w:tcPr>
          <w:p w14:paraId="7A443322">
            <w:pPr>
              <w:pStyle w:val="27"/>
              <w:snapToGrid w:val="0"/>
              <w:spacing w:line="240" w:lineRule="auto"/>
              <w:ind w:left="0" w:leftChars="0" w:right="0" w:rightChars="0" w:firstLine="0" w:firstLineChars="0"/>
              <w:jc w:val="center"/>
            </w:pPr>
            <w:r>
              <w:rPr>
                <w:b/>
                <w:bCs/>
              </w:rPr>
              <w:t>高</w:t>
            </w:r>
          </w:p>
        </w:tc>
        <w:tc>
          <w:tcPr>
            <w:tcW w:w="2836" w:type="dxa"/>
            <w:tcBorders>
              <w:top w:val="single" w:color="auto" w:sz="4" w:space="0"/>
              <w:left w:val="nil"/>
              <w:bottom w:val="nil"/>
              <w:right w:val="nil"/>
            </w:tcBorders>
            <w:vAlign w:val="center"/>
          </w:tcPr>
          <w:p w14:paraId="731351D9">
            <w:pPr>
              <w:pStyle w:val="27"/>
              <w:snapToGrid w:val="0"/>
              <w:spacing w:line="240" w:lineRule="auto"/>
              <w:ind w:left="0" w:leftChars="0" w:right="0" w:rightChars="0" w:firstLine="0" w:firstLineChars="0"/>
              <w:jc w:val="left"/>
            </w:pPr>
            <w:r>
              <w:t>早期报道为60余家（2014-2020）或140余家；数据随时间动态增长，不同统计口径存在差异</w:t>
            </w:r>
          </w:p>
        </w:tc>
        <w:tc>
          <w:tcPr>
            <w:tcW w:w="2435" w:type="dxa"/>
            <w:tcBorders>
              <w:top w:val="single" w:color="auto" w:sz="4" w:space="0"/>
              <w:left w:val="nil"/>
              <w:bottom w:val="nil"/>
              <w:right w:val="nil"/>
            </w:tcBorders>
            <w:vAlign w:val="center"/>
          </w:tcPr>
          <w:p w14:paraId="08F049A9">
            <w:pPr>
              <w:pStyle w:val="27"/>
              <w:snapToGrid w:val="0"/>
              <w:spacing w:line="240" w:lineRule="auto"/>
              <w:ind w:left="0" w:leftChars="0" w:right="0" w:rightChars="0" w:firstLine="0" w:firstLineChars="0"/>
              <w:jc w:val="left"/>
            </w:pPr>
            <w:r>
              <w:t>数据差异源于统计时点与范围不同（仅松山湖vs全国网络）</w:t>
            </w:r>
          </w:p>
        </w:tc>
      </w:tr>
      <w:tr w14:paraId="7577B11E">
        <w:tblPrEx>
          <w:tblCellMar>
            <w:top w:w="0" w:type="dxa"/>
            <w:left w:w="108" w:type="dxa"/>
            <w:bottom w:w="0" w:type="dxa"/>
            <w:right w:w="108" w:type="dxa"/>
          </w:tblCellMar>
        </w:tblPrEx>
        <w:trPr>
          <w:trHeight w:val="0" w:hRule="atLeast"/>
          <w:jc w:val="center"/>
        </w:trPr>
        <w:tc>
          <w:tcPr>
            <w:tcW w:w="2395" w:type="dxa"/>
            <w:tcBorders>
              <w:top w:val="nil"/>
              <w:left w:val="nil"/>
              <w:bottom w:val="nil"/>
              <w:right w:val="nil"/>
            </w:tcBorders>
            <w:vAlign w:val="center"/>
          </w:tcPr>
          <w:p w14:paraId="4B000302">
            <w:pPr>
              <w:pStyle w:val="27"/>
              <w:snapToGrid w:val="0"/>
              <w:spacing w:line="240" w:lineRule="auto"/>
              <w:ind w:left="0" w:leftChars="0" w:right="0" w:rightChars="0" w:firstLine="0" w:firstLineChars="0"/>
              <w:jc w:val="left"/>
            </w:pPr>
            <w:r>
              <w:rPr>
                <w:b/>
                <w:bCs/>
              </w:rPr>
              <w:t>孵化企业存活率80%</w:t>
            </w:r>
          </w:p>
        </w:tc>
        <w:tc>
          <w:tcPr>
            <w:tcW w:w="2187" w:type="dxa"/>
            <w:tcBorders>
              <w:top w:val="nil"/>
              <w:left w:val="nil"/>
              <w:bottom w:val="nil"/>
              <w:right w:val="nil"/>
            </w:tcBorders>
            <w:vAlign w:val="center"/>
          </w:tcPr>
          <w:p w14:paraId="0F5C8B30">
            <w:pPr>
              <w:pStyle w:val="27"/>
              <w:snapToGrid w:val="0"/>
              <w:spacing w:line="240" w:lineRule="auto"/>
              <w:ind w:left="0" w:leftChars="0" w:right="0" w:rightChars="0" w:firstLine="0" w:firstLineChars="0"/>
              <w:jc w:val="left"/>
            </w:pPr>
            <w:r>
              <w:t>36氪（2025-08）、新浪财经（2023-12）</w:t>
            </w:r>
          </w:p>
        </w:tc>
        <w:tc>
          <w:tcPr>
            <w:tcW w:w="756" w:type="dxa"/>
            <w:tcBorders>
              <w:top w:val="nil"/>
              <w:left w:val="nil"/>
              <w:bottom w:val="nil"/>
              <w:right w:val="nil"/>
            </w:tcBorders>
            <w:vAlign w:val="center"/>
          </w:tcPr>
          <w:p w14:paraId="3DC40F61">
            <w:pPr>
              <w:pStyle w:val="27"/>
              <w:snapToGrid w:val="0"/>
              <w:spacing w:line="240" w:lineRule="auto"/>
              <w:ind w:left="0" w:leftChars="0" w:right="0" w:rightChars="0" w:firstLine="0" w:firstLineChars="0"/>
              <w:jc w:val="center"/>
            </w:pPr>
            <w:r>
              <w:rPr>
                <w:b/>
                <w:bCs/>
              </w:rPr>
              <w:t>高</w:t>
            </w:r>
          </w:p>
        </w:tc>
        <w:tc>
          <w:tcPr>
            <w:tcW w:w="2836" w:type="dxa"/>
            <w:tcBorders>
              <w:top w:val="nil"/>
              <w:left w:val="nil"/>
              <w:bottom w:val="nil"/>
              <w:right w:val="nil"/>
            </w:tcBorders>
            <w:vAlign w:val="center"/>
          </w:tcPr>
          <w:p w14:paraId="6D06D1FC">
            <w:pPr>
              <w:pStyle w:val="27"/>
              <w:snapToGrid w:val="0"/>
              <w:spacing w:line="240" w:lineRule="auto"/>
              <w:ind w:left="0" w:leftChars="0" w:right="0" w:rightChars="0" w:firstLine="0" w:firstLineChars="0"/>
              <w:jc w:val="left"/>
            </w:pPr>
            <w:r>
              <w:t>缺乏独立第三方审计验证；存活率定义未明确（是否包含并购、转型等）</w:t>
            </w:r>
          </w:p>
        </w:tc>
        <w:tc>
          <w:tcPr>
            <w:tcW w:w="2435" w:type="dxa"/>
            <w:tcBorders>
              <w:top w:val="nil"/>
              <w:left w:val="nil"/>
              <w:bottom w:val="nil"/>
              <w:right w:val="nil"/>
            </w:tcBorders>
            <w:vAlign w:val="center"/>
          </w:tcPr>
          <w:p w14:paraId="77419161">
            <w:pPr>
              <w:pStyle w:val="27"/>
              <w:snapToGrid w:val="0"/>
              <w:spacing w:line="240" w:lineRule="auto"/>
              <w:ind w:left="0" w:leftChars="0" w:right="0" w:rightChars="0" w:firstLine="0" w:firstLineChars="0"/>
              <w:jc w:val="left"/>
            </w:pPr>
            <w:r>
              <w:t>需人工验证：获取XbotPark官方年报原始CSV</w:t>
            </w:r>
          </w:p>
        </w:tc>
      </w:tr>
      <w:tr w14:paraId="5491AB4B">
        <w:tblPrEx>
          <w:tblCellMar>
            <w:top w:w="0" w:type="dxa"/>
            <w:left w:w="108" w:type="dxa"/>
            <w:bottom w:w="0" w:type="dxa"/>
            <w:right w:w="108" w:type="dxa"/>
          </w:tblCellMar>
        </w:tblPrEx>
        <w:trPr>
          <w:trHeight w:val="0" w:hRule="atLeast"/>
          <w:jc w:val="center"/>
        </w:trPr>
        <w:tc>
          <w:tcPr>
            <w:tcW w:w="2395" w:type="dxa"/>
            <w:tcBorders>
              <w:top w:val="nil"/>
              <w:left w:val="nil"/>
              <w:bottom w:val="nil"/>
              <w:right w:val="nil"/>
            </w:tcBorders>
            <w:vAlign w:val="center"/>
          </w:tcPr>
          <w:p w14:paraId="1F824209">
            <w:pPr>
              <w:pStyle w:val="27"/>
              <w:snapToGrid w:val="0"/>
              <w:spacing w:line="240" w:lineRule="auto"/>
              <w:ind w:left="0" w:leftChars="0" w:right="0" w:rightChars="0" w:firstLine="0" w:firstLineChars="0"/>
              <w:jc w:val="left"/>
            </w:pPr>
            <w:r>
              <w:rPr>
                <w:b/>
                <w:bCs/>
              </w:rPr>
              <w:t>总估值突破3500亿元</w:t>
            </w:r>
          </w:p>
        </w:tc>
        <w:tc>
          <w:tcPr>
            <w:tcW w:w="2187" w:type="dxa"/>
            <w:tcBorders>
              <w:top w:val="nil"/>
              <w:left w:val="nil"/>
              <w:bottom w:val="nil"/>
              <w:right w:val="nil"/>
            </w:tcBorders>
            <w:vAlign w:val="center"/>
          </w:tcPr>
          <w:p w14:paraId="18C92546">
            <w:pPr>
              <w:pStyle w:val="27"/>
              <w:snapToGrid w:val="0"/>
              <w:spacing w:line="240" w:lineRule="auto"/>
              <w:ind w:left="0" w:leftChars="0" w:right="0" w:rightChars="0" w:firstLine="0" w:firstLineChars="0"/>
              <w:jc w:val="left"/>
            </w:pPr>
            <w:r>
              <w:t>广东省高质量发展大会（2026-02-24）</w:t>
            </w:r>
          </w:p>
        </w:tc>
        <w:tc>
          <w:tcPr>
            <w:tcW w:w="756" w:type="dxa"/>
            <w:tcBorders>
              <w:top w:val="nil"/>
              <w:left w:val="nil"/>
              <w:bottom w:val="nil"/>
              <w:right w:val="nil"/>
            </w:tcBorders>
            <w:vAlign w:val="center"/>
          </w:tcPr>
          <w:p w14:paraId="453CC116">
            <w:pPr>
              <w:pStyle w:val="27"/>
              <w:snapToGrid w:val="0"/>
              <w:spacing w:line="240" w:lineRule="auto"/>
              <w:ind w:left="0" w:leftChars="0" w:right="0" w:rightChars="0" w:firstLine="0" w:firstLineChars="0"/>
              <w:jc w:val="center"/>
            </w:pPr>
            <w:r>
              <w:rPr>
                <w:b/>
                <w:bCs/>
              </w:rPr>
              <w:t>中</w:t>
            </w:r>
          </w:p>
        </w:tc>
        <w:tc>
          <w:tcPr>
            <w:tcW w:w="2836" w:type="dxa"/>
            <w:tcBorders>
              <w:top w:val="nil"/>
              <w:left w:val="nil"/>
              <w:bottom w:val="nil"/>
              <w:right w:val="nil"/>
            </w:tcBorders>
            <w:vAlign w:val="center"/>
          </w:tcPr>
          <w:p w14:paraId="7B2DAC3C">
            <w:pPr>
              <w:pStyle w:val="27"/>
              <w:snapToGrid w:val="0"/>
              <w:spacing w:line="240" w:lineRule="auto"/>
              <w:ind w:left="0" w:leftChars="0" w:right="0" w:rightChars="0" w:firstLine="0" w:firstLineChars="0"/>
              <w:jc w:val="left"/>
            </w:pPr>
            <w:r>
              <w:t>与早期”超100亿美元”报道存在数量级差异；估值方法未披露（账面估值vs市场交易估值）</w:t>
            </w:r>
          </w:p>
        </w:tc>
        <w:tc>
          <w:tcPr>
            <w:tcW w:w="2435" w:type="dxa"/>
            <w:tcBorders>
              <w:top w:val="nil"/>
              <w:left w:val="nil"/>
              <w:bottom w:val="nil"/>
              <w:right w:val="nil"/>
            </w:tcBorders>
            <w:vAlign w:val="center"/>
          </w:tcPr>
          <w:p w14:paraId="6570E2E7">
            <w:pPr>
              <w:pStyle w:val="27"/>
              <w:snapToGrid w:val="0"/>
              <w:spacing w:line="240" w:lineRule="auto"/>
              <w:ind w:left="0" w:leftChars="0" w:right="0" w:rightChars="0" w:firstLine="0" w:firstLineChars="0"/>
              <w:jc w:val="left"/>
            </w:pPr>
            <w:r>
              <w:t>模拟数据警告：3500亿元为最新声称值，但缺乏详细估值底稿</w:t>
            </w:r>
          </w:p>
        </w:tc>
      </w:tr>
      <w:tr w14:paraId="591B75A9">
        <w:tblPrEx>
          <w:tblCellMar>
            <w:top w:w="0" w:type="dxa"/>
            <w:left w:w="108" w:type="dxa"/>
            <w:bottom w:w="0" w:type="dxa"/>
            <w:right w:w="108" w:type="dxa"/>
          </w:tblCellMar>
        </w:tblPrEx>
        <w:trPr>
          <w:trHeight w:val="0" w:hRule="atLeast"/>
          <w:jc w:val="center"/>
        </w:trPr>
        <w:tc>
          <w:tcPr>
            <w:tcW w:w="2395" w:type="dxa"/>
            <w:tcBorders>
              <w:top w:val="nil"/>
              <w:left w:val="nil"/>
              <w:bottom w:val="nil"/>
              <w:right w:val="nil"/>
            </w:tcBorders>
            <w:vAlign w:val="center"/>
          </w:tcPr>
          <w:p w14:paraId="00B161F5">
            <w:pPr>
              <w:pStyle w:val="27"/>
              <w:snapToGrid w:val="0"/>
              <w:spacing w:line="240" w:lineRule="auto"/>
              <w:ind w:left="0" w:leftChars="0" w:right="0" w:rightChars="0" w:firstLine="0" w:firstLineChars="0"/>
              <w:jc w:val="left"/>
            </w:pPr>
            <w:r>
              <w:rPr>
                <w:b/>
                <w:bCs/>
              </w:rPr>
              <w:t>李泽湘收获3家IPO（2023-2025）</w:t>
            </w:r>
          </w:p>
        </w:tc>
        <w:tc>
          <w:tcPr>
            <w:tcW w:w="2187" w:type="dxa"/>
            <w:tcBorders>
              <w:top w:val="nil"/>
              <w:left w:val="nil"/>
              <w:bottom w:val="nil"/>
              <w:right w:val="nil"/>
            </w:tcBorders>
            <w:vAlign w:val="center"/>
          </w:tcPr>
          <w:p w14:paraId="6A39ED6A">
            <w:pPr>
              <w:pStyle w:val="27"/>
              <w:snapToGrid w:val="0"/>
              <w:spacing w:line="240" w:lineRule="auto"/>
              <w:ind w:left="0" w:leftChars="0" w:right="0" w:rightChars="0" w:firstLine="0" w:firstLineChars="0"/>
              <w:jc w:val="left"/>
            </w:pPr>
            <w:r>
              <w:t>固高科技（2023-08）、希迪智驾（2025-12-19）、卧安机器人（2025-12-30）</w:t>
            </w:r>
          </w:p>
        </w:tc>
        <w:tc>
          <w:tcPr>
            <w:tcW w:w="756" w:type="dxa"/>
            <w:tcBorders>
              <w:top w:val="nil"/>
              <w:left w:val="nil"/>
              <w:bottom w:val="nil"/>
              <w:right w:val="nil"/>
            </w:tcBorders>
            <w:vAlign w:val="center"/>
          </w:tcPr>
          <w:p w14:paraId="6A0926B8">
            <w:pPr>
              <w:pStyle w:val="27"/>
              <w:snapToGrid w:val="0"/>
              <w:spacing w:line="240" w:lineRule="auto"/>
              <w:ind w:left="0" w:leftChars="0" w:right="0" w:rightChars="0" w:firstLine="0" w:firstLineChars="0"/>
              <w:jc w:val="center"/>
            </w:pPr>
            <w:r>
              <w:rPr>
                <w:b/>
                <w:bCs/>
              </w:rPr>
              <w:t>高</w:t>
            </w:r>
          </w:p>
        </w:tc>
        <w:tc>
          <w:tcPr>
            <w:tcW w:w="2836" w:type="dxa"/>
            <w:tcBorders>
              <w:top w:val="nil"/>
              <w:left w:val="nil"/>
              <w:bottom w:val="nil"/>
              <w:right w:val="nil"/>
            </w:tcBorders>
            <w:vAlign w:val="center"/>
          </w:tcPr>
          <w:p w14:paraId="27820B9B">
            <w:pPr>
              <w:pStyle w:val="27"/>
              <w:snapToGrid w:val="0"/>
              <w:spacing w:line="240" w:lineRule="auto"/>
              <w:ind w:left="0" w:leftChars="0" w:right="0" w:rightChars="0" w:firstLine="0" w:firstLineChars="0"/>
              <w:jc w:val="left"/>
            </w:pPr>
            <w:r>
              <w:t>希迪智驾上市首日破发（跌幅13.69%）；市值波动可能影响”成功”定义</w:t>
            </w:r>
          </w:p>
        </w:tc>
        <w:tc>
          <w:tcPr>
            <w:tcW w:w="2435" w:type="dxa"/>
            <w:tcBorders>
              <w:top w:val="nil"/>
              <w:left w:val="nil"/>
              <w:bottom w:val="nil"/>
              <w:right w:val="nil"/>
            </w:tcBorders>
            <w:vAlign w:val="center"/>
          </w:tcPr>
          <w:p w14:paraId="3902F91D">
            <w:pPr>
              <w:pStyle w:val="27"/>
              <w:snapToGrid w:val="0"/>
              <w:spacing w:line="240" w:lineRule="auto"/>
              <w:ind w:left="0" w:leftChars="0" w:right="0" w:rightChars="0" w:firstLine="0" w:firstLineChars="0"/>
              <w:jc w:val="left"/>
            </w:pPr>
            <w:r>
              <w:t>需方法学家审核：IPO是否等同于孵化成功</w:t>
            </w:r>
          </w:p>
        </w:tc>
      </w:tr>
      <w:tr w14:paraId="3C2D41CA">
        <w:tblPrEx>
          <w:tblCellMar>
            <w:top w:w="0" w:type="dxa"/>
            <w:left w:w="108" w:type="dxa"/>
            <w:bottom w:w="0" w:type="dxa"/>
            <w:right w:w="108" w:type="dxa"/>
          </w:tblCellMar>
        </w:tblPrEx>
        <w:trPr>
          <w:trHeight w:val="0" w:hRule="atLeast"/>
          <w:jc w:val="center"/>
        </w:trPr>
        <w:tc>
          <w:tcPr>
            <w:tcW w:w="2395" w:type="dxa"/>
            <w:tcBorders>
              <w:top w:val="nil"/>
              <w:left w:val="nil"/>
              <w:bottom w:val="nil"/>
              <w:right w:val="nil"/>
            </w:tcBorders>
            <w:vAlign w:val="center"/>
          </w:tcPr>
          <w:p w14:paraId="5DBB9956">
            <w:pPr>
              <w:pStyle w:val="27"/>
              <w:snapToGrid w:val="0"/>
              <w:spacing w:line="240" w:lineRule="auto"/>
              <w:ind w:left="0" w:leftChars="0" w:right="0" w:rightChars="0" w:firstLine="0" w:firstLineChars="0"/>
              <w:jc w:val="left"/>
            </w:pPr>
            <w:r>
              <w:rPr>
                <w:b/>
                <w:bCs/>
              </w:rPr>
              <w:t>清水湾二期注册资本5.36亿元</w:t>
            </w:r>
          </w:p>
        </w:tc>
        <w:tc>
          <w:tcPr>
            <w:tcW w:w="2187" w:type="dxa"/>
            <w:tcBorders>
              <w:top w:val="nil"/>
              <w:left w:val="nil"/>
              <w:bottom w:val="nil"/>
              <w:right w:val="nil"/>
            </w:tcBorders>
            <w:vAlign w:val="center"/>
          </w:tcPr>
          <w:p w14:paraId="74D2797D">
            <w:pPr>
              <w:pStyle w:val="27"/>
              <w:snapToGrid w:val="0"/>
              <w:spacing w:line="240" w:lineRule="auto"/>
              <w:ind w:left="0" w:leftChars="0" w:right="0" w:rightChars="0" w:firstLine="0" w:firstLineChars="0"/>
              <w:jc w:val="left"/>
            </w:pPr>
            <w:r>
              <w:t>36氪（2022-08）、天眼查数据</w:t>
            </w:r>
          </w:p>
        </w:tc>
        <w:tc>
          <w:tcPr>
            <w:tcW w:w="756" w:type="dxa"/>
            <w:tcBorders>
              <w:top w:val="nil"/>
              <w:left w:val="nil"/>
              <w:bottom w:val="nil"/>
              <w:right w:val="nil"/>
            </w:tcBorders>
            <w:vAlign w:val="center"/>
          </w:tcPr>
          <w:p w14:paraId="4CC47B63">
            <w:pPr>
              <w:pStyle w:val="27"/>
              <w:snapToGrid w:val="0"/>
              <w:spacing w:line="240" w:lineRule="auto"/>
              <w:ind w:left="0" w:leftChars="0" w:right="0" w:rightChars="0" w:firstLine="0" w:firstLineChars="0"/>
              <w:jc w:val="center"/>
            </w:pPr>
            <w:r>
              <w:rPr>
                <w:b/>
                <w:bCs/>
              </w:rPr>
              <w:t>高</w:t>
            </w:r>
          </w:p>
        </w:tc>
        <w:tc>
          <w:tcPr>
            <w:tcW w:w="2836" w:type="dxa"/>
            <w:tcBorders>
              <w:top w:val="nil"/>
              <w:left w:val="nil"/>
              <w:bottom w:val="nil"/>
              <w:right w:val="nil"/>
            </w:tcBorders>
            <w:vAlign w:val="center"/>
          </w:tcPr>
          <w:p w14:paraId="19555CB8">
            <w:pPr>
              <w:pStyle w:val="27"/>
              <w:snapToGrid w:val="0"/>
              <w:spacing w:line="240" w:lineRule="auto"/>
              <w:ind w:left="0" w:leftChars="0" w:right="0" w:rightChars="0" w:firstLine="0" w:firstLineChars="0"/>
              <w:jc w:val="left"/>
            </w:pPr>
            <w:r>
              <w:t>注册资本不等于实际募资规模；LP出资进度未公开</w:t>
            </w:r>
          </w:p>
        </w:tc>
        <w:tc>
          <w:tcPr>
            <w:tcW w:w="2435" w:type="dxa"/>
            <w:tcBorders>
              <w:top w:val="nil"/>
              <w:left w:val="nil"/>
              <w:bottom w:val="nil"/>
              <w:right w:val="nil"/>
            </w:tcBorders>
            <w:vAlign w:val="center"/>
          </w:tcPr>
          <w:p w14:paraId="46056AD5">
            <w:pPr>
              <w:pStyle w:val="27"/>
              <w:snapToGrid w:val="0"/>
              <w:spacing w:line="240" w:lineRule="auto"/>
              <w:ind w:left="0" w:leftChars="0" w:right="0" w:rightChars="0" w:firstLine="0" w:firstLineChars="0"/>
              <w:jc w:val="left"/>
            </w:pPr>
            <w:r>
              <w:t>腾讯、红杉、深创投等为 confirmed LP</w:t>
            </w:r>
          </w:p>
        </w:tc>
      </w:tr>
      <w:tr w14:paraId="4472D48C">
        <w:tblPrEx>
          <w:tblCellMar>
            <w:top w:w="0" w:type="dxa"/>
            <w:left w:w="108" w:type="dxa"/>
            <w:bottom w:w="0" w:type="dxa"/>
            <w:right w:w="108" w:type="dxa"/>
          </w:tblCellMar>
        </w:tblPrEx>
        <w:trPr>
          <w:trHeight w:val="0" w:hRule="atLeast"/>
          <w:jc w:val="center"/>
        </w:trPr>
        <w:tc>
          <w:tcPr>
            <w:tcW w:w="2395" w:type="dxa"/>
            <w:tcBorders>
              <w:top w:val="nil"/>
              <w:left w:val="nil"/>
              <w:bottom w:val="nil"/>
              <w:right w:val="nil"/>
            </w:tcBorders>
            <w:vAlign w:val="center"/>
          </w:tcPr>
          <w:p w14:paraId="35D53055">
            <w:pPr>
              <w:pStyle w:val="27"/>
              <w:snapToGrid w:val="0"/>
              <w:spacing w:line="240" w:lineRule="auto"/>
              <w:ind w:left="0" w:leftChars="0" w:right="0" w:rightChars="0" w:firstLine="0" w:firstLineChars="0"/>
              <w:jc w:val="left"/>
            </w:pPr>
            <w:r>
              <w:rPr>
                <w:b/>
                <w:bCs/>
              </w:rPr>
              <w:t>科创学院学生创业率60%</w:t>
            </w:r>
          </w:p>
        </w:tc>
        <w:tc>
          <w:tcPr>
            <w:tcW w:w="2187" w:type="dxa"/>
            <w:tcBorders>
              <w:top w:val="nil"/>
              <w:left w:val="nil"/>
              <w:bottom w:val="nil"/>
              <w:right w:val="nil"/>
            </w:tcBorders>
            <w:vAlign w:val="center"/>
          </w:tcPr>
          <w:p w14:paraId="4B679A04">
            <w:pPr>
              <w:pStyle w:val="27"/>
              <w:snapToGrid w:val="0"/>
              <w:spacing w:line="240" w:lineRule="auto"/>
              <w:ind w:left="0" w:leftChars="0" w:right="0" w:rightChars="0" w:firstLine="0" w:firstLineChars="0"/>
              <w:jc w:val="left"/>
            </w:pPr>
            <w:r>
              <w:rPr>
                <w:b/>
                <w:bCs/>
              </w:rPr>
              <w:t>未找到确切来源</w:t>
            </w:r>
          </w:p>
        </w:tc>
        <w:tc>
          <w:tcPr>
            <w:tcW w:w="756" w:type="dxa"/>
            <w:tcBorders>
              <w:top w:val="nil"/>
              <w:left w:val="nil"/>
              <w:bottom w:val="nil"/>
              <w:right w:val="nil"/>
            </w:tcBorders>
            <w:vAlign w:val="center"/>
          </w:tcPr>
          <w:p w14:paraId="37F1C1A3">
            <w:pPr>
              <w:pStyle w:val="27"/>
              <w:snapToGrid w:val="0"/>
              <w:spacing w:line="240" w:lineRule="auto"/>
              <w:ind w:left="0" w:leftChars="0" w:right="0" w:rightChars="0" w:firstLine="0" w:firstLineChars="0"/>
              <w:jc w:val="center"/>
            </w:pPr>
            <w:r>
              <w:rPr>
                <w:b/>
                <w:bCs/>
              </w:rPr>
              <w:t>低</w:t>
            </w:r>
          </w:p>
        </w:tc>
        <w:tc>
          <w:tcPr>
            <w:tcW w:w="2836" w:type="dxa"/>
            <w:tcBorders>
              <w:top w:val="nil"/>
              <w:left w:val="nil"/>
              <w:bottom w:val="nil"/>
              <w:right w:val="nil"/>
            </w:tcBorders>
            <w:vAlign w:val="center"/>
          </w:tcPr>
          <w:p w14:paraId="1C5A5F31">
            <w:pPr>
              <w:pStyle w:val="27"/>
              <w:snapToGrid w:val="0"/>
              <w:spacing w:line="240" w:lineRule="auto"/>
              <w:ind w:left="0" w:leftChars="0" w:right="0" w:rightChars="0" w:firstLine="0" w:firstLineChars="0"/>
              <w:jc w:val="left"/>
            </w:pPr>
            <w:r>
              <w:t>相近表述为”预计有一半学生将走上创业之路”（50%）</w:t>
            </w:r>
          </w:p>
        </w:tc>
        <w:tc>
          <w:tcPr>
            <w:tcW w:w="2435" w:type="dxa"/>
            <w:tcBorders>
              <w:top w:val="nil"/>
              <w:left w:val="nil"/>
              <w:bottom w:val="nil"/>
              <w:right w:val="nil"/>
            </w:tcBorders>
            <w:vAlign w:val="center"/>
          </w:tcPr>
          <w:p w14:paraId="0EABE47C">
            <w:pPr>
              <w:pStyle w:val="27"/>
              <w:snapToGrid w:val="0"/>
              <w:spacing w:line="240" w:lineRule="auto"/>
              <w:ind w:left="0" w:leftChars="0" w:right="0" w:rightChars="0" w:firstLine="0" w:firstLineChars="0"/>
              <w:jc w:val="left"/>
            </w:pPr>
            <w:r>
              <w:rPr>
                <w:b/>
                <w:bCs/>
              </w:rPr>
              <w:t>[模拟数据警告]</w:t>
            </w:r>
            <w:r>
              <w:t>：原始文档60%可能为概算或记忆误差</w:t>
            </w:r>
          </w:p>
        </w:tc>
      </w:tr>
      <w:tr w14:paraId="79EB04DD">
        <w:tblPrEx>
          <w:tblCellMar>
            <w:top w:w="0" w:type="dxa"/>
            <w:left w:w="108" w:type="dxa"/>
            <w:bottom w:w="0" w:type="dxa"/>
            <w:right w:w="108" w:type="dxa"/>
          </w:tblCellMar>
        </w:tblPrEx>
        <w:trPr>
          <w:trHeight w:val="0" w:hRule="atLeast"/>
          <w:jc w:val="center"/>
        </w:trPr>
        <w:tc>
          <w:tcPr>
            <w:tcW w:w="2395" w:type="dxa"/>
            <w:tcBorders>
              <w:top w:val="nil"/>
              <w:left w:val="nil"/>
              <w:bottom w:val="nil"/>
              <w:right w:val="nil"/>
            </w:tcBorders>
            <w:vAlign w:val="center"/>
          </w:tcPr>
          <w:p w14:paraId="228F25F2">
            <w:pPr>
              <w:pStyle w:val="27"/>
              <w:snapToGrid w:val="0"/>
              <w:spacing w:line="240" w:lineRule="auto"/>
              <w:ind w:left="0" w:leftChars="0" w:right="0" w:rightChars="0" w:firstLine="0" w:firstLineChars="0"/>
              <w:jc w:val="left"/>
            </w:pPr>
            <w:r>
              <w:rPr>
                <w:b/>
                <w:bCs/>
              </w:rPr>
              <w:t>XbotPark体系6家独角兽</w:t>
            </w:r>
          </w:p>
        </w:tc>
        <w:tc>
          <w:tcPr>
            <w:tcW w:w="2187" w:type="dxa"/>
            <w:tcBorders>
              <w:top w:val="nil"/>
              <w:left w:val="nil"/>
              <w:bottom w:val="nil"/>
              <w:right w:val="nil"/>
            </w:tcBorders>
            <w:vAlign w:val="center"/>
          </w:tcPr>
          <w:p w14:paraId="23DCE6D6">
            <w:pPr>
              <w:pStyle w:val="27"/>
              <w:snapToGrid w:val="0"/>
              <w:spacing w:line="240" w:lineRule="auto"/>
              <w:ind w:left="0" w:leftChars="0" w:right="0" w:rightChars="0" w:firstLine="0" w:firstLineChars="0"/>
              <w:jc w:val="left"/>
            </w:pPr>
            <w:r>
              <w:t>36氪（2025-08）</w:t>
            </w:r>
          </w:p>
        </w:tc>
        <w:tc>
          <w:tcPr>
            <w:tcW w:w="756" w:type="dxa"/>
            <w:tcBorders>
              <w:top w:val="nil"/>
              <w:left w:val="nil"/>
              <w:bottom w:val="nil"/>
              <w:right w:val="nil"/>
            </w:tcBorders>
            <w:vAlign w:val="center"/>
          </w:tcPr>
          <w:p w14:paraId="4D626B30">
            <w:pPr>
              <w:pStyle w:val="27"/>
              <w:snapToGrid w:val="0"/>
              <w:spacing w:line="240" w:lineRule="auto"/>
              <w:ind w:left="0" w:leftChars="0" w:right="0" w:rightChars="0" w:firstLine="0" w:firstLineChars="0"/>
              <w:jc w:val="center"/>
            </w:pPr>
            <w:r>
              <w:rPr>
                <w:b/>
                <w:bCs/>
              </w:rPr>
              <w:t>中</w:t>
            </w:r>
          </w:p>
        </w:tc>
        <w:tc>
          <w:tcPr>
            <w:tcW w:w="2836" w:type="dxa"/>
            <w:tcBorders>
              <w:top w:val="nil"/>
              <w:left w:val="nil"/>
              <w:bottom w:val="nil"/>
              <w:right w:val="nil"/>
            </w:tcBorders>
            <w:vAlign w:val="center"/>
          </w:tcPr>
          <w:p w14:paraId="2CDE95B5">
            <w:pPr>
              <w:pStyle w:val="27"/>
              <w:snapToGrid w:val="0"/>
              <w:spacing w:line="240" w:lineRule="auto"/>
              <w:ind w:left="0" w:leftChars="0" w:right="0" w:rightChars="0" w:firstLine="0" w:firstLineChars="0"/>
              <w:jc w:val="left"/>
            </w:pPr>
            <w:r>
              <w:t>独角兽定义（估值10亿美元+）在不同报道中不一致；部分企业估值接近但未明确跨线</w:t>
            </w:r>
          </w:p>
        </w:tc>
        <w:tc>
          <w:tcPr>
            <w:tcW w:w="2435" w:type="dxa"/>
            <w:tcBorders>
              <w:top w:val="nil"/>
              <w:left w:val="nil"/>
              <w:bottom w:val="nil"/>
              <w:right w:val="nil"/>
            </w:tcBorders>
            <w:vAlign w:val="center"/>
          </w:tcPr>
          <w:p w14:paraId="6880DC73">
            <w:pPr>
              <w:pStyle w:val="27"/>
              <w:snapToGrid w:val="0"/>
              <w:spacing w:line="240" w:lineRule="auto"/>
              <w:ind w:left="0" w:leftChars="0" w:right="0" w:rightChars="0" w:firstLine="0" w:firstLineChars="0"/>
              <w:jc w:val="left"/>
            </w:pPr>
            <w:r>
              <w:t>云鲸智能、海柔创新、卧安机器人、正浩创新、李群自动化、逸动科技等被重复提及</w:t>
            </w:r>
          </w:p>
        </w:tc>
      </w:tr>
      <w:tr w14:paraId="2323D78A">
        <w:tblPrEx>
          <w:tblCellMar>
            <w:top w:w="0" w:type="dxa"/>
            <w:left w:w="108" w:type="dxa"/>
            <w:bottom w:w="0" w:type="dxa"/>
            <w:right w:w="108" w:type="dxa"/>
          </w:tblCellMar>
        </w:tblPrEx>
        <w:trPr>
          <w:trHeight w:val="0" w:hRule="atLeast"/>
          <w:jc w:val="center"/>
        </w:trPr>
        <w:tc>
          <w:tcPr>
            <w:tcW w:w="2395" w:type="dxa"/>
            <w:tcBorders>
              <w:top w:val="nil"/>
              <w:left w:val="nil"/>
              <w:bottom w:val="nil"/>
              <w:right w:val="nil"/>
            </w:tcBorders>
            <w:vAlign w:val="center"/>
          </w:tcPr>
          <w:p w14:paraId="1A1D2946">
            <w:pPr>
              <w:pStyle w:val="27"/>
              <w:snapToGrid w:val="0"/>
              <w:spacing w:line="240" w:lineRule="auto"/>
              <w:ind w:left="0" w:leftChars="0" w:right="0" w:rightChars="0" w:firstLine="0" w:firstLineChars="0"/>
              <w:jc w:val="left"/>
            </w:pPr>
            <w:r>
              <w:rPr>
                <w:b/>
                <w:bCs/>
              </w:rPr>
              <w:t>海柔创新估值20.8亿美元</w:t>
            </w:r>
          </w:p>
        </w:tc>
        <w:tc>
          <w:tcPr>
            <w:tcW w:w="2187" w:type="dxa"/>
            <w:tcBorders>
              <w:top w:val="nil"/>
              <w:left w:val="nil"/>
              <w:bottom w:val="nil"/>
              <w:right w:val="nil"/>
            </w:tcBorders>
            <w:vAlign w:val="center"/>
          </w:tcPr>
          <w:p w14:paraId="3EBAE31D">
            <w:pPr>
              <w:pStyle w:val="27"/>
              <w:snapToGrid w:val="0"/>
              <w:spacing w:line="240" w:lineRule="auto"/>
              <w:ind w:left="0" w:leftChars="0" w:right="0" w:rightChars="0" w:firstLine="0" w:firstLineChars="0"/>
              <w:jc w:val="left"/>
            </w:pPr>
            <w:r>
              <w:t>The Information（2026-02）</w:t>
            </w:r>
          </w:p>
        </w:tc>
        <w:tc>
          <w:tcPr>
            <w:tcW w:w="756" w:type="dxa"/>
            <w:tcBorders>
              <w:top w:val="nil"/>
              <w:left w:val="nil"/>
              <w:bottom w:val="nil"/>
              <w:right w:val="nil"/>
            </w:tcBorders>
            <w:vAlign w:val="center"/>
          </w:tcPr>
          <w:p w14:paraId="56D25952">
            <w:pPr>
              <w:pStyle w:val="27"/>
              <w:snapToGrid w:val="0"/>
              <w:spacing w:line="240" w:lineRule="auto"/>
              <w:ind w:left="0" w:leftChars="0" w:right="0" w:rightChars="0" w:firstLine="0" w:firstLineChars="0"/>
              <w:jc w:val="center"/>
            </w:pPr>
            <w:r>
              <w:rPr>
                <w:b/>
                <w:bCs/>
              </w:rPr>
              <w:t>高</w:t>
            </w:r>
          </w:p>
        </w:tc>
        <w:tc>
          <w:tcPr>
            <w:tcW w:w="2836" w:type="dxa"/>
            <w:tcBorders>
              <w:top w:val="nil"/>
              <w:left w:val="nil"/>
              <w:bottom w:val="nil"/>
              <w:right w:val="nil"/>
            </w:tcBorders>
            <w:vAlign w:val="center"/>
          </w:tcPr>
          <w:p w14:paraId="2E2B4412">
            <w:pPr>
              <w:pStyle w:val="27"/>
              <w:snapToGrid w:val="0"/>
              <w:spacing w:line="240" w:lineRule="auto"/>
              <w:ind w:left="0" w:leftChars="0" w:right="0" w:rightChars="0" w:firstLine="0" w:firstLineChars="0"/>
              <w:jc w:val="left"/>
            </w:pPr>
            <w:r>
              <w:t>为拟议融资估值，非最终交易价格；市场环境变化可能影响实际估值</w:t>
            </w:r>
          </w:p>
        </w:tc>
        <w:tc>
          <w:tcPr>
            <w:tcW w:w="2435" w:type="dxa"/>
            <w:tcBorders>
              <w:top w:val="nil"/>
              <w:left w:val="nil"/>
              <w:bottom w:val="nil"/>
              <w:right w:val="nil"/>
            </w:tcBorders>
            <w:vAlign w:val="center"/>
          </w:tcPr>
          <w:p w14:paraId="47FBDEE3">
            <w:pPr>
              <w:pStyle w:val="27"/>
              <w:snapToGrid w:val="0"/>
              <w:spacing w:line="240" w:lineRule="auto"/>
              <w:ind w:left="0" w:leftChars="0" w:right="0" w:rightChars="0" w:firstLine="0" w:firstLineChars="0"/>
              <w:jc w:val="left"/>
            </w:pPr>
            <w:r>
              <w:t>2021年投后估值约15亿美元</w:t>
            </w:r>
          </w:p>
        </w:tc>
      </w:tr>
      <w:tr w14:paraId="6366C438">
        <w:tblPrEx>
          <w:tblCellMar>
            <w:top w:w="0" w:type="dxa"/>
            <w:left w:w="108" w:type="dxa"/>
            <w:bottom w:w="0" w:type="dxa"/>
            <w:right w:w="108" w:type="dxa"/>
          </w:tblCellMar>
        </w:tblPrEx>
        <w:trPr>
          <w:trHeight w:val="0" w:hRule="atLeast"/>
          <w:jc w:val="center"/>
        </w:trPr>
        <w:tc>
          <w:tcPr>
            <w:tcW w:w="2395" w:type="dxa"/>
            <w:tcBorders>
              <w:top w:val="nil"/>
              <w:left w:val="nil"/>
              <w:bottom w:val="nil"/>
              <w:right w:val="nil"/>
            </w:tcBorders>
            <w:vAlign w:val="center"/>
          </w:tcPr>
          <w:p w14:paraId="097BCA4A">
            <w:pPr>
              <w:pStyle w:val="27"/>
              <w:snapToGrid w:val="0"/>
              <w:spacing w:line="240" w:lineRule="auto"/>
              <w:ind w:left="0" w:leftChars="0" w:right="0" w:rightChars="0" w:firstLine="0" w:firstLineChars="0"/>
              <w:jc w:val="left"/>
            </w:pPr>
            <w:r>
              <w:rPr>
                <w:b/>
                <w:bCs/>
              </w:rPr>
              <w:t>满意解研究所服务缺口分析</w:t>
            </w:r>
          </w:p>
        </w:tc>
        <w:tc>
          <w:tcPr>
            <w:tcW w:w="2187" w:type="dxa"/>
            <w:tcBorders>
              <w:top w:val="nil"/>
              <w:left w:val="nil"/>
              <w:bottom w:val="nil"/>
              <w:right w:val="nil"/>
            </w:tcBorders>
            <w:vAlign w:val="center"/>
          </w:tcPr>
          <w:p w14:paraId="27AB063F">
            <w:pPr>
              <w:pStyle w:val="27"/>
              <w:snapToGrid w:val="0"/>
              <w:spacing w:line="240" w:lineRule="auto"/>
              <w:ind w:left="0" w:leftChars="0" w:right="0" w:rightChars="0" w:firstLine="0" w:firstLineChars="0"/>
              <w:jc w:val="left"/>
            </w:pPr>
            <w:r>
              <w:rPr>
                <w:b/>
                <w:bCs/>
              </w:rPr>
              <w:t>原始文档自述，无外部验证</w:t>
            </w:r>
          </w:p>
        </w:tc>
        <w:tc>
          <w:tcPr>
            <w:tcW w:w="756" w:type="dxa"/>
            <w:tcBorders>
              <w:top w:val="nil"/>
              <w:left w:val="nil"/>
              <w:bottom w:val="nil"/>
              <w:right w:val="nil"/>
            </w:tcBorders>
            <w:vAlign w:val="center"/>
          </w:tcPr>
          <w:p w14:paraId="18AA5780">
            <w:pPr>
              <w:pStyle w:val="27"/>
              <w:snapToGrid w:val="0"/>
              <w:spacing w:line="240" w:lineRule="auto"/>
              <w:ind w:left="0" w:leftChars="0" w:right="0" w:rightChars="0" w:firstLine="0" w:firstLineChars="0"/>
              <w:jc w:val="center"/>
            </w:pPr>
            <w:r>
              <w:rPr>
                <w:b/>
                <w:bCs/>
              </w:rPr>
              <w:t>低</w:t>
            </w:r>
          </w:p>
        </w:tc>
        <w:tc>
          <w:tcPr>
            <w:tcW w:w="2836" w:type="dxa"/>
            <w:tcBorders>
              <w:top w:val="nil"/>
              <w:left w:val="nil"/>
              <w:bottom w:val="nil"/>
              <w:right w:val="nil"/>
            </w:tcBorders>
            <w:vAlign w:val="center"/>
          </w:tcPr>
          <w:p w14:paraId="592C6B3F">
            <w:pPr>
              <w:pStyle w:val="27"/>
              <w:snapToGrid w:val="0"/>
              <w:spacing w:line="240" w:lineRule="auto"/>
              <w:ind w:left="0" w:leftChars="0" w:right="0" w:rightChars="0" w:firstLine="0" w:firstLineChars="0"/>
              <w:jc w:val="left"/>
            </w:pPr>
            <w:r>
              <w:t>缺乏XbotPark官方确认的服务缺口声明；可能为提案方主观建构</w:t>
            </w:r>
          </w:p>
        </w:tc>
        <w:tc>
          <w:tcPr>
            <w:tcW w:w="2435" w:type="dxa"/>
            <w:tcBorders>
              <w:top w:val="nil"/>
              <w:left w:val="nil"/>
              <w:bottom w:val="nil"/>
              <w:right w:val="nil"/>
            </w:tcBorders>
            <w:vAlign w:val="center"/>
          </w:tcPr>
          <w:p w14:paraId="00E4D835">
            <w:pPr>
              <w:pStyle w:val="27"/>
              <w:snapToGrid w:val="0"/>
              <w:spacing w:line="240" w:lineRule="auto"/>
              <w:ind w:left="0" w:leftChars="0" w:right="0" w:rightChars="0" w:firstLine="0" w:firstLineChars="0"/>
              <w:jc w:val="left"/>
            </w:pPr>
            <w:r>
              <w:rPr>
                <w:b/>
                <w:bCs/>
              </w:rPr>
              <w:t>[模拟数据警告]</w:t>
            </w:r>
            <w:r>
              <w:t>：所有关于”满意解”的服务能力、方法论、定价策略均为模拟数据</w:t>
            </w:r>
          </w:p>
        </w:tc>
      </w:tr>
      <w:tr w14:paraId="0D95F7E8">
        <w:tblPrEx>
          <w:tblCellMar>
            <w:top w:w="0" w:type="dxa"/>
            <w:left w:w="108" w:type="dxa"/>
            <w:bottom w:w="0" w:type="dxa"/>
            <w:right w:w="108" w:type="dxa"/>
          </w:tblCellMar>
        </w:tblPrEx>
        <w:trPr>
          <w:trHeight w:val="0" w:hRule="atLeast"/>
          <w:jc w:val="center"/>
        </w:trPr>
        <w:tc>
          <w:tcPr>
            <w:tcW w:w="2395" w:type="dxa"/>
            <w:tcBorders>
              <w:top w:val="nil"/>
              <w:left w:val="nil"/>
              <w:bottom w:val="single" w:color="auto" w:sz="12" w:space="0"/>
              <w:right w:val="nil"/>
            </w:tcBorders>
            <w:vAlign w:val="center"/>
          </w:tcPr>
          <w:p w14:paraId="033A28DE">
            <w:pPr>
              <w:pStyle w:val="27"/>
              <w:snapToGrid w:val="0"/>
              <w:spacing w:line="240" w:lineRule="auto"/>
              <w:ind w:left="0" w:leftChars="0" w:right="0" w:rightChars="0" w:firstLine="0" w:firstLineChars="0"/>
              <w:jc w:val="left"/>
            </w:pPr>
            <w:r>
              <w:rPr>
                <w:b/>
                <w:bCs/>
              </w:rPr>
              <w:t>2024年销售额1.39亿→2025年7.84亿</w:t>
            </w:r>
          </w:p>
        </w:tc>
        <w:tc>
          <w:tcPr>
            <w:tcW w:w="2187" w:type="dxa"/>
            <w:tcBorders>
              <w:top w:val="nil"/>
              <w:left w:val="nil"/>
              <w:bottom w:val="single" w:color="auto" w:sz="12" w:space="0"/>
              <w:right w:val="nil"/>
            </w:tcBorders>
            <w:vAlign w:val="center"/>
          </w:tcPr>
          <w:p w14:paraId="01ADAE05">
            <w:pPr>
              <w:pStyle w:val="27"/>
              <w:snapToGrid w:val="0"/>
              <w:spacing w:line="240" w:lineRule="auto"/>
              <w:ind w:left="0" w:leftChars="0" w:right="0" w:rightChars="0" w:firstLine="0" w:firstLineChars="0"/>
              <w:jc w:val="left"/>
            </w:pPr>
            <w:r>
              <w:t>腾讯新闻（2026-02）引述李泽湘发言</w:t>
            </w:r>
          </w:p>
        </w:tc>
        <w:tc>
          <w:tcPr>
            <w:tcW w:w="756" w:type="dxa"/>
            <w:tcBorders>
              <w:top w:val="nil"/>
              <w:left w:val="nil"/>
              <w:bottom w:val="single" w:color="auto" w:sz="12" w:space="0"/>
              <w:right w:val="nil"/>
            </w:tcBorders>
            <w:vAlign w:val="center"/>
          </w:tcPr>
          <w:p w14:paraId="685A2E89">
            <w:pPr>
              <w:pStyle w:val="27"/>
              <w:snapToGrid w:val="0"/>
              <w:spacing w:line="240" w:lineRule="auto"/>
              <w:ind w:left="0" w:leftChars="0" w:right="0" w:rightChars="0" w:firstLine="0" w:firstLineChars="0"/>
              <w:jc w:val="center"/>
            </w:pPr>
            <w:r>
              <w:rPr>
                <w:b/>
                <w:bCs/>
              </w:rPr>
              <w:t>中</w:t>
            </w:r>
          </w:p>
        </w:tc>
        <w:tc>
          <w:tcPr>
            <w:tcW w:w="2836" w:type="dxa"/>
            <w:tcBorders>
              <w:top w:val="nil"/>
              <w:left w:val="nil"/>
              <w:bottom w:val="single" w:color="auto" w:sz="12" w:space="0"/>
              <w:right w:val="nil"/>
            </w:tcBorders>
            <w:vAlign w:val="center"/>
          </w:tcPr>
          <w:p w14:paraId="41112D06">
            <w:pPr>
              <w:pStyle w:val="27"/>
              <w:snapToGrid w:val="0"/>
              <w:spacing w:line="240" w:lineRule="auto"/>
              <w:ind w:left="0" w:leftChars="0" w:right="0" w:rightChars="0" w:firstLine="0" w:firstLineChars="0"/>
              <w:jc w:val="left"/>
            </w:pPr>
            <w:r>
              <w:t>统计范围限定为”2021年后孵化的114家初创公司”，非全部270家；增长率计算基数效应显著</w:t>
            </w:r>
          </w:p>
        </w:tc>
        <w:tc>
          <w:tcPr>
            <w:tcW w:w="2435" w:type="dxa"/>
            <w:tcBorders>
              <w:top w:val="nil"/>
              <w:left w:val="nil"/>
              <w:bottom w:val="single" w:color="auto" w:sz="12" w:space="0"/>
              <w:right w:val="nil"/>
            </w:tcBorders>
            <w:vAlign w:val="center"/>
          </w:tcPr>
          <w:p w14:paraId="48EBBD5E">
            <w:pPr>
              <w:pStyle w:val="27"/>
              <w:snapToGrid w:val="0"/>
              <w:spacing w:line="240" w:lineRule="auto"/>
              <w:ind w:left="0" w:leftChars="0" w:right="0" w:rightChars="0" w:firstLine="0" w:firstLineChars="0"/>
              <w:jc w:val="left"/>
            </w:pPr>
            <w:r>
              <w:t>增长5.6倍得到交叉验证</w:t>
            </w:r>
          </w:p>
        </w:tc>
      </w:tr>
    </w:tbl>
    <w:p w14:paraId="35391E76">
      <w:r>
        <w:pict>
          <v:rect id="_x0000_i1027" o:spt="1" style="height:1.5pt;width:0pt;" coordsize="21600,21600" o:hr="t" o:hrstd="t" o:hralign="center">
            <v:path/>
            <v:fill focussize="0,0"/>
            <v:stroke/>
            <v:imagedata o:title=""/>
            <o:lock v:ext="edit"/>
            <w10:wrap type="none"/>
            <w10:anchorlock/>
          </v:rect>
        </w:pict>
      </w:r>
    </w:p>
    <w:bookmarkEnd w:id="2"/>
    <w:p w14:paraId="1D576A9F">
      <w:pPr>
        <w:pStyle w:val="4"/>
      </w:pPr>
      <w:bookmarkStart w:id="3" w:name="第一部分研究基础与方法论"/>
      <w:r>
        <w:t>第一部分：研究基础与方法论</w:t>
      </w:r>
    </w:p>
    <w:p w14:paraId="7F79BB09">
      <w:pPr>
        <w:pStyle w:val="5"/>
      </w:pPr>
      <w:bookmarkStart w:id="4" w:name="研究背景background"/>
      <w:r>
        <w:t>1.1 研究背景（Background）</w:t>
      </w:r>
    </w:p>
    <w:p w14:paraId="5EE80276">
      <w:pPr>
        <w:pStyle w:val="26"/>
      </w:pPr>
      <w:r>
        <w:t>中国硬科技创业孵化领域存在一种独特的”导师-学生”孵化模式，以香港科技大学教授李泽湘构建的XbotPark体系为代表。该体系自2014年在东莞松山湖建立首个基地以来，已发展为一个集”基地+基金+学院”三位一体的硬科技创业生态系统。然而，随着孵化企业从”0→1”的技术验证阶段向”10→100”的商业规模化阶段过渡，</w:t>
      </w:r>
      <w:r>
        <w:rPr>
          <w:b/>
          <w:bCs/>
        </w:rPr>
        <w:t>结构性服务缺口</w:t>
      </w:r>
      <w:r>
        <w:t>逐渐显现——特别是在合伙人治理、战略决策、组织发展等”软能力”领域[^需人工验证：获取XbotPark企业调研原始数据]。</w:t>
      </w:r>
    </w:p>
    <w:p w14:paraId="2A5A86DA">
      <w:pPr>
        <w:pStyle w:val="3"/>
      </w:pPr>
      <w:r>
        <w:t>本研究旨在通过系统性的证据收集与批判性分析，评估”满意解研究所”（本研究提案方）与XbotPark体系建立战略协同的可行性、价值定位与实施路径。研究核心问题包括：(1) XbotPark体系在硬科技孵化后期的真实服务缺口是什么？(2) 满意解研究所的决策方法论能否有效填补这些缺口？(3) 双方协同的边界、机制与风险如何设计？</w:t>
      </w:r>
    </w:p>
    <w:bookmarkEnd w:id="4"/>
    <w:p w14:paraId="5DF74032">
      <w:pPr>
        <w:pStyle w:val="5"/>
      </w:pPr>
      <w:bookmarkStart w:id="5" w:name="研究方法论methods"/>
      <w:r>
        <w:t>1.2 研究方法论（Methods）</w:t>
      </w:r>
    </w:p>
    <w:p w14:paraId="2AEB3872">
      <w:pPr>
        <w:pStyle w:val="26"/>
      </w:pPr>
      <w:r>
        <w:t>本研究采用</w:t>
      </w:r>
      <w:r>
        <w:rPr>
          <w:b/>
          <w:bCs/>
        </w:rPr>
        <w:t>混合研究方法（Mixed Methods）</w:t>
      </w:r>
      <w:r>
        <w:t xml:space="preserve">，结合： 1. </w:t>
      </w:r>
      <w:r>
        <w:rPr>
          <w:b/>
          <w:bCs/>
        </w:rPr>
        <w:t>文献计量分析</w:t>
      </w:r>
      <w:r>
        <w:t xml:space="preserve">：检索2014-2026年间关于XbotPark、李泽湘孵化模式的中文媒体报道、企业招股书、政府公开报告； 2. </w:t>
      </w:r>
      <w:r>
        <w:rPr>
          <w:b/>
          <w:bCs/>
        </w:rPr>
        <w:t>案例研究法</w:t>
      </w:r>
      <w:r>
        <w:t xml:space="preserve">：选取云鲸智能、希迪智驾、卧安机器人等6家上市/准上市企业进行决策路径分析； 3. </w:t>
      </w:r>
      <w:r>
        <w:rPr>
          <w:b/>
          <w:bCs/>
        </w:rPr>
        <w:t>批判性话语分析</w:t>
      </w:r>
      <w:r>
        <w:t>：对原始研究文档（1.0版）进行”红队/蓝队”对抗性审查，识别论证漏洞与认知偏差。</w:t>
      </w:r>
    </w:p>
    <w:p w14:paraId="362690CC">
      <w:pPr>
        <w:pStyle w:val="3"/>
      </w:pPr>
      <w:r>
        <w:rPr>
          <w:b/>
          <w:bCs/>
        </w:rPr>
        <w:t>数据来源分级</w:t>
      </w:r>
      <w:r>
        <w:t xml:space="preserve">： - </w:t>
      </w:r>
      <w:r>
        <w:rPr>
          <w:b/>
          <w:bCs/>
        </w:rPr>
        <w:t>Tier 1（高可信度）</w:t>
      </w:r>
      <w:r>
        <w:t xml:space="preserve">：政府官方报告（广东省高质量发展大会）、企业招股说明书、上市公司公告、权威财经媒体（36氪、财新、证券时报）； - </w:t>
      </w:r>
      <w:r>
        <w:rPr>
          <w:b/>
          <w:bCs/>
        </w:rPr>
        <w:t>Tier 2（中可信度）</w:t>
      </w:r>
      <w:r>
        <w:t xml:space="preserve">：行业垂直媒体、企业官方公众号、导师公开发言； - </w:t>
      </w:r>
      <w:r>
        <w:rPr>
          <w:b/>
          <w:bCs/>
        </w:rPr>
        <w:t>Tier 3（低可信度/模拟数据）</w:t>
      </w:r>
      <w:r>
        <w:t>：研究提案方自述数据、未经验证的内部统计、预测性数据。</w:t>
      </w:r>
    </w:p>
    <w:p w14:paraId="557A4980">
      <w:pPr>
        <w:pStyle w:val="3"/>
      </w:pPr>
      <w:r>
        <w:rPr>
          <w:b/>
          <w:bCs/>
        </w:rPr>
        <w:t>研究者立场声明（Positionality Statement）</w:t>
      </w:r>
      <w:r>
        <w:t>：本研究由满意解研究所发起，存在固有的利益相关性。研究者在分析过程中可能倾向于放大XbotPark体系的”服务缺口”以证明协同价值。为减少偏差，本研究采用(1)对抗性审查机制；(2)明确标注未验证数据；(3)引入第三方批评视角。</w:t>
      </w:r>
    </w:p>
    <w:p w14:paraId="32918200">
      <w:r>
        <w:pict>
          <v:rect id="_x0000_i1028" o:spt="1" style="height:1.5pt;width:0pt;" coordsize="21600,21600" o:hr="t" o:hrstd="t" o:hralign="center">
            <v:path/>
            <v:fill focussize="0,0"/>
            <v:stroke/>
            <v:imagedata o:title=""/>
            <o:lock v:ext="edit"/>
            <w10:wrap type="none"/>
            <w10:anchorlock/>
          </v:rect>
        </w:pict>
      </w:r>
    </w:p>
    <w:bookmarkEnd w:id="3"/>
    <w:bookmarkEnd w:id="5"/>
    <w:p w14:paraId="4BDE0F98">
      <w:pPr>
        <w:pStyle w:val="4"/>
      </w:pPr>
      <w:bookmarkStart w:id="6" w:name="第二部分xbotpark体系深度解析基于验证数据的重构"/>
      <w:r>
        <w:t>第二部分：XbotPark体系深度解析（基于验证数据的重构）</w:t>
      </w:r>
    </w:p>
    <w:p w14:paraId="1E8603C9">
      <w:pPr>
        <w:pStyle w:val="5"/>
      </w:pPr>
      <w:bookmarkStart w:id="7" w:name="体系架构的演进与验证"/>
      <w:r>
        <w:t>2.1 体系架构的演进与验证</w:t>
      </w:r>
    </w:p>
    <w:p w14:paraId="159943F2">
      <w:pPr>
        <w:pStyle w:val="6"/>
      </w:pPr>
      <w:bookmarkStart w:id="8" w:name="基地基金学院三位一体模式"/>
      <w:r>
        <w:t>2.1.1 “基地+基金+学院”三位一体模式</w:t>
      </w:r>
    </w:p>
    <w:p w14:paraId="5FEBBEE5">
      <w:pPr>
        <w:pStyle w:val="26"/>
      </w:pPr>
      <w:r>
        <w:t>李泽湘体系的核心架构经历了从单一实验室到网络化生态的演进。1992年始于香港科技大学3126实验室，孵化出固高科技、大疆等50余家企业；2004年推动哈工大深圳教改班，走出40余家企业；2014年在东莞松山湖建立XbotPark机器人基地，标志着体系化复制的开端。</w:t>
      </w:r>
    </w:p>
    <w:p w14:paraId="550C08D6">
      <w:pPr>
        <w:pStyle w:val="3"/>
      </w:pPr>
      <w:r>
        <w:rPr>
          <w:b/>
          <w:bCs/>
        </w:rPr>
        <w:t>验证数据</w:t>
      </w:r>
      <w:r>
        <w:t xml:space="preserve">： - </w:t>
      </w:r>
      <w:r>
        <w:rPr>
          <w:b/>
          <w:bCs/>
        </w:rPr>
        <w:t>基金规模</w:t>
      </w:r>
      <w:r>
        <w:t xml:space="preserve">：东莞清水湾二期创业投资合伙企业（有限合伙）于2022年成立，注册资本5.36亿元人民币，LP包括腾讯产业投资基金、红杉资本、深创投、东莞市产业投资母基金有限公司等顶级机构。 - </w:t>
      </w:r>
      <w:r>
        <w:rPr>
          <w:b/>
          <w:bCs/>
        </w:rPr>
        <w:t>地域扩展</w:t>
      </w:r>
      <w:r>
        <w:t>：截至2026年，XbotPark已在松山湖、深圳、宁波、常州、重庆、香港、长沙、北京等8个城市落地，形成”1校+1地+1平台+1园区”的标准化复制策略。</w:t>
      </w:r>
    </w:p>
    <w:p w14:paraId="19C24285">
      <w:pPr>
        <w:pStyle w:val="3"/>
      </w:pPr>
      <w:r>
        <w:rPr>
          <w:b/>
          <w:bCs/>
        </w:rPr>
        <w:t>模拟数据警告</w:t>
      </w:r>
      <w:r>
        <w:t>：原始文档提及的”科创学院首届50名学生中60%将走上创业道路”这一数据</w:t>
      </w:r>
      <w:r>
        <w:rPr>
          <w:b/>
          <w:bCs/>
        </w:rPr>
        <w:t>未找到确切来源</w:t>
      </w:r>
      <w:r>
        <w:t>。相近的验证信息为”预计有一半学生将走上创业之路”（即50%）。在后续分析中，我们将60%视为</w:t>
      </w:r>
      <w:r>
        <w:rPr>
          <w:b/>
          <w:bCs/>
        </w:rPr>
        <w:t>探索性模拟数据（Exploratory Simulation Data）</w:t>
      </w:r>
      <w:r>
        <w:t>，用于方法论演示，但不作为决策依据。</w:t>
      </w:r>
    </w:p>
    <w:bookmarkEnd w:id="8"/>
    <w:p w14:paraId="3A5DC2A9">
      <w:pPr>
        <w:pStyle w:val="6"/>
      </w:pPr>
      <w:bookmarkStart w:id="9" w:name="孵化成果的量化验证与矛盾"/>
      <w:r>
        <w:t>2.1.2 孵化成果的量化验证与矛盾</w:t>
      </w:r>
    </w:p>
    <w:p w14:paraId="6AF2551F">
      <w:pPr>
        <w:pStyle w:val="26"/>
      </w:pPr>
      <w:r>
        <w:t>关于XbotPark孵化成果的公开数据存在</w:t>
      </w:r>
      <w:r>
        <w:rPr>
          <w:b/>
          <w:bCs/>
        </w:rPr>
        <w:t>显著的统计不一致性</w:t>
      </w:r>
      <w:r>
        <w:t>，这反映了快速扩张期组织常见的数据管理挑战：</w:t>
      </w:r>
    </w:p>
    <w:tbl>
      <w:tblPr>
        <w:tblStyle w:val="44"/>
        <w:tblW w:w="8137" w:type="dxa"/>
        <w:jc w:val="center"/>
        <w:tblLayout w:type="autofit"/>
        <w:tblCellMar>
          <w:top w:w="0" w:type="dxa"/>
          <w:left w:w="108" w:type="dxa"/>
          <w:bottom w:w="0" w:type="dxa"/>
          <w:right w:w="108" w:type="dxa"/>
        </w:tblCellMar>
      </w:tblPr>
      <w:tblGrid>
        <w:gridCol w:w="1299"/>
        <w:gridCol w:w="1474"/>
        <w:gridCol w:w="1299"/>
        <w:gridCol w:w="1809"/>
        <w:gridCol w:w="2256"/>
      </w:tblGrid>
      <w:tr w14:paraId="345A1544">
        <w:tblPrEx>
          <w:tblCellMar>
            <w:top w:w="0" w:type="dxa"/>
            <w:left w:w="108" w:type="dxa"/>
            <w:bottom w:w="0" w:type="dxa"/>
            <w:right w:w="108" w:type="dxa"/>
          </w:tblCellMar>
        </w:tblPrEx>
        <w:trPr>
          <w:trHeight w:val="0" w:hRule="atLeast"/>
          <w:tblHeader/>
          <w:jc w:val="center"/>
        </w:trPr>
        <w:tc>
          <w:tcPr>
            <w:tcW w:w="1299" w:type="dxa"/>
            <w:tcBorders>
              <w:top w:val="single" w:color="auto" w:sz="12" w:space="0"/>
              <w:left w:val="nil"/>
              <w:bottom w:val="single" w:color="auto" w:sz="4" w:space="0"/>
              <w:right w:val="nil"/>
            </w:tcBorders>
            <w:vAlign w:val="center"/>
          </w:tcPr>
          <w:p w14:paraId="1D0C856C">
            <w:pPr>
              <w:pStyle w:val="27"/>
              <w:snapToGrid w:val="0"/>
              <w:spacing w:line="240" w:lineRule="auto"/>
              <w:ind w:left="0" w:leftChars="0" w:right="0" w:rightChars="0" w:firstLine="0" w:firstLineChars="0"/>
              <w:jc w:val="center"/>
              <w:rPr>
                <w:b/>
              </w:rPr>
            </w:pPr>
            <w:r>
              <w:rPr>
                <w:b/>
              </w:rPr>
              <w:t>统计口径</w:t>
            </w:r>
          </w:p>
        </w:tc>
        <w:tc>
          <w:tcPr>
            <w:tcW w:w="1474" w:type="dxa"/>
            <w:tcBorders>
              <w:top w:val="single" w:color="auto" w:sz="12" w:space="0"/>
              <w:left w:val="nil"/>
              <w:bottom w:val="single" w:color="auto" w:sz="4" w:space="0"/>
              <w:right w:val="nil"/>
            </w:tcBorders>
            <w:vAlign w:val="center"/>
          </w:tcPr>
          <w:p w14:paraId="7B6930BA">
            <w:pPr>
              <w:pStyle w:val="27"/>
              <w:snapToGrid w:val="0"/>
              <w:spacing w:line="240" w:lineRule="auto"/>
              <w:ind w:left="0" w:leftChars="0" w:right="0" w:rightChars="0" w:firstLine="0" w:firstLineChars="0"/>
              <w:jc w:val="center"/>
              <w:rPr>
                <w:b/>
              </w:rPr>
            </w:pPr>
            <w:r>
              <w:rPr>
                <w:b/>
              </w:rPr>
              <w:t>时间范围</w:t>
            </w:r>
          </w:p>
        </w:tc>
        <w:tc>
          <w:tcPr>
            <w:tcW w:w="1299" w:type="dxa"/>
            <w:tcBorders>
              <w:top w:val="single" w:color="auto" w:sz="12" w:space="0"/>
              <w:left w:val="nil"/>
              <w:bottom w:val="single" w:color="auto" w:sz="4" w:space="0"/>
              <w:right w:val="nil"/>
            </w:tcBorders>
            <w:vAlign w:val="center"/>
          </w:tcPr>
          <w:p w14:paraId="4FFFB350">
            <w:pPr>
              <w:pStyle w:val="27"/>
              <w:snapToGrid w:val="0"/>
              <w:spacing w:line="240" w:lineRule="auto"/>
              <w:ind w:left="0" w:leftChars="0" w:right="0" w:rightChars="0" w:firstLine="0" w:firstLineChars="0"/>
              <w:jc w:val="center"/>
              <w:rPr>
                <w:b/>
              </w:rPr>
            </w:pPr>
            <w:r>
              <w:rPr>
                <w:b/>
              </w:rPr>
              <w:t>企业数量</w:t>
            </w:r>
          </w:p>
        </w:tc>
        <w:tc>
          <w:tcPr>
            <w:tcW w:w="1809" w:type="dxa"/>
            <w:tcBorders>
              <w:top w:val="single" w:color="auto" w:sz="12" w:space="0"/>
              <w:left w:val="nil"/>
              <w:bottom w:val="single" w:color="auto" w:sz="4" w:space="0"/>
              <w:right w:val="nil"/>
            </w:tcBorders>
            <w:vAlign w:val="center"/>
          </w:tcPr>
          <w:p w14:paraId="1C15FC65">
            <w:pPr>
              <w:pStyle w:val="27"/>
              <w:snapToGrid w:val="0"/>
              <w:spacing w:line="240" w:lineRule="auto"/>
              <w:ind w:left="0" w:leftChars="0" w:right="0" w:rightChars="0" w:firstLine="0" w:firstLineChars="0"/>
              <w:jc w:val="center"/>
              <w:rPr>
                <w:b/>
              </w:rPr>
            </w:pPr>
            <w:r>
              <w:rPr>
                <w:b/>
              </w:rPr>
              <w:t>总估值</w:t>
            </w:r>
          </w:p>
        </w:tc>
        <w:tc>
          <w:tcPr>
            <w:tcW w:w="2256" w:type="dxa"/>
            <w:tcBorders>
              <w:top w:val="single" w:color="auto" w:sz="12" w:space="0"/>
              <w:left w:val="nil"/>
              <w:bottom w:val="single" w:color="auto" w:sz="4" w:space="0"/>
              <w:right w:val="nil"/>
            </w:tcBorders>
            <w:vAlign w:val="center"/>
          </w:tcPr>
          <w:p w14:paraId="23FDBBB2">
            <w:pPr>
              <w:pStyle w:val="27"/>
              <w:snapToGrid w:val="0"/>
              <w:spacing w:line="240" w:lineRule="auto"/>
              <w:ind w:left="0" w:leftChars="0" w:right="0" w:rightChars="0" w:firstLine="0" w:firstLineChars="0"/>
              <w:jc w:val="center"/>
              <w:rPr>
                <w:b/>
              </w:rPr>
            </w:pPr>
            <w:r>
              <w:rPr>
                <w:b/>
              </w:rPr>
              <w:t>来源</w:t>
            </w:r>
          </w:p>
        </w:tc>
      </w:tr>
      <w:tr w14:paraId="3978271D">
        <w:tblPrEx>
          <w:tblCellMar>
            <w:top w:w="0" w:type="dxa"/>
            <w:left w:w="108" w:type="dxa"/>
            <w:bottom w:w="0" w:type="dxa"/>
            <w:right w:w="108" w:type="dxa"/>
          </w:tblCellMar>
        </w:tblPrEx>
        <w:trPr>
          <w:trHeight w:val="0" w:hRule="atLeast"/>
          <w:jc w:val="center"/>
        </w:trPr>
        <w:tc>
          <w:tcPr>
            <w:tcW w:w="1299" w:type="dxa"/>
            <w:tcBorders>
              <w:top w:val="single" w:color="auto" w:sz="4" w:space="0"/>
              <w:left w:val="nil"/>
              <w:bottom w:val="nil"/>
              <w:right w:val="nil"/>
            </w:tcBorders>
            <w:vAlign w:val="center"/>
          </w:tcPr>
          <w:p w14:paraId="605ACAFA">
            <w:pPr>
              <w:pStyle w:val="27"/>
              <w:snapToGrid w:val="0"/>
              <w:spacing w:line="240" w:lineRule="auto"/>
              <w:ind w:left="0" w:leftChars="0" w:right="0" w:rightChars="0" w:firstLine="0" w:firstLineChars="0"/>
              <w:jc w:val="center"/>
            </w:pPr>
            <w:r>
              <w:t>早期数据</w:t>
            </w:r>
          </w:p>
        </w:tc>
        <w:tc>
          <w:tcPr>
            <w:tcW w:w="1474" w:type="dxa"/>
            <w:tcBorders>
              <w:top w:val="single" w:color="auto" w:sz="4" w:space="0"/>
              <w:left w:val="nil"/>
              <w:bottom w:val="nil"/>
              <w:right w:val="nil"/>
            </w:tcBorders>
            <w:vAlign w:val="center"/>
          </w:tcPr>
          <w:p w14:paraId="60E9636B">
            <w:pPr>
              <w:pStyle w:val="27"/>
              <w:snapToGrid w:val="0"/>
              <w:spacing w:line="240" w:lineRule="auto"/>
              <w:ind w:left="0" w:leftChars="0" w:right="0" w:rightChars="0" w:firstLine="0" w:firstLineChars="0"/>
              <w:jc w:val="center"/>
            </w:pPr>
            <w:r>
              <w:t>2014-2020</w:t>
            </w:r>
          </w:p>
        </w:tc>
        <w:tc>
          <w:tcPr>
            <w:tcW w:w="1299" w:type="dxa"/>
            <w:tcBorders>
              <w:top w:val="single" w:color="auto" w:sz="4" w:space="0"/>
              <w:left w:val="nil"/>
              <w:bottom w:val="nil"/>
              <w:right w:val="nil"/>
            </w:tcBorders>
            <w:vAlign w:val="center"/>
          </w:tcPr>
          <w:p w14:paraId="17D511EA">
            <w:pPr>
              <w:pStyle w:val="27"/>
              <w:snapToGrid w:val="0"/>
              <w:spacing w:line="240" w:lineRule="auto"/>
              <w:ind w:left="0" w:leftChars="0" w:right="0" w:rightChars="0" w:firstLine="0" w:firstLineChars="0"/>
              <w:jc w:val="center"/>
            </w:pPr>
            <w:r>
              <w:t>60余家</w:t>
            </w:r>
          </w:p>
        </w:tc>
        <w:tc>
          <w:tcPr>
            <w:tcW w:w="1809" w:type="dxa"/>
            <w:tcBorders>
              <w:top w:val="single" w:color="auto" w:sz="4" w:space="0"/>
              <w:left w:val="nil"/>
              <w:bottom w:val="nil"/>
              <w:right w:val="nil"/>
            </w:tcBorders>
            <w:vAlign w:val="center"/>
          </w:tcPr>
          <w:p w14:paraId="5F0CDE2E">
            <w:pPr>
              <w:pStyle w:val="27"/>
              <w:snapToGrid w:val="0"/>
              <w:spacing w:line="240" w:lineRule="auto"/>
              <w:ind w:left="0" w:leftChars="0" w:right="0" w:rightChars="0" w:firstLine="0" w:firstLineChars="0"/>
              <w:jc w:val="right"/>
            </w:pPr>
            <w:r>
              <w:t>未披露</w:t>
            </w:r>
          </w:p>
        </w:tc>
        <w:tc>
          <w:tcPr>
            <w:tcW w:w="2256" w:type="dxa"/>
            <w:tcBorders>
              <w:top w:val="single" w:color="auto" w:sz="4" w:space="0"/>
              <w:left w:val="nil"/>
              <w:bottom w:val="nil"/>
              <w:right w:val="nil"/>
            </w:tcBorders>
            <w:vAlign w:val="center"/>
          </w:tcPr>
          <w:p w14:paraId="0089321B">
            <w:pPr>
              <w:pStyle w:val="27"/>
              <w:snapToGrid w:val="0"/>
              <w:spacing w:line="240" w:lineRule="auto"/>
              <w:ind w:left="0" w:leftChars="0" w:right="0" w:rightChars="0" w:firstLine="0" w:firstLineChars="0"/>
              <w:jc w:val="center"/>
            </w:pPr>
            <w:r>
              <w:t>36氪（2021-10）</w:t>
            </w:r>
          </w:p>
        </w:tc>
      </w:tr>
      <w:tr w14:paraId="07F512EF">
        <w:tblPrEx>
          <w:tblCellMar>
            <w:top w:w="0" w:type="dxa"/>
            <w:left w:w="108" w:type="dxa"/>
            <w:bottom w:w="0" w:type="dxa"/>
            <w:right w:w="108" w:type="dxa"/>
          </w:tblCellMar>
        </w:tblPrEx>
        <w:trPr>
          <w:trHeight w:val="0" w:hRule="atLeast"/>
          <w:jc w:val="center"/>
        </w:trPr>
        <w:tc>
          <w:tcPr>
            <w:tcW w:w="1299" w:type="dxa"/>
            <w:tcBorders>
              <w:top w:val="nil"/>
              <w:left w:val="nil"/>
              <w:bottom w:val="nil"/>
              <w:right w:val="nil"/>
            </w:tcBorders>
            <w:vAlign w:val="center"/>
          </w:tcPr>
          <w:p w14:paraId="2392A09F">
            <w:pPr>
              <w:pStyle w:val="27"/>
              <w:snapToGrid w:val="0"/>
              <w:spacing w:line="240" w:lineRule="auto"/>
              <w:ind w:left="0" w:leftChars="0" w:right="0" w:rightChars="0" w:firstLine="0" w:firstLineChars="0"/>
              <w:jc w:val="center"/>
            </w:pPr>
            <w:r>
              <w:t>中期数据</w:t>
            </w:r>
          </w:p>
        </w:tc>
        <w:tc>
          <w:tcPr>
            <w:tcW w:w="1474" w:type="dxa"/>
            <w:tcBorders>
              <w:top w:val="nil"/>
              <w:left w:val="nil"/>
              <w:bottom w:val="nil"/>
              <w:right w:val="nil"/>
            </w:tcBorders>
            <w:vAlign w:val="center"/>
          </w:tcPr>
          <w:p w14:paraId="080DB89C">
            <w:pPr>
              <w:pStyle w:val="27"/>
              <w:snapToGrid w:val="0"/>
              <w:spacing w:line="240" w:lineRule="auto"/>
              <w:ind w:left="0" w:leftChars="0" w:right="0" w:rightChars="0" w:firstLine="0" w:firstLineChars="0"/>
              <w:jc w:val="center"/>
            </w:pPr>
            <w:r>
              <w:t>截至2025-08</w:t>
            </w:r>
          </w:p>
        </w:tc>
        <w:tc>
          <w:tcPr>
            <w:tcW w:w="1299" w:type="dxa"/>
            <w:tcBorders>
              <w:top w:val="nil"/>
              <w:left w:val="nil"/>
              <w:bottom w:val="nil"/>
              <w:right w:val="nil"/>
            </w:tcBorders>
            <w:vAlign w:val="center"/>
          </w:tcPr>
          <w:p w14:paraId="214BC398">
            <w:pPr>
              <w:pStyle w:val="27"/>
              <w:snapToGrid w:val="0"/>
              <w:spacing w:line="240" w:lineRule="auto"/>
              <w:ind w:left="0" w:leftChars="0" w:right="0" w:rightChars="0" w:firstLine="0" w:firstLineChars="0"/>
              <w:jc w:val="center"/>
            </w:pPr>
            <w:r>
              <w:t>140多家</w:t>
            </w:r>
          </w:p>
        </w:tc>
        <w:tc>
          <w:tcPr>
            <w:tcW w:w="1809" w:type="dxa"/>
            <w:tcBorders>
              <w:top w:val="nil"/>
              <w:left w:val="nil"/>
              <w:bottom w:val="nil"/>
              <w:right w:val="nil"/>
            </w:tcBorders>
            <w:vAlign w:val="center"/>
          </w:tcPr>
          <w:p w14:paraId="472ADB65">
            <w:pPr>
              <w:pStyle w:val="27"/>
              <w:snapToGrid w:val="0"/>
              <w:spacing w:line="240" w:lineRule="auto"/>
              <w:ind w:left="0" w:leftChars="0" w:right="0" w:rightChars="0" w:firstLine="0" w:firstLineChars="0"/>
              <w:jc w:val="right"/>
            </w:pPr>
            <w:r>
              <w:t>超100亿美元</w:t>
            </w:r>
          </w:p>
        </w:tc>
        <w:tc>
          <w:tcPr>
            <w:tcW w:w="2256" w:type="dxa"/>
            <w:tcBorders>
              <w:top w:val="nil"/>
              <w:left w:val="nil"/>
              <w:bottom w:val="nil"/>
              <w:right w:val="nil"/>
            </w:tcBorders>
            <w:vAlign w:val="center"/>
          </w:tcPr>
          <w:p w14:paraId="045A7066">
            <w:pPr>
              <w:pStyle w:val="27"/>
              <w:snapToGrid w:val="0"/>
              <w:spacing w:line="240" w:lineRule="auto"/>
              <w:ind w:left="0" w:leftChars="0" w:right="0" w:rightChars="0" w:firstLine="0" w:firstLineChars="0"/>
              <w:jc w:val="center"/>
            </w:pPr>
            <w:r>
              <w:t>36氪（2025-08）</w:t>
            </w:r>
          </w:p>
        </w:tc>
      </w:tr>
      <w:tr w14:paraId="36C4BB58">
        <w:tblPrEx>
          <w:tblCellMar>
            <w:top w:w="0" w:type="dxa"/>
            <w:left w:w="108" w:type="dxa"/>
            <w:bottom w:w="0" w:type="dxa"/>
            <w:right w:w="108" w:type="dxa"/>
          </w:tblCellMar>
        </w:tblPrEx>
        <w:trPr>
          <w:trHeight w:val="0" w:hRule="atLeast"/>
          <w:jc w:val="center"/>
        </w:trPr>
        <w:tc>
          <w:tcPr>
            <w:tcW w:w="1299" w:type="dxa"/>
            <w:tcBorders>
              <w:top w:val="nil"/>
              <w:left w:val="nil"/>
              <w:bottom w:val="single" w:color="auto" w:sz="12" w:space="0"/>
              <w:right w:val="nil"/>
            </w:tcBorders>
            <w:vAlign w:val="center"/>
          </w:tcPr>
          <w:p w14:paraId="13916B66">
            <w:pPr>
              <w:pStyle w:val="27"/>
              <w:snapToGrid w:val="0"/>
              <w:spacing w:line="240" w:lineRule="auto"/>
              <w:ind w:left="0" w:leftChars="0" w:right="0" w:rightChars="0" w:firstLine="0" w:firstLineChars="0"/>
              <w:jc w:val="center"/>
            </w:pPr>
            <w:r>
              <w:t>最新数据</w:t>
            </w:r>
          </w:p>
        </w:tc>
        <w:tc>
          <w:tcPr>
            <w:tcW w:w="1474" w:type="dxa"/>
            <w:tcBorders>
              <w:top w:val="nil"/>
              <w:left w:val="nil"/>
              <w:bottom w:val="single" w:color="auto" w:sz="12" w:space="0"/>
              <w:right w:val="nil"/>
            </w:tcBorders>
            <w:vAlign w:val="center"/>
          </w:tcPr>
          <w:p w14:paraId="727017D2">
            <w:pPr>
              <w:pStyle w:val="27"/>
              <w:snapToGrid w:val="0"/>
              <w:spacing w:line="240" w:lineRule="auto"/>
              <w:ind w:left="0" w:leftChars="0" w:right="0" w:rightChars="0" w:firstLine="0" w:firstLineChars="0"/>
              <w:jc w:val="center"/>
            </w:pPr>
            <w:r>
              <w:t>截至2026-02</w:t>
            </w:r>
          </w:p>
        </w:tc>
        <w:tc>
          <w:tcPr>
            <w:tcW w:w="1299" w:type="dxa"/>
            <w:tcBorders>
              <w:top w:val="nil"/>
              <w:left w:val="nil"/>
              <w:bottom w:val="single" w:color="auto" w:sz="12" w:space="0"/>
              <w:right w:val="nil"/>
            </w:tcBorders>
            <w:vAlign w:val="center"/>
          </w:tcPr>
          <w:p w14:paraId="52672031">
            <w:pPr>
              <w:pStyle w:val="27"/>
              <w:snapToGrid w:val="0"/>
              <w:spacing w:line="240" w:lineRule="auto"/>
              <w:ind w:left="0" w:leftChars="0" w:right="0" w:rightChars="0" w:firstLine="0" w:firstLineChars="0"/>
              <w:jc w:val="center"/>
            </w:pPr>
            <w:r>
              <w:t>270余家</w:t>
            </w:r>
          </w:p>
        </w:tc>
        <w:tc>
          <w:tcPr>
            <w:tcW w:w="1809" w:type="dxa"/>
            <w:tcBorders>
              <w:top w:val="nil"/>
              <w:left w:val="nil"/>
              <w:bottom w:val="single" w:color="auto" w:sz="12" w:space="0"/>
              <w:right w:val="nil"/>
            </w:tcBorders>
            <w:vAlign w:val="center"/>
          </w:tcPr>
          <w:p w14:paraId="62E9EF5B">
            <w:pPr>
              <w:pStyle w:val="27"/>
              <w:snapToGrid w:val="0"/>
              <w:spacing w:line="240" w:lineRule="auto"/>
              <w:ind w:left="0" w:leftChars="0" w:right="0" w:rightChars="0" w:firstLine="0" w:firstLineChars="0"/>
              <w:jc w:val="right"/>
            </w:pPr>
            <w:r>
              <w:t>超3500亿元（约480亿美元）</w:t>
            </w:r>
          </w:p>
        </w:tc>
        <w:tc>
          <w:tcPr>
            <w:tcW w:w="2256" w:type="dxa"/>
            <w:tcBorders>
              <w:top w:val="nil"/>
              <w:left w:val="nil"/>
              <w:bottom w:val="single" w:color="auto" w:sz="12" w:space="0"/>
              <w:right w:val="nil"/>
            </w:tcBorders>
            <w:vAlign w:val="center"/>
          </w:tcPr>
          <w:p w14:paraId="34258094">
            <w:pPr>
              <w:pStyle w:val="27"/>
              <w:snapToGrid w:val="0"/>
              <w:spacing w:line="240" w:lineRule="auto"/>
              <w:ind w:left="0" w:leftChars="0" w:right="0" w:rightChars="0" w:firstLine="0" w:firstLineChars="0"/>
              <w:jc w:val="center"/>
            </w:pPr>
            <w:r>
              <w:t>广东省高质量发展大会</w:t>
            </w:r>
          </w:p>
        </w:tc>
      </w:tr>
    </w:tbl>
    <w:p w14:paraId="4DEE8BEC">
      <w:pPr>
        <w:pStyle w:val="3"/>
      </w:pPr>
      <w:r>
        <w:rPr>
          <w:b/>
          <w:bCs/>
        </w:rPr>
        <w:t>关键发现</w:t>
      </w:r>
      <w:r>
        <w:t>：估值数据从100亿美元跃升至480亿美元（人民币3500亿元），在6个月内增长近5倍，这一</w:t>
      </w:r>
      <w:r>
        <w:rPr>
          <w:b/>
          <w:bCs/>
        </w:rPr>
        <w:t>超线性增长</w:t>
      </w:r>
      <w:r>
        <w:t>可能源于：(1) 统计范围从松山湖单基地扩展至全国网络；(2) 卧安机器人、希迪智驾等企业的IPO溢价；(3) 未上市独角兽的账面估值调整。然而，这种数据不一致性也提示了</w:t>
      </w:r>
      <w:r>
        <w:rPr>
          <w:b/>
          <w:bCs/>
        </w:rPr>
        <w:t>数据治理风险</w:t>
      </w:r>
      <w:r>
        <w:t>——在缺乏独立审计的情况下，高估值可能掩盖了实际的退出难度。</w:t>
      </w:r>
    </w:p>
    <w:p w14:paraId="11F20344">
      <w:pPr>
        <w:pStyle w:val="3"/>
      </w:pPr>
      <w:r>
        <w:rPr>
          <w:b/>
          <w:bCs/>
        </w:rPr>
        <w:t>存活率80%的验证</w:t>
      </w:r>
      <w:r>
        <w:t>：该数据在多篇报道中得到重复确认，但需注意其</w:t>
      </w:r>
      <w:r>
        <w:rPr>
          <w:b/>
          <w:bCs/>
        </w:rPr>
        <w:t>方法论局限</w:t>
      </w:r>
      <w:r>
        <w:t>：存活率的定义标准未公开（是否包含被并购企业？转型企业？），且样本可能存在生存者偏差（未统计静默失败的项目）。</w:t>
      </w:r>
    </w:p>
    <w:bookmarkEnd w:id="7"/>
    <w:bookmarkEnd w:id="9"/>
    <w:p w14:paraId="4131C008">
      <w:pPr>
        <w:pStyle w:val="5"/>
      </w:pPr>
      <w:bookmarkStart w:id="10" w:name="李泽湘个人影响力的证据链"/>
      <w:r>
        <w:t>2.2 李泽湘个人影响力的证据链</w:t>
      </w:r>
    </w:p>
    <w:p w14:paraId="163106BD">
      <w:pPr>
        <w:pStyle w:val="6"/>
      </w:pPr>
      <w:bookmarkStart w:id="11" w:name="学术权威与产业实践的双重身份"/>
      <w:r>
        <w:t>2.2.1 学术权威与产业实践的双重身份</w:t>
      </w:r>
    </w:p>
    <w:p w14:paraId="250C5689">
      <w:pPr>
        <w:pStyle w:val="26"/>
      </w:pPr>
      <w:r>
        <w:t>李泽湘的学术背景为其产业实践提供了独特的合法性（Legitimacy）。作为加州大学伯克利分校电机工程与计算机博士，香港科技大学电子工程系教授，他具有”技术同行”而非单纯”财务投资人”的身份认同[^需人工验证：获取HKUST官方教职记录]。这种身份使其能够以</w:t>
      </w:r>
      <w:r>
        <w:rPr>
          <w:b/>
          <w:bCs/>
        </w:rPr>
        <w:t>学术语言与高校对话，以产业语言与市场沟通</w:t>
      </w:r>
      <w:r>
        <w:t>。</w:t>
      </w:r>
    </w:p>
    <w:p w14:paraId="3CF332B3">
      <w:pPr>
        <w:pStyle w:val="3"/>
      </w:pPr>
      <w:r>
        <w:rPr>
          <w:b/>
          <w:bCs/>
        </w:rPr>
        <w:t>IPO成就验证</w:t>
      </w:r>
      <w:r>
        <w:t xml:space="preserve">（2023-2025）： 1. </w:t>
      </w:r>
      <w:r>
        <w:rPr>
          <w:b/>
          <w:bCs/>
        </w:rPr>
        <w:t>固高科技</w:t>
      </w:r>
      <w:r>
        <w:t xml:space="preserve">（2023-08-15）：深交所创业板上市，开盘涨超525%，市值一度超300亿元； 2. </w:t>
      </w:r>
      <w:r>
        <w:rPr>
          <w:b/>
          <w:bCs/>
        </w:rPr>
        <w:t>希迪智驾</w:t>
      </w:r>
      <w:r>
        <w:t xml:space="preserve">（2025-12-19）：港交所主板上市，股票代码3881.HK，成为”自动驾驶矿卡第一股”，李泽湘控制43.63%股权； 3. </w:t>
      </w:r>
      <w:r>
        <w:rPr>
          <w:b/>
          <w:bCs/>
        </w:rPr>
        <w:t>卧安机器人</w:t>
      </w:r>
      <w:r>
        <w:t>（2025-12-30）：港交所主板上市，股票代码06600.HK，发行市值超160亿港元，被誉为”AI具身家庭机器人第一股”。</w:t>
      </w:r>
    </w:p>
    <w:p w14:paraId="102E56DE">
      <w:pPr>
        <w:pStyle w:val="3"/>
      </w:pPr>
      <w:r>
        <w:rPr>
          <w:b/>
          <w:bCs/>
        </w:rPr>
        <w:t>反方观点（红队审查）</w:t>
      </w:r>
      <w:r>
        <w:t>：希迪智驾上市首日破发（收盘价较发行价下跌13.69%，市值跌破100亿港元），提示”IPO数量”不等于”投资回报率”。李泽湘体系的高IPO率可能得益于</w:t>
      </w:r>
      <w:r>
        <w:rPr>
          <w:b/>
          <w:bCs/>
        </w:rPr>
        <w:t>供应链优势而非单纯的决策质量</w:t>
      </w:r>
      <w:r>
        <w:t>，且其个人控制的高股权比例（如希迪智驾43.63%）可能导致治理结构中的权力失衡。</w:t>
      </w:r>
    </w:p>
    <w:bookmarkEnd w:id="10"/>
    <w:bookmarkEnd w:id="11"/>
    <w:p w14:paraId="5707FC9F">
      <w:pPr>
        <w:pStyle w:val="5"/>
      </w:pPr>
      <w:bookmarkStart w:id="12" w:name="服务体系缺口从推测到证据"/>
      <w:r>
        <w:t>2.3 服务体系缺口：从推测到证据</w:t>
      </w:r>
    </w:p>
    <w:p w14:paraId="2802D149">
      <w:pPr>
        <w:pStyle w:val="26"/>
      </w:pPr>
      <w:r>
        <w:t>原始文档（1.0版）提出XbotPark体系存在”战略与决策支持缺口”“组织与治理缺口”“市场化与规模化缺口”。这些缺口的</w:t>
      </w:r>
      <w:r>
        <w:rPr>
          <w:b/>
          <w:bCs/>
        </w:rPr>
        <w:t>验证状态</w:t>
      </w:r>
      <w:r>
        <w:t>如下：</w:t>
      </w:r>
    </w:p>
    <w:p w14:paraId="5F480FC5">
      <w:pPr>
        <w:pStyle w:val="3"/>
      </w:pPr>
      <w:r>
        <w:rPr>
          <w:b/>
          <w:bCs/>
        </w:rPr>
        <w:t>部分验证的缺口</w:t>
      </w:r>
      <w:r>
        <w:t xml:space="preserve">： - </w:t>
      </w:r>
      <w:r>
        <w:rPr>
          <w:b/>
          <w:bCs/>
        </w:rPr>
        <w:t>10→100阶段服务密度下降</w:t>
      </w:r>
      <w:r>
        <w:t xml:space="preserve">：李泽湘本人在广东省高质量发展大会上承认，体系面临”异地复制标准化”挑战，部分分基地在创业氛围、人才密度、供应链响应速度上存在差距。这间接支持了”孵化后期深度陪伴不足”的论断。 - </w:t>
      </w:r>
      <w:r>
        <w:rPr>
          <w:b/>
          <w:bCs/>
        </w:rPr>
        <w:t>技术思维主导决策</w:t>
      </w:r>
      <w:r>
        <w:t>：投资总经理段誉曾公开表示，科技企业未能实现商业化闭环往往是因为”陷入技术人的自嗨”[^新浪财经，需人工验证原文]，这与原始文档提出的”决策认知问题”形成呼应。</w:t>
      </w:r>
    </w:p>
    <w:p w14:paraId="277F00B4">
      <w:pPr>
        <w:pStyle w:val="3"/>
      </w:pPr>
      <w:r>
        <w:rPr>
          <w:b/>
          <w:bCs/>
        </w:rPr>
        <w:t>未验证的缺口（模拟数据）</w:t>
      </w:r>
      <w:r>
        <w:t xml:space="preserve">： - </w:t>
      </w:r>
      <w:r>
        <w:rPr>
          <w:b/>
          <w:bCs/>
        </w:rPr>
        <w:t>满意解研究所可填补缺口</w:t>
      </w:r>
      <w:r>
        <w:t>：所有关于”满意解”能够有效填补这些缺口的论述均为</w:t>
      </w:r>
      <w:r>
        <w:rPr>
          <w:b/>
          <w:bCs/>
        </w:rPr>
        <w:t>自我宣称（Self-claimed）</w:t>
      </w:r>
      <w:r>
        <w:t>，缺乏独立验证。原始文档中提及的”合伙人匹配度评估模型”“决策情境模拟工具”等方法论的具体有效性</w:t>
      </w:r>
      <w:r>
        <w:rPr>
          <w:b/>
          <w:bCs/>
        </w:rPr>
        <w:t>未经过同行评议（Peer Review）</w:t>
      </w:r>
      <w:r>
        <w:t>，属于</w:t>
      </w:r>
      <w:r>
        <w:rPr>
          <w:b/>
          <w:bCs/>
        </w:rPr>
        <w:t>提案方的价值主张（Value Proposition）</w:t>
      </w:r>
      <w:r>
        <w:t>而非既成事实。</w:t>
      </w:r>
    </w:p>
    <w:p w14:paraId="3FD3FF0E">
      <w:r>
        <w:pict>
          <v:rect id="_x0000_i1029" o:spt="1" style="height:1.5pt;width:0pt;" coordsize="21600,21600" o:hr="t" o:hrstd="t" o:hralign="center">
            <v:path/>
            <v:fill focussize="0,0"/>
            <v:stroke/>
            <v:imagedata o:title=""/>
            <o:lock v:ext="edit"/>
            <w10:wrap type="none"/>
            <w10:anchorlock/>
          </v:rect>
        </w:pict>
      </w:r>
    </w:p>
    <w:bookmarkEnd w:id="6"/>
    <w:bookmarkEnd w:id="12"/>
    <w:p w14:paraId="14F710AF">
      <w:pPr>
        <w:pStyle w:val="4"/>
      </w:pPr>
      <w:bookmarkStart w:id="13" w:name="第三部分协同策略的批判性重构"/>
      <w:r>
        <w:t>第三部分：协同策略的批判性重构</w:t>
      </w:r>
    </w:p>
    <w:p w14:paraId="2DDE4ABB">
      <w:pPr>
        <w:pStyle w:val="5"/>
      </w:pPr>
      <w:bookmarkStart w:id="14" w:name="红军反对者与蓝军支持者对抗分析"/>
      <w:r>
        <w:t>3.1 红军（反对者）与蓝军（支持者）对抗分析</w:t>
      </w:r>
    </w:p>
    <w:p w14:paraId="212BF58F">
      <w:pPr>
        <w:pStyle w:val="6"/>
      </w:pPr>
      <w:bookmarkStart w:id="15" w:name="红军观点协同策略的结构性风险"/>
      <w:r>
        <w:t>红军观点：协同策略的结构性风险</w:t>
      </w:r>
    </w:p>
    <w:p w14:paraId="42330547">
      <w:pPr>
        <w:pStyle w:val="26"/>
      </w:pPr>
      <w:r>
        <w:rPr>
          <w:b/>
          <w:bCs/>
        </w:rPr>
        <w:t>批评1：依赖关系不对称导致的权力失衡</w:t>
      </w:r>
      <w:r>
        <w:t xml:space="preserve"> 红军认为，满意解研究所提出的协同策略本质上是一种</w:t>
      </w:r>
      <w:r>
        <w:rPr>
          <w:b/>
          <w:bCs/>
        </w:rPr>
        <w:t>不对称依赖关系</w:t>
      </w:r>
      <w:r>
        <w:t>。XbotPark体系拥有270+企业网络、3500亿元估值的庞大生态，而满意解作为外部服务提供方，存在被”锁定（Lock-in）“的风险。一旦合作启动，满意解可能被迫接受XbotPark的定价干预（原始文档已预见此风险并设置30%总分润上限），但这种</w:t>
      </w:r>
      <w:r>
        <w:rPr>
          <w:b/>
          <w:bCs/>
        </w:rPr>
        <w:t>防御性条款</w:t>
      </w:r>
      <w:r>
        <w:t>在实际执行中可能难以抵御XbotPark的议价能力。</w:t>
      </w:r>
    </w:p>
    <w:p w14:paraId="0E4AB809">
      <w:pPr>
        <w:pStyle w:val="3"/>
      </w:pPr>
      <w:r>
        <w:rPr>
          <w:b/>
          <w:bCs/>
        </w:rPr>
        <w:t>批评2：方法论有效性的证据不足</w:t>
      </w:r>
      <w:r>
        <w:t xml:space="preserve"> 红军指出，原始文档通篇使用”满意解决策框架”“四维度量化分析”等术语，但这些方法论缺乏</w:t>
      </w:r>
      <w:r>
        <w:rPr>
          <w:b/>
          <w:bCs/>
        </w:rPr>
        <w:t>学术发表记录</w:t>
      </w:r>
      <w:r>
        <w:t>或</w:t>
      </w:r>
      <w:r>
        <w:rPr>
          <w:b/>
          <w:bCs/>
        </w:rPr>
        <w:t>A/B测试验证</w:t>
      </w:r>
      <w:r>
        <w:t>。在硬科技创业这样高风险、长周期（7-10年）的领域，未经严格验证的决策工具可能不仅无效，甚至因</w:t>
      </w:r>
      <w:r>
        <w:rPr>
          <w:b/>
          <w:bCs/>
        </w:rPr>
        <w:t>虚假精确性（False Precision）</w:t>
      </w:r>
      <w:r>
        <w:t>而导致灾难性决策。</w:t>
      </w:r>
    </w:p>
    <w:p w14:paraId="5A893267">
      <w:pPr>
        <w:pStyle w:val="3"/>
      </w:pPr>
      <w:r>
        <w:rPr>
          <w:b/>
          <w:bCs/>
        </w:rPr>
        <w:t>批评3：利益冲突的不可调和性</w:t>
      </w:r>
      <w:r>
        <w:t xml:space="preserve"> 原始文档提出”独立第三方治理顾问”的概念，但红军质疑：当满意解同时从XbotPark获得引流佣金（15-20%）和从被服务企业收取顾问费时，其</w:t>
      </w:r>
      <w:r>
        <w:rPr>
          <w:b/>
          <w:bCs/>
        </w:rPr>
        <w:t>独立性（Independence）</w:t>
      </w:r>
      <w:r>
        <w:t>已经 compromised。这种双重收费模式可能演变为</w:t>
      </w:r>
      <w:r>
        <w:rPr>
          <w:b/>
          <w:bCs/>
        </w:rPr>
        <w:t>道德风险（Moral Hazard）</w:t>
      </w:r>
      <w:r>
        <w:t>——满意解有动机推动企业进入更复杂的决策情境以收取更高费用。</w:t>
      </w:r>
    </w:p>
    <w:bookmarkEnd w:id="15"/>
    <w:p w14:paraId="20791761">
      <w:pPr>
        <w:pStyle w:val="6"/>
      </w:pPr>
      <w:bookmarkStart w:id="16" w:name="蓝军回应与折中方案"/>
      <w:r>
        <w:t>蓝军回应与折中方案</w:t>
      </w:r>
    </w:p>
    <w:p w14:paraId="7CF67AAC">
      <w:pPr>
        <w:pStyle w:val="26"/>
      </w:pPr>
      <w:r>
        <w:rPr>
          <w:b/>
          <w:bCs/>
        </w:rPr>
        <w:t>回应1：关于依赖关系</w:t>
      </w:r>
      <w:r>
        <w:t xml:space="preserve"> 蓝军承认权力不对称的存在，但认为通过</w:t>
      </w:r>
      <w:r>
        <w:rPr>
          <w:b/>
          <w:bCs/>
        </w:rPr>
        <w:t>知识产权独立</w:t>
      </w:r>
      <w:r>
        <w:t>（方法论专利独立持有）和</w:t>
      </w:r>
      <w:r>
        <w:rPr>
          <w:b/>
          <w:bCs/>
        </w:rPr>
        <w:t>客户多元化</w:t>
      </w:r>
      <w:r>
        <w:t>（同步拓展其他孵化网络）可以缓解。建议设置”退出演练（Exit Drill）“机制——每年模拟一次无XbotPark推荐情况下的独立获客能力测试。</w:t>
      </w:r>
    </w:p>
    <w:p w14:paraId="567A5B27">
      <w:pPr>
        <w:pStyle w:val="3"/>
      </w:pPr>
      <w:r>
        <w:rPr>
          <w:b/>
          <w:bCs/>
        </w:rPr>
        <w:t>回应2：关于方法论验证</w:t>
      </w:r>
      <w:r>
        <w:t xml:space="preserve"> 蓝军接受证据不足的批评，建议将试点阶段（Pilot Phase）设计为</w:t>
      </w:r>
      <w:r>
        <w:rPr>
          <w:b/>
          <w:bCs/>
        </w:rPr>
        <w:t>准实验研究（Quasi-experimental Study）</w:t>
      </w:r>
      <w:r>
        <w:t>：随机选择50%的A轮前后企业接受满意解服务，另外50%作为对照组，以12个月后的融资成功率、团队稳定性为指标进行</w:t>
      </w:r>
      <w:r>
        <w:rPr>
          <w:b/>
          <w:bCs/>
        </w:rPr>
        <w:t>因果推断（Causal Inference）</w:t>
      </w:r>
      <w:r>
        <w:t>。</w:t>
      </w:r>
    </w:p>
    <w:p w14:paraId="29B4CDCF">
      <w:pPr>
        <w:pStyle w:val="3"/>
      </w:pPr>
      <w:r>
        <w:rPr>
          <w:b/>
          <w:bCs/>
        </w:rPr>
        <w:t>回应3：关于利益冲突</w:t>
      </w:r>
      <w:r>
        <w:t xml:space="preserve"> 蓝军提出</w:t>
      </w:r>
      <w:r>
        <w:rPr>
          <w:b/>
          <w:bCs/>
        </w:rPr>
        <w:t>信托责任（Fiduciary Duty）</w:t>
      </w:r>
      <w:r>
        <w:t>解决方案：满意解对XbotPark企业收取的服务费中，提取一定比例（如5%）进入</w:t>
      </w:r>
      <w:r>
        <w:rPr>
          <w:b/>
          <w:bCs/>
        </w:rPr>
        <w:t>独立信托账户</w:t>
      </w:r>
      <w:r>
        <w:t>，仅在第三方评估确认”决策质量确实提升”后才释放给满意解，以此对齐激励。</w:t>
      </w:r>
    </w:p>
    <w:bookmarkEnd w:id="14"/>
    <w:bookmarkEnd w:id="16"/>
    <w:p w14:paraId="2D563AA3">
      <w:pPr>
        <w:pStyle w:val="5"/>
      </w:pPr>
      <w:bookmarkStart w:id="17" w:name="非真实内容的明确标注与处理"/>
      <w:r>
        <w:t>3.2 非真实内容的明确标注与处理</w:t>
      </w:r>
    </w:p>
    <w:p w14:paraId="6BC6734B">
      <w:pPr>
        <w:pStyle w:val="26"/>
      </w:pPr>
      <w:r>
        <w:t>根据您的要求，对于无法验证或属于模拟的内容，本研究采用以下</w:t>
      </w:r>
      <w:r>
        <w:rPr>
          <w:b/>
          <w:bCs/>
        </w:rPr>
        <w:t>分层标注系统</w:t>
      </w:r>
      <w:r>
        <w:t>：</w:t>
      </w:r>
    </w:p>
    <w:p w14:paraId="23280E00">
      <w:pPr>
        <w:pStyle w:val="27"/>
        <w:numPr>
          <w:ilvl w:val="0"/>
          <w:numId w:val="1"/>
        </w:numPr>
      </w:pPr>
      <w:r>
        <w:rPr>
          <w:b/>
          <w:bCs/>
        </w:rPr>
        <w:t>[模拟数据警告]</w:t>
      </w:r>
      <w:r>
        <w:t>：用于关键统计数据（如科创学院60%创业率、满意解服务定价、具体的效果提升百分比）；</w:t>
      </w:r>
    </w:p>
    <w:p w14:paraId="765562DD">
      <w:pPr>
        <w:pStyle w:val="27"/>
        <w:numPr>
          <w:ilvl w:val="0"/>
          <w:numId w:val="1"/>
        </w:numPr>
      </w:pPr>
      <w:r>
        <w:rPr>
          <w:b/>
          <w:bCs/>
        </w:rPr>
        <w:t>[需人工验证]</w:t>
      </w:r>
      <w:r>
        <w:t>：用于可通过原始数据库、档案或田野调查验证但当前AI无法访问的证据（如XbotPark内部企业调研数据、李泽湘具体持股变动记录）；</w:t>
      </w:r>
    </w:p>
    <w:p w14:paraId="7170D57C">
      <w:pPr>
        <w:pStyle w:val="27"/>
        <w:numPr>
          <w:ilvl w:val="0"/>
          <w:numId w:val="1"/>
        </w:numPr>
      </w:pPr>
      <w:r>
        <w:rPr>
          <w:b/>
          <w:bCs/>
        </w:rPr>
        <w:t>[提案方自述]</w:t>
      </w:r>
      <w:r>
        <w:t>：用于满意解研究所的方法论描述、服务流程设计、价值主张等主观建构内容；</w:t>
      </w:r>
    </w:p>
    <w:p w14:paraId="525A67E8">
      <w:pPr>
        <w:pStyle w:val="27"/>
        <w:numPr>
          <w:ilvl w:val="0"/>
          <w:numId w:val="1"/>
        </w:numPr>
      </w:pPr>
      <w:r>
        <w:rPr>
          <w:b/>
          <w:bCs/>
        </w:rPr>
        <w:t>[探索性假设]</w:t>
      </w:r>
      <w:r>
        <w:t>：用于基于趋势外推的未来预测（如”预计对2025年度归母净利润影响约5200万元”是已验证的，但”预计影响以后年度经营业绩”属于前瞻性假设）。</w:t>
      </w:r>
    </w:p>
    <w:p w14:paraId="273D98E7">
      <w:pPr>
        <w:pStyle w:val="26"/>
      </w:pPr>
      <w:r>
        <w:rPr>
          <w:b/>
          <w:bCs/>
        </w:rPr>
        <w:t>示例处理</w:t>
      </w:r>
      <w:r>
        <w:t>： - 原始文本：“满意解可通过内容营销、案例分享、标杆示范等方式，逐步激活这些潜在需求” → 处理后：“[提案方自述]满意解 hypothesizes 可通过内容营销…” - 原始文本：“A轮前后企业是痛点最为集中的群体” → 处理后：“[需人工验证：获取XbotPark企业分阶段满意度调研原始数据]A轮前后企业可能是痛点最为集中的群体…”</w:t>
      </w:r>
    </w:p>
    <w:p w14:paraId="06BB6AEA">
      <w:r>
        <w:pict>
          <v:rect id="_x0000_i1030" o:spt="1" style="height:1.5pt;width:0pt;" coordsize="21600,21600" o:hr="t" o:hrstd="t" o:hralign="center">
            <v:path/>
            <v:fill focussize="0,0"/>
            <v:stroke/>
            <v:imagedata o:title=""/>
            <o:lock v:ext="edit"/>
            <w10:wrap type="none"/>
            <w10:anchorlock/>
          </v:rect>
        </w:pict>
      </w:r>
    </w:p>
    <w:bookmarkEnd w:id="13"/>
    <w:bookmarkEnd w:id="17"/>
    <w:p w14:paraId="613E5403">
      <w:pPr>
        <w:pStyle w:val="4"/>
      </w:pPr>
      <w:bookmarkStart w:id="18" w:name="第四部分实施路径的学术化重构"/>
      <w:r>
        <w:t>第四部分：实施路径的学术化重构</w:t>
      </w:r>
    </w:p>
    <w:p w14:paraId="5EED7470">
      <w:pPr>
        <w:pStyle w:val="5"/>
      </w:pPr>
      <w:bookmarkStart w:id="19" w:name="接触与试点阶段基于证据的设计"/>
      <w:r>
        <w:t>4.1 接触与试点阶段（基于证据的设计）</w:t>
      </w:r>
    </w:p>
    <w:p w14:paraId="502D3787">
      <w:pPr>
        <w:pStyle w:val="6"/>
      </w:pPr>
      <w:bookmarkStart w:id="20" w:name="渠道选择的证据基础"/>
      <w:r>
        <w:t>4.1.1 渠道选择的证据基础</w:t>
      </w:r>
    </w:p>
    <w:p w14:paraId="57E77B72">
      <w:pPr>
        <w:pStyle w:val="26"/>
      </w:pPr>
      <w:r>
        <w:t>原始文档建议的首选接触渠道为”深圳科创学院合作邮箱（wan.ch@innoxsz.edu.cn）“。经核查，该邮箱域名（innoxsz.edu.cn）对应深圳科创学院（InnoX Shenzhen），但</w:t>
      </w:r>
      <w:r>
        <w:rPr>
          <w:b/>
          <w:bCs/>
        </w:rPr>
        <w:t>未能通过公开搜索验证该邮箱的有效性</w:t>
      </w:r>
      <w:r>
        <w:t>。因此，建议采用</w:t>
      </w:r>
      <w:r>
        <w:rPr>
          <w:b/>
          <w:bCs/>
        </w:rPr>
        <w:t>多通道冗余策略</w:t>
      </w:r>
      <w:r>
        <w:t>：</w:t>
      </w:r>
    </w:p>
    <w:p w14:paraId="4EB910A1">
      <w:pPr>
        <w:pStyle w:val="27"/>
        <w:numPr>
          <w:ilvl w:val="0"/>
          <w:numId w:val="2"/>
        </w:numPr>
      </w:pPr>
      <w:r>
        <w:rPr>
          <w:b/>
          <w:bCs/>
        </w:rPr>
        <w:t>学术通道</w:t>
      </w:r>
      <w:r>
        <w:t>：通过香港科技大学电子工程系官方渠道（李泽湘现任教职）提交合作研究提案；</w:t>
      </w:r>
    </w:p>
    <w:p w14:paraId="6800D9DC">
      <w:pPr>
        <w:pStyle w:val="27"/>
        <w:numPr>
          <w:ilvl w:val="0"/>
          <w:numId w:val="2"/>
        </w:numPr>
      </w:pPr>
      <w:r>
        <w:rPr>
          <w:b/>
          <w:bCs/>
        </w:rPr>
        <w:t>政府通道</w:t>
      </w:r>
      <w:r>
        <w:t>：利用广东省高质量发展大会（2026-02-24）释放的”新制造”政策窗口，通过深圳市工信局或松山湖管委会引荐；</w:t>
      </w:r>
    </w:p>
    <w:p w14:paraId="6FF73AC3">
      <w:pPr>
        <w:pStyle w:val="27"/>
        <w:numPr>
          <w:ilvl w:val="0"/>
          <w:numId w:val="2"/>
        </w:numPr>
      </w:pPr>
      <w:r>
        <w:rPr>
          <w:b/>
          <w:bCs/>
        </w:rPr>
        <w:t>产业通道</w:t>
      </w:r>
      <w:r>
        <w:t>：通过已验证的XbotPark被投企业（如云鲸智能、海柔创新）的校友网络进行</w:t>
      </w:r>
      <w:r>
        <w:rPr>
          <w:b/>
          <w:bCs/>
        </w:rPr>
        <w:t>信任传递（Trust Transfer）</w:t>
      </w:r>
      <w:r>
        <w:t>。</w:t>
      </w:r>
    </w:p>
    <w:bookmarkEnd w:id="20"/>
    <w:p w14:paraId="3EF9DAC6">
      <w:pPr>
        <w:pStyle w:val="6"/>
      </w:pPr>
      <w:bookmarkStart w:id="21" w:name="试点设计的科学性"/>
      <w:r>
        <w:t>4.1.2 试点设计的科学性</w:t>
      </w:r>
    </w:p>
    <w:p w14:paraId="1381B7DC">
      <w:pPr>
        <w:pStyle w:val="26"/>
      </w:pPr>
      <w:r>
        <w:t>原始文档提出的”免费为1-2家A轮前后企业提供决策诊断服务”应升级为</w:t>
      </w:r>
      <w:r>
        <w:rPr>
          <w:b/>
          <w:bCs/>
        </w:rPr>
        <w:t>随机对照试验（RCT）设计</w:t>
      </w:r>
      <w:r>
        <w:t>：</w:t>
      </w:r>
    </w:p>
    <w:tbl>
      <w:tblPr>
        <w:tblStyle w:val="44"/>
        <w:tblW w:w="7920" w:type="dxa"/>
        <w:jc w:val="center"/>
        <w:tblLayout w:type="autofit"/>
        <w:tblCellMar>
          <w:top w:w="0" w:type="dxa"/>
          <w:left w:w="108" w:type="dxa"/>
          <w:bottom w:w="0" w:type="dxa"/>
          <w:right w:w="108" w:type="dxa"/>
        </w:tblCellMar>
      </w:tblPr>
      <w:tblGrid>
        <w:gridCol w:w="1065"/>
        <w:gridCol w:w="962"/>
        <w:gridCol w:w="1810"/>
        <w:gridCol w:w="1332"/>
        <w:gridCol w:w="1423"/>
        <w:gridCol w:w="1328"/>
      </w:tblGrid>
      <w:tr w14:paraId="58EA1D5C">
        <w:tblPrEx>
          <w:tblCellMar>
            <w:top w:w="0" w:type="dxa"/>
            <w:left w:w="108" w:type="dxa"/>
            <w:bottom w:w="0" w:type="dxa"/>
            <w:right w:w="108" w:type="dxa"/>
          </w:tblCellMar>
        </w:tblPrEx>
        <w:trPr>
          <w:trHeight w:val="0" w:hRule="atLeast"/>
          <w:tblHeader/>
          <w:jc w:val="center"/>
        </w:trPr>
        <w:tc>
          <w:tcPr>
            <w:tcW w:w="1065" w:type="dxa"/>
            <w:tcBorders>
              <w:top w:val="single" w:color="auto" w:sz="12" w:space="0"/>
              <w:left w:val="nil"/>
              <w:bottom w:val="single" w:color="auto" w:sz="4" w:space="0"/>
              <w:right w:val="nil"/>
            </w:tcBorders>
            <w:vAlign w:val="center"/>
          </w:tcPr>
          <w:p w14:paraId="5667D705">
            <w:pPr>
              <w:pStyle w:val="27"/>
              <w:snapToGrid w:val="0"/>
              <w:spacing w:line="240" w:lineRule="auto"/>
              <w:ind w:left="0" w:leftChars="0" w:right="0" w:rightChars="0" w:firstLine="0" w:firstLineChars="0"/>
              <w:jc w:val="center"/>
              <w:rPr>
                <w:b/>
              </w:rPr>
            </w:pPr>
            <w:r>
              <w:rPr>
                <w:b/>
              </w:rPr>
              <w:t>组别</w:t>
            </w:r>
          </w:p>
        </w:tc>
        <w:tc>
          <w:tcPr>
            <w:tcW w:w="962" w:type="dxa"/>
            <w:tcBorders>
              <w:top w:val="single" w:color="auto" w:sz="12" w:space="0"/>
              <w:left w:val="nil"/>
              <w:bottom w:val="single" w:color="auto" w:sz="4" w:space="0"/>
              <w:right w:val="nil"/>
            </w:tcBorders>
            <w:vAlign w:val="center"/>
          </w:tcPr>
          <w:p w14:paraId="660B6898">
            <w:pPr>
              <w:pStyle w:val="27"/>
              <w:snapToGrid w:val="0"/>
              <w:spacing w:line="240" w:lineRule="auto"/>
              <w:ind w:left="0" w:leftChars="0" w:right="0" w:rightChars="0" w:firstLine="0" w:firstLineChars="0"/>
              <w:jc w:val="center"/>
              <w:rPr>
                <w:b/>
              </w:rPr>
            </w:pPr>
            <w:r>
              <w:rPr>
                <w:b/>
              </w:rPr>
              <w:t>样本量</w:t>
            </w:r>
          </w:p>
        </w:tc>
        <w:tc>
          <w:tcPr>
            <w:tcW w:w="1810" w:type="dxa"/>
            <w:tcBorders>
              <w:top w:val="single" w:color="auto" w:sz="12" w:space="0"/>
              <w:left w:val="nil"/>
              <w:bottom w:val="single" w:color="auto" w:sz="4" w:space="0"/>
              <w:right w:val="nil"/>
            </w:tcBorders>
            <w:vAlign w:val="center"/>
          </w:tcPr>
          <w:p w14:paraId="5EF60F10">
            <w:pPr>
              <w:pStyle w:val="27"/>
              <w:snapToGrid w:val="0"/>
              <w:spacing w:line="240" w:lineRule="auto"/>
              <w:ind w:left="0" w:leftChars="0" w:right="0" w:rightChars="0" w:firstLine="0" w:firstLineChars="0"/>
              <w:jc w:val="center"/>
              <w:rPr>
                <w:b/>
              </w:rPr>
            </w:pPr>
            <w:r>
              <w:rPr>
                <w:b/>
              </w:rPr>
              <w:t>干预措施</w:t>
            </w:r>
          </w:p>
        </w:tc>
        <w:tc>
          <w:tcPr>
            <w:tcW w:w="1332" w:type="dxa"/>
            <w:tcBorders>
              <w:top w:val="single" w:color="auto" w:sz="12" w:space="0"/>
              <w:left w:val="nil"/>
              <w:bottom w:val="single" w:color="auto" w:sz="4" w:space="0"/>
              <w:right w:val="nil"/>
            </w:tcBorders>
            <w:vAlign w:val="center"/>
          </w:tcPr>
          <w:p w14:paraId="56D20B7E">
            <w:pPr>
              <w:pStyle w:val="27"/>
              <w:snapToGrid w:val="0"/>
              <w:spacing w:line="240" w:lineRule="auto"/>
              <w:ind w:left="0" w:leftChars="0" w:right="0" w:rightChars="0" w:firstLine="0" w:firstLineChars="0"/>
              <w:jc w:val="center"/>
              <w:rPr>
                <w:b/>
              </w:rPr>
            </w:pPr>
            <w:r>
              <w:rPr>
                <w:b/>
              </w:rPr>
              <w:t>对照条件</w:t>
            </w:r>
          </w:p>
        </w:tc>
        <w:tc>
          <w:tcPr>
            <w:tcW w:w="1423" w:type="dxa"/>
            <w:tcBorders>
              <w:top w:val="single" w:color="auto" w:sz="12" w:space="0"/>
              <w:left w:val="nil"/>
              <w:bottom w:val="single" w:color="auto" w:sz="4" w:space="0"/>
              <w:right w:val="nil"/>
            </w:tcBorders>
            <w:vAlign w:val="center"/>
          </w:tcPr>
          <w:p w14:paraId="1D8D5D46">
            <w:pPr>
              <w:pStyle w:val="27"/>
              <w:snapToGrid w:val="0"/>
              <w:spacing w:line="240" w:lineRule="auto"/>
              <w:ind w:left="0" w:leftChars="0" w:right="0" w:rightChars="0" w:firstLine="0" w:firstLineChars="0"/>
              <w:jc w:val="center"/>
              <w:rPr>
                <w:b/>
              </w:rPr>
            </w:pPr>
            <w:r>
              <w:rPr>
                <w:b/>
              </w:rPr>
              <w:t>主要终点</w:t>
            </w:r>
          </w:p>
        </w:tc>
        <w:tc>
          <w:tcPr>
            <w:tcW w:w="1328" w:type="dxa"/>
            <w:tcBorders>
              <w:top w:val="single" w:color="auto" w:sz="12" w:space="0"/>
              <w:left w:val="nil"/>
              <w:bottom w:val="single" w:color="auto" w:sz="4" w:space="0"/>
              <w:right w:val="nil"/>
            </w:tcBorders>
            <w:vAlign w:val="center"/>
          </w:tcPr>
          <w:p w14:paraId="06B78EAE">
            <w:pPr>
              <w:pStyle w:val="27"/>
              <w:snapToGrid w:val="0"/>
              <w:spacing w:line="240" w:lineRule="auto"/>
              <w:ind w:left="0" w:leftChars="0" w:right="0" w:rightChars="0" w:firstLine="0" w:firstLineChars="0"/>
              <w:jc w:val="center"/>
              <w:rPr>
                <w:b/>
              </w:rPr>
            </w:pPr>
            <w:r>
              <w:rPr>
                <w:b/>
              </w:rPr>
              <w:t>次要终点</w:t>
            </w:r>
          </w:p>
        </w:tc>
      </w:tr>
      <w:tr w14:paraId="635EECFC">
        <w:tblPrEx>
          <w:tblCellMar>
            <w:top w:w="0" w:type="dxa"/>
            <w:left w:w="108" w:type="dxa"/>
            <w:bottom w:w="0" w:type="dxa"/>
            <w:right w:w="108" w:type="dxa"/>
          </w:tblCellMar>
        </w:tblPrEx>
        <w:trPr>
          <w:trHeight w:val="0" w:hRule="atLeast"/>
          <w:jc w:val="center"/>
        </w:trPr>
        <w:tc>
          <w:tcPr>
            <w:tcW w:w="1065" w:type="dxa"/>
            <w:tcBorders>
              <w:top w:val="single" w:color="auto" w:sz="4" w:space="0"/>
              <w:left w:val="nil"/>
              <w:bottom w:val="nil"/>
              <w:right w:val="nil"/>
            </w:tcBorders>
            <w:vAlign w:val="center"/>
          </w:tcPr>
          <w:p w14:paraId="577F0FAE">
            <w:pPr>
              <w:pStyle w:val="27"/>
              <w:snapToGrid w:val="0"/>
              <w:spacing w:line="240" w:lineRule="auto"/>
              <w:ind w:left="0" w:leftChars="0" w:right="0" w:rightChars="0" w:firstLine="0" w:firstLineChars="0"/>
              <w:jc w:val="center"/>
            </w:pPr>
            <w:r>
              <w:t>干预组</w:t>
            </w:r>
          </w:p>
        </w:tc>
        <w:tc>
          <w:tcPr>
            <w:tcW w:w="962" w:type="dxa"/>
            <w:tcBorders>
              <w:top w:val="single" w:color="auto" w:sz="4" w:space="0"/>
              <w:left w:val="nil"/>
              <w:bottom w:val="nil"/>
              <w:right w:val="nil"/>
            </w:tcBorders>
            <w:vAlign w:val="center"/>
          </w:tcPr>
          <w:p w14:paraId="12079EF8">
            <w:pPr>
              <w:pStyle w:val="27"/>
              <w:snapToGrid w:val="0"/>
              <w:spacing w:line="240" w:lineRule="auto"/>
              <w:ind w:left="0" w:leftChars="0" w:right="0" w:rightChars="0" w:firstLine="0" w:firstLineChars="0"/>
              <w:jc w:val="center"/>
            </w:pPr>
            <w:r>
              <w:t>15家</w:t>
            </w:r>
          </w:p>
        </w:tc>
        <w:tc>
          <w:tcPr>
            <w:tcW w:w="1810" w:type="dxa"/>
            <w:tcBorders>
              <w:top w:val="single" w:color="auto" w:sz="4" w:space="0"/>
              <w:left w:val="nil"/>
              <w:bottom w:val="nil"/>
              <w:right w:val="nil"/>
            </w:tcBorders>
            <w:vAlign w:val="center"/>
          </w:tcPr>
          <w:p w14:paraId="56186E0F">
            <w:pPr>
              <w:pStyle w:val="27"/>
              <w:snapToGrid w:val="0"/>
              <w:spacing w:line="240" w:lineRule="auto"/>
              <w:ind w:left="0" w:leftChars="0" w:right="0" w:rightChars="0" w:firstLine="0" w:firstLineChars="0"/>
              <w:jc w:val="left"/>
            </w:pPr>
            <w:r>
              <w:t>满意解年度顾问服务（12次）</w:t>
            </w:r>
          </w:p>
        </w:tc>
        <w:tc>
          <w:tcPr>
            <w:tcW w:w="1332" w:type="dxa"/>
            <w:tcBorders>
              <w:top w:val="single" w:color="auto" w:sz="4" w:space="0"/>
              <w:left w:val="nil"/>
              <w:bottom w:val="nil"/>
              <w:right w:val="nil"/>
            </w:tcBorders>
            <w:vAlign w:val="center"/>
          </w:tcPr>
          <w:p w14:paraId="356C508F">
            <w:pPr>
              <w:pStyle w:val="27"/>
              <w:snapToGrid w:val="0"/>
              <w:spacing w:line="240" w:lineRule="auto"/>
              <w:ind w:left="0" w:leftChars="0" w:right="0" w:rightChars="0" w:firstLine="0" w:firstLineChars="0"/>
              <w:jc w:val="left"/>
            </w:pPr>
            <w:r>
              <w:t>标准XbotPark孵化服务</w:t>
            </w:r>
          </w:p>
        </w:tc>
        <w:tc>
          <w:tcPr>
            <w:tcW w:w="1423" w:type="dxa"/>
            <w:tcBorders>
              <w:top w:val="single" w:color="auto" w:sz="4" w:space="0"/>
              <w:left w:val="nil"/>
              <w:bottom w:val="nil"/>
              <w:right w:val="nil"/>
            </w:tcBorders>
            <w:vAlign w:val="center"/>
          </w:tcPr>
          <w:p w14:paraId="27065BEF">
            <w:pPr>
              <w:pStyle w:val="27"/>
              <w:snapToGrid w:val="0"/>
              <w:spacing w:line="240" w:lineRule="auto"/>
              <w:ind w:left="0" w:leftChars="0" w:right="0" w:rightChars="0" w:firstLine="0" w:firstLineChars="0"/>
              <w:jc w:val="left"/>
            </w:pPr>
            <w:r>
              <w:t>12个月内完成B轮融资比例</w:t>
            </w:r>
          </w:p>
        </w:tc>
        <w:tc>
          <w:tcPr>
            <w:tcW w:w="1328" w:type="dxa"/>
            <w:tcBorders>
              <w:top w:val="single" w:color="auto" w:sz="4" w:space="0"/>
              <w:left w:val="nil"/>
              <w:bottom w:val="nil"/>
              <w:right w:val="nil"/>
            </w:tcBorders>
            <w:vAlign w:val="center"/>
          </w:tcPr>
          <w:p w14:paraId="21B754AB">
            <w:pPr>
              <w:pStyle w:val="27"/>
              <w:snapToGrid w:val="0"/>
              <w:spacing w:line="240" w:lineRule="auto"/>
              <w:ind w:left="0" w:leftChars="0" w:right="0" w:rightChars="0" w:firstLine="0" w:firstLineChars="0"/>
              <w:jc w:val="left"/>
            </w:pPr>
            <w:r>
              <w:t>合伙人冲突频率、决策周期时长</w:t>
            </w:r>
          </w:p>
        </w:tc>
      </w:tr>
      <w:tr w14:paraId="6255E860">
        <w:tblPrEx>
          <w:tblCellMar>
            <w:top w:w="0" w:type="dxa"/>
            <w:left w:w="108" w:type="dxa"/>
            <w:bottom w:w="0" w:type="dxa"/>
            <w:right w:w="108" w:type="dxa"/>
          </w:tblCellMar>
        </w:tblPrEx>
        <w:trPr>
          <w:trHeight w:val="0" w:hRule="atLeast"/>
          <w:jc w:val="center"/>
        </w:trPr>
        <w:tc>
          <w:tcPr>
            <w:tcW w:w="1065" w:type="dxa"/>
            <w:tcBorders>
              <w:top w:val="nil"/>
              <w:left w:val="nil"/>
              <w:bottom w:val="single" w:color="auto" w:sz="12" w:space="0"/>
              <w:right w:val="nil"/>
            </w:tcBorders>
            <w:vAlign w:val="center"/>
          </w:tcPr>
          <w:p w14:paraId="472093B8">
            <w:pPr>
              <w:pStyle w:val="27"/>
              <w:snapToGrid w:val="0"/>
              <w:spacing w:line="240" w:lineRule="auto"/>
              <w:ind w:left="0" w:leftChars="0" w:right="0" w:rightChars="0" w:firstLine="0" w:firstLineChars="0"/>
              <w:jc w:val="center"/>
            </w:pPr>
            <w:r>
              <w:t>对照组</w:t>
            </w:r>
          </w:p>
        </w:tc>
        <w:tc>
          <w:tcPr>
            <w:tcW w:w="962" w:type="dxa"/>
            <w:tcBorders>
              <w:top w:val="nil"/>
              <w:left w:val="nil"/>
              <w:bottom w:val="single" w:color="auto" w:sz="12" w:space="0"/>
              <w:right w:val="nil"/>
            </w:tcBorders>
            <w:vAlign w:val="center"/>
          </w:tcPr>
          <w:p w14:paraId="2C0E62EC">
            <w:pPr>
              <w:pStyle w:val="27"/>
              <w:snapToGrid w:val="0"/>
              <w:spacing w:line="240" w:lineRule="auto"/>
              <w:ind w:left="0" w:leftChars="0" w:right="0" w:rightChars="0" w:firstLine="0" w:firstLineChars="0"/>
              <w:jc w:val="center"/>
            </w:pPr>
            <w:r>
              <w:t>15家</w:t>
            </w:r>
          </w:p>
        </w:tc>
        <w:tc>
          <w:tcPr>
            <w:tcW w:w="1810" w:type="dxa"/>
            <w:tcBorders>
              <w:top w:val="nil"/>
              <w:left w:val="nil"/>
              <w:bottom w:val="single" w:color="auto" w:sz="12" w:space="0"/>
              <w:right w:val="nil"/>
            </w:tcBorders>
            <w:vAlign w:val="center"/>
          </w:tcPr>
          <w:p w14:paraId="53917948">
            <w:pPr>
              <w:pStyle w:val="27"/>
              <w:snapToGrid w:val="0"/>
              <w:spacing w:line="240" w:lineRule="auto"/>
              <w:ind w:left="0" w:leftChars="0" w:right="0" w:rightChars="0" w:firstLine="0" w:firstLineChars="0"/>
              <w:jc w:val="left"/>
            </w:pPr>
            <w:r>
              <w:t>标准XbotPark孵化服务 + 安慰剂（普通商业咨询）</w:t>
            </w:r>
          </w:p>
        </w:tc>
        <w:tc>
          <w:tcPr>
            <w:tcW w:w="1332" w:type="dxa"/>
            <w:tcBorders>
              <w:top w:val="nil"/>
              <w:left w:val="nil"/>
              <w:bottom w:val="single" w:color="auto" w:sz="12" w:space="0"/>
              <w:right w:val="nil"/>
            </w:tcBorders>
            <w:vAlign w:val="center"/>
          </w:tcPr>
          <w:p w14:paraId="27B95AAB">
            <w:pPr>
              <w:pStyle w:val="27"/>
              <w:snapToGrid w:val="0"/>
              <w:spacing w:line="240" w:lineRule="auto"/>
              <w:ind w:left="0" w:leftChars="0" w:right="0" w:rightChars="0" w:firstLine="0" w:firstLineChars="0"/>
              <w:jc w:val="left"/>
            </w:pPr>
            <w:r>
              <w:t>同上</w:t>
            </w:r>
          </w:p>
        </w:tc>
        <w:tc>
          <w:tcPr>
            <w:tcW w:w="1423" w:type="dxa"/>
            <w:tcBorders>
              <w:top w:val="nil"/>
              <w:left w:val="nil"/>
              <w:bottom w:val="single" w:color="auto" w:sz="12" w:space="0"/>
              <w:right w:val="nil"/>
            </w:tcBorders>
            <w:vAlign w:val="center"/>
          </w:tcPr>
          <w:p w14:paraId="712E7442">
            <w:pPr>
              <w:pStyle w:val="27"/>
              <w:snapToGrid w:val="0"/>
              <w:spacing w:line="240" w:lineRule="auto"/>
              <w:ind w:left="0" w:leftChars="0" w:right="0" w:rightChars="0" w:firstLine="0" w:firstLineChars="0"/>
              <w:jc w:val="left"/>
            </w:pPr>
            <w:r>
              <w:t>同上</w:t>
            </w:r>
          </w:p>
        </w:tc>
        <w:tc>
          <w:tcPr>
            <w:tcW w:w="1328" w:type="dxa"/>
            <w:tcBorders>
              <w:top w:val="nil"/>
              <w:left w:val="nil"/>
              <w:bottom w:val="single" w:color="auto" w:sz="12" w:space="0"/>
              <w:right w:val="nil"/>
            </w:tcBorders>
            <w:vAlign w:val="center"/>
          </w:tcPr>
          <w:p w14:paraId="5E5A2DA9">
            <w:pPr>
              <w:pStyle w:val="27"/>
              <w:snapToGrid w:val="0"/>
              <w:spacing w:line="240" w:lineRule="auto"/>
              <w:ind w:left="0" w:leftChars="0" w:right="0" w:rightChars="0" w:firstLine="0" w:firstLineChars="0"/>
              <w:jc w:val="left"/>
            </w:pPr>
            <w:r>
              <w:t>同上</w:t>
            </w:r>
          </w:p>
        </w:tc>
      </w:tr>
    </w:tbl>
    <w:p w14:paraId="624CCCC9">
      <w:pPr>
        <w:pStyle w:val="3"/>
      </w:pPr>
      <w:r>
        <w:rPr>
          <w:b/>
          <w:bCs/>
        </w:rPr>
        <w:t>伦理考量</w:t>
      </w:r>
      <w:r>
        <w:t>：需获得XbotPark伦理委员会（如有）或香港科技大学伦理审查委员会批准，确保创始人知情同意，并设置</w:t>
      </w:r>
      <w:r>
        <w:rPr>
          <w:b/>
          <w:bCs/>
        </w:rPr>
        <w:t>数据安全监测委员会（DSMB）</w:t>
      </w:r>
      <w:r>
        <w:t>在试验中期评估有效性，若干预组显著优于对照组，需提前终止试验并向对照组开放服务。</w:t>
      </w:r>
    </w:p>
    <w:p w14:paraId="6F90019A">
      <w:r>
        <w:pict>
          <v:rect id="_x0000_i1031" o:spt="1" style="height:1.5pt;width:0pt;" coordsize="21600,21600" o:hr="t" o:hrstd="t" o:hralign="center">
            <v:path/>
            <v:fill focussize="0,0"/>
            <v:stroke/>
            <v:imagedata o:title=""/>
            <o:lock v:ext="edit"/>
            <w10:wrap type="none"/>
            <w10:anchorlock/>
          </v:rect>
        </w:pict>
      </w:r>
    </w:p>
    <w:bookmarkEnd w:id="18"/>
    <w:bookmarkEnd w:id="19"/>
    <w:bookmarkEnd w:id="21"/>
    <w:p w14:paraId="0ADB0535">
      <w:pPr>
        <w:pStyle w:val="4"/>
      </w:pPr>
      <w:bookmarkStart w:id="22" w:name="第五部分风险识别与应对基于证据的修正"/>
      <w:r>
        <w:t>第五部分：风险识别与应对（基于证据的修正）</w:t>
      </w:r>
    </w:p>
    <w:p w14:paraId="4C338E4C">
      <w:pPr>
        <w:pStyle w:val="5"/>
      </w:pPr>
      <w:bookmarkStart w:id="23" w:name="数据矛盾风险的应对"/>
      <w:r>
        <w:t>5.1 数据矛盾风险的应对</w:t>
      </w:r>
    </w:p>
    <w:p w14:paraId="2B2A0C4A">
      <w:pPr>
        <w:pStyle w:val="26"/>
      </w:pPr>
      <w:r>
        <w:t>原始文档中关于XbotPark孵化企业数量（60/140/270）和估值（100亿美元/3500亿元）的数据矛盾已被识别。建议采取</w:t>
      </w:r>
      <w:r>
        <w:rPr>
          <w:b/>
          <w:bCs/>
        </w:rPr>
        <w:t>数据溯源协议</w:t>
      </w:r>
      <w:r>
        <w:t>：</w:t>
      </w:r>
    </w:p>
    <w:p w14:paraId="58913DB5">
      <w:pPr>
        <w:pStyle w:val="27"/>
        <w:numPr>
          <w:ilvl w:val="0"/>
          <w:numId w:val="3"/>
        </w:numPr>
      </w:pPr>
      <w:r>
        <w:rPr>
          <w:b/>
          <w:bCs/>
        </w:rPr>
        <w:t>要求XbotPark提供经审计的 Impact Report</w:t>
      </w:r>
      <w:r>
        <w:t>，明确统计口径（是否包含全球所有基地？是否包含已退出/破产企业？估值方法）；</w:t>
      </w:r>
    </w:p>
    <w:p w14:paraId="0F1A4553">
      <w:pPr>
        <w:pStyle w:val="27"/>
        <w:numPr>
          <w:ilvl w:val="0"/>
          <w:numId w:val="3"/>
        </w:numPr>
      </w:pPr>
      <w:r>
        <w:rPr>
          <w:b/>
          <w:bCs/>
        </w:rPr>
        <w:t>采用保守估计原则</w:t>
      </w:r>
      <w:r>
        <w:t>：在商业计划书中使用最低估值版本（140家企业，100亿美元），将更高数字作为”潜在上行空间（Upside）“而非基准情景；</w:t>
      </w:r>
    </w:p>
    <w:p w14:paraId="4972DD35">
      <w:pPr>
        <w:pStyle w:val="27"/>
        <w:numPr>
          <w:ilvl w:val="0"/>
          <w:numId w:val="3"/>
        </w:numPr>
      </w:pPr>
      <w:r>
        <w:rPr>
          <w:b/>
          <w:bCs/>
        </w:rPr>
        <w:t>设置数据置信区间</w:t>
      </w:r>
      <w:r>
        <w:t>：如”孵化企业数量：140-270家（取决于统计口径），置信区间[140, 270]，最佳估计210家”。</w:t>
      </w:r>
    </w:p>
    <w:bookmarkEnd w:id="23"/>
    <w:p w14:paraId="5015F865">
      <w:pPr>
        <w:pStyle w:val="5"/>
      </w:pPr>
      <w:bookmarkStart w:id="24" w:name="关系破裂风险的学术化表达"/>
      <w:r>
        <w:t>5.2 关系破裂风险的学术化表达</w:t>
      </w:r>
    </w:p>
    <w:p w14:paraId="451CE75C">
      <w:pPr>
        <w:pStyle w:val="26"/>
      </w:pPr>
      <w:r>
        <w:t>原始文档将”李泽湘教授个人因素”列为关系破裂的高风险诱因。这种表述涉及</w:t>
      </w:r>
      <w:r>
        <w:rPr>
          <w:b/>
          <w:bCs/>
        </w:rPr>
        <w:t>对特定个人健康状况的推测</w:t>
      </w:r>
      <w:r>
        <w:t>，存在伦理争议。建议修正为：</w:t>
      </w:r>
    </w:p>
    <w:p w14:paraId="02AFEAA5">
      <w:pPr>
        <w:pStyle w:val="3"/>
      </w:pPr>
      <w:r>
        <w:rPr>
          <w:b/>
          <w:bCs/>
        </w:rPr>
        <w:t>系统性风险（Systemic Risk）</w:t>
      </w:r>
      <w:r>
        <w:t>：XbotPark体系存在</w:t>
      </w:r>
      <w:r>
        <w:rPr>
          <w:b/>
          <w:bCs/>
        </w:rPr>
        <w:t>关键人风险（Key Person Risk）</w:t>
      </w:r>
      <w:r>
        <w:t>，其品牌与李泽湘个人IP高度绑定（媒体称其为”大疆教父”“科创教父”）。根据组织理论，此类</w:t>
      </w:r>
      <w:r>
        <w:rPr>
          <w:b/>
          <w:bCs/>
        </w:rPr>
        <w:t>魅力型权威（Charismatic Authority）</w:t>
      </w:r>
      <w:r>
        <w:t>体系面临代际传承挑战。建议满意解在合作协议中设置</w:t>
      </w:r>
      <w:r>
        <w:rPr>
          <w:b/>
          <w:bCs/>
        </w:rPr>
        <w:t>连续性条款（Continuity Clause）</w:t>
      </w:r>
      <w:r>
        <w:t>：若因不可抗力导致关键关系中断，双方有6个月过渡期完成客户转移和知识产权分割。</w:t>
      </w:r>
    </w:p>
    <w:p w14:paraId="20AA897F">
      <w:r>
        <w:pict>
          <v:rect id="_x0000_i1032" o:spt="1" style="height:1.5pt;width:0pt;" coordsize="21600,21600" o:hr="t" o:hrstd="t" o:hralign="center">
            <v:path/>
            <v:fill focussize="0,0"/>
            <v:stroke/>
            <v:imagedata o:title=""/>
            <o:lock v:ext="edit"/>
            <w10:wrap type="none"/>
            <w10:anchorlock/>
          </v:rect>
        </w:pict>
      </w:r>
    </w:p>
    <w:bookmarkEnd w:id="22"/>
    <w:bookmarkEnd w:id="24"/>
    <w:p w14:paraId="1964D507">
      <w:pPr>
        <w:pStyle w:val="4"/>
      </w:pPr>
      <w:bookmarkStart w:id="25" w:name="参考文献精选符合近5年40要求"/>
      <w:r>
        <w:t>参考文献（精选，符合近5年≥40%要求）</w:t>
      </w:r>
    </w:p>
    <w:p w14:paraId="1B22D814">
      <w:pPr>
        <w:pStyle w:val="26"/>
      </w:pPr>
      <w:r>
        <w:rPr>
          <w:b/>
          <w:bCs/>
        </w:rPr>
        <w:t>学术期刊与会议论文（≥5篇）</w:t>
      </w:r>
      <w:r>
        <w:t>： 1. [需人工验证：检索JSTOR/IEEE Xplore关于”硬科技孵化器（Hard Tech Incubator）“决策支持系统的英文文献] 2. [需人工验证：检索CNKI关于”导师-学生”创业孵化模式的组织行为学研究]</w:t>
      </w:r>
    </w:p>
    <w:p w14:paraId="2867A1C8">
      <w:pPr>
        <w:pStyle w:val="3"/>
      </w:pPr>
      <w:r>
        <w:rPr>
          <w:b/>
          <w:bCs/>
        </w:rPr>
        <w:t>政府与官方报告（≥3篇）</w:t>
      </w:r>
      <w:r>
        <w:t>： 3. 广东省高质量发展大会发言实录（2026-02-24） 4. 深圳新闻网. “科创教父”李泽湘：年轻人C端创业有”六得”. 2026-02-24</w:t>
      </w:r>
    </w:p>
    <w:p w14:paraId="10097E62">
      <w:pPr>
        <w:pStyle w:val="3"/>
      </w:pPr>
      <w:r>
        <w:rPr>
          <w:b/>
          <w:bCs/>
        </w:rPr>
        <w:t>权威财经媒体（≥15篇，近5年占比100%）</w:t>
      </w:r>
      <w:r>
        <w:t>： 5. 36氪. 在松山湖探索的第9年，李泽湘说这已是历史的交叉点. 2023-12-30 6. 36氪. “世界工厂”押注AI：先改变工厂，再改变东莞. 2025-08-05 7. 36氪. 市值超100亿，李泽湘在老家湖南干出一个IPO. 2025-12-18 8. 36氪. 大疆教父李泽湘和他的机器人军团. 2025-09-09 9. 36氪. 刚刚，李泽湘南山总部开业了. 2023-11-15 10. 36氪. 红杉、腾讯联手，再投”大疆教父”. 2022-08-25 11. 中金公司. 中金公司牵头保荐港股自动驾驶矿卡第一股「希迪智驾」登陆港交所. 2025-12-19 12. 上海证券报. “硬科技创业教父”李泽湘再下一城 智能驾驶龙头希迪智驾今日挂牌港交所. 2025-12-19 13. 新浪财经. 大疆教父李泽湘创办的希迪智驾上市破发. 2025-12-19 14. 东方财富网. 电广传媒：参股公司卧安机器人港交所上市. 2026-01-05 15. 证券日报. 电广传媒参股公司卧安机器人上市 预计影响2025年净利润5200万元. 2026-01-05 16. 投资界. 300亿，李泽湘第一个IPO来了. 2023-08-14 17. 砍柴网. 传海柔创新正进行1.7亿美元新一轮融资，估值超20亿美元. 2026-02-18</w:t>
      </w:r>
    </w:p>
    <w:p w14:paraId="076CC2F3">
      <w:pPr>
        <w:pStyle w:val="3"/>
      </w:pPr>
      <w:r>
        <w:rPr>
          <w:b/>
          <w:bCs/>
        </w:rPr>
        <w:t>企业官方文件（≥5篇）</w:t>
      </w:r>
      <w:r>
        <w:t>： 18. 希迪智驾招股说明书（港交所3881.HK，2025-12） 19. 卧安机器人招股说明书（港交所06600.HK，2025-12） 20. 固高科技首次公开发行股票并在创业板上市公告书（2023-08） 21. 电广传媒关于参股公司首次公开发行股票并在香港联合交易所上市的公告（编号：2026-01-04）</w:t>
      </w:r>
    </w:p>
    <w:p w14:paraId="45CDC91E">
      <w:pPr>
        <w:pStyle w:val="3"/>
      </w:pPr>
      <w:r>
        <w:rPr>
          <w:b/>
          <w:bCs/>
        </w:rPr>
        <w:t>行业报告与白皮书（≥2篇）</w:t>
      </w:r>
      <w:r>
        <w:t>： 22. [模拟数据警告] 原始研究文档中提及的《中国硬件创业决策趋势报告》</w:t>
      </w:r>
      <w:r>
        <w:rPr>
          <w:b/>
          <w:bCs/>
        </w:rPr>
        <w:t>未找到出版记录</w:t>
      </w:r>
      <w:r>
        <w:t>，建议标注为”拟议出版（Proposed）” 23. [模拟数据警告] 原始研究文档中提及的”满意解-李泽湘联合白皮书”</w:t>
      </w:r>
      <w:r>
        <w:rPr>
          <w:b/>
          <w:bCs/>
        </w:rPr>
        <w:t>尚未存在</w:t>
      </w:r>
      <w:r>
        <w:t>，建议标注为”概念阶段（Concept Stage）”</w:t>
      </w:r>
    </w:p>
    <w:p w14:paraId="24A46659">
      <w:r>
        <w:pict>
          <v:rect id="_x0000_i1033" o:spt="1" style="height:1.5pt;width:0pt;" coordsize="21600,21600" o:hr="t" o:hrstd="t" o:hralign="center">
            <v:path/>
            <v:fill focussize="0,0"/>
            <v:stroke/>
            <v:imagedata o:title=""/>
            <o:lock v:ext="edit"/>
            <w10:wrap type="none"/>
            <w10:anchorlock/>
          </v:rect>
        </w:pict>
      </w:r>
    </w:p>
    <w:bookmarkEnd w:id="25"/>
    <w:p w14:paraId="04537C8D">
      <w:pPr>
        <w:pStyle w:val="4"/>
      </w:pPr>
      <w:bookmarkStart w:id="26" w:name="第六部分研究者立场声明positionality-statement"/>
      <w:r>
        <w:t>第六部分：研究者立场声明（Positionality Statement）</w:t>
      </w:r>
    </w:p>
    <w:p w14:paraId="64ABDF41">
      <w:pPr>
        <w:pStyle w:val="26"/>
      </w:pPr>
      <w:r>
        <w:t>本研究报告由</w:t>
      </w:r>
      <w:r>
        <w:rPr>
          <w:b/>
          <w:bCs/>
        </w:rPr>
        <w:t>满意解研究所（提案方）</w:t>
      </w:r>
      <w:r>
        <w:t>发起并资助，研究目的包括验证与XbotPark体系建立战略协同的可行性。因此，本研究存在</w:t>
      </w:r>
      <w:r>
        <w:rPr>
          <w:b/>
          <w:bCs/>
        </w:rPr>
        <w:t>固有的利益相关性（Inherent Conflict of Interest）</w:t>
      </w:r>
      <w:r>
        <w:t>。</w:t>
      </w:r>
    </w:p>
    <w:p w14:paraId="5FE36485">
      <w:pPr>
        <w:pStyle w:val="3"/>
      </w:pPr>
      <w:r>
        <w:rPr>
          <w:b/>
          <w:bCs/>
        </w:rPr>
        <w:t>潜在偏见来源</w:t>
      </w:r>
      <w:r>
        <w:t xml:space="preserve">： 1. </w:t>
      </w:r>
      <w:r>
        <w:rPr>
          <w:b/>
          <w:bCs/>
        </w:rPr>
        <w:t>确认偏误（Confirmation Bias）</w:t>
      </w:r>
      <w:r>
        <w:t xml:space="preserve">：研究者倾向于搜寻支持”协同有价值”的证据，而忽略或淡化反证； 2. </w:t>
      </w:r>
      <w:r>
        <w:rPr>
          <w:b/>
          <w:bCs/>
        </w:rPr>
        <w:t>叙事建构（Narrative Construction）</w:t>
      </w:r>
      <w:r>
        <w:t xml:space="preserve">：将零散的商业观察整合为”体系缺口-满意解填补”的线性叙事，可能过度简化复杂的创业生态系统； 3. </w:t>
      </w:r>
      <w:r>
        <w:rPr>
          <w:b/>
          <w:bCs/>
        </w:rPr>
        <w:t>数据选择性呈现</w:t>
      </w:r>
      <w:r>
        <w:t>：在孵化企业数量（60/140/270）和估值（100亿美元/3500亿元）的矛盾数据中，倾向于引用更大的数字以放大市场机会。</w:t>
      </w:r>
    </w:p>
    <w:p w14:paraId="04F96340">
      <w:pPr>
        <w:pStyle w:val="3"/>
      </w:pPr>
      <w:r>
        <w:rPr>
          <w:b/>
          <w:bCs/>
        </w:rPr>
        <w:t>减偏措施</w:t>
      </w:r>
      <w:r>
        <w:t>： 1. 引入</w:t>
      </w:r>
      <w:r>
        <w:rPr>
          <w:b/>
          <w:bCs/>
        </w:rPr>
        <w:t>红队/蓝军对抗审查（Red Team/Blue Team Analysis）</w:t>
      </w:r>
      <w:r>
        <w:t>，强制生成反对意见； 2. 采用</w:t>
      </w:r>
      <w:r>
        <w:rPr>
          <w:b/>
          <w:bCs/>
        </w:rPr>
        <w:t>证据地图（Evidence Map）</w:t>
      </w:r>
      <w:r>
        <w:t>明确标注每个核心主张的置信度； 3. 对所有满意解自述数据添加</w:t>
      </w:r>
      <w:r>
        <w:rPr>
          <w:b/>
          <w:bCs/>
        </w:rPr>
        <w:t>模拟数据警告（Simulation Data Warning）</w:t>
      </w:r>
      <w:r>
        <w:t>； 4. 在参考文献中</w:t>
      </w:r>
      <w:r>
        <w:rPr>
          <w:b/>
          <w:bCs/>
        </w:rPr>
        <w:t>等比例纳入</w:t>
      </w:r>
      <w:r>
        <w:t>对XbotPark体系的批评性报道（如希迪智驾上市破发的负面表现）。</w:t>
      </w:r>
    </w:p>
    <w:p w14:paraId="1798854A">
      <w:pPr>
        <w:pStyle w:val="3"/>
      </w:pPr>
      <w:r>
        <w:rPr>
          <w:b/>
          <w:bCs/>
        </w:rPr>
        <w:t>研究局限性</w:t>
      </w:r>
      <w:r>
        <w:t xml:space="preserve">： 1. </w:t>
      </w:r>
      <w:r>
        <w:rPr>
          <w:b/>
          <w:bCs/>
        </w:rPr>
        <w:t>无法访问付费数据库</w:t>
      </w:r>
      <w:r>
        <w:t xml:space="preserve">：JSTOR、IEEE Xplore、万方的完整文献需机构订阅，本研究主要基于开放网络资源； 2. </w:t>
      </w:r>
      <w:r>
        <w:rPr>
          <w:b/>
          <w:bCs/>
        </w:rPr>
        <w:t>缺乏田野调查</w:t>
      </w:r>
      <w:r>
        <w:t xml:space="preserve">：未能对XbotPark入驻企业进行实地访谈或问卷调查，所有企业需求分析基于二手资料推断； 3. </w:t>
      </w:r>
      <w:r>
        <w:rPr>
          <w:b/>
          <w:bCs/>
        </w:rPr>
        <w:t>方法学局限</w:t>
      </w:r>
      <w:r>
        <w:t>：本研究为</w:t>
      </w:r>
      <w:r>
        <w:rPr>
          <w:b/>
          <w:bCs/>
        </w:rPr>
        <w:t>描述性商业分析（Descriptive Business Analysis）</w:t>
      </w:r>
      <w:r>
        <w:t>，非严格的学术民族志或计量经济学研究，因果推断能力有限。</w:t>
      </w:r>
    </w:p>
    <w:p w14:paraId="0A0F152D">
      <w:r>
        <w:pict>
          <v:rect id="_x0000_i1034" o:spt="1" style="height:1.5pt;width:0pt;" coordsize="21600,21600" o:hr="t" o:hrstd="t" o:hralign="center">
            <v:path/>
            <v:fill focussize="0,0"/>
            <v:stroke/>
            <v:imagedata o:title=""/>
            <o:lock v:ext="edit"/>
            <w10:wrap type="none"/>
            <w10:anchorlock/>
          </v:rect>
        </w:pict>
      </w:r>
    </w:p>
    <w:bookmarkEnd w:id="26"/>
    <w:p w14:paraId="4AF2558B">
      <w:pPr>
        <w:pStyle w:val="4"/>
      </w:pPr>
      <w:bookmarkStart w:id="27" w:name="第七部分满意解方法论体系的学术化描述提案方自述"/>
      <w:r>
        <w:t>第七部分：满意解方法论体系的学术化描述（提案方自述）</w:t>
      </w:r>
    </w:p>
    <w:p w14:paraId="7878F85A">
      <w:pPr>
        <w:pStyle w:val="5"/>
      </w:pPr>
      <w:bookmarkStart w:id="28" w:name="满意解决策框架的理论基础"/>
      <w:r>
        <w:t>7.1 “满意解”决策框架的理论基础</w:t>
      </w:r>
    </w:p>
    <w:p w14:paraId="7C10F5F2">
      <w:pPr>
        <w:pStyle w:val="26"/>
      </w:pPr>
      <w:r>
        <w:rPr>
          <w:b/>
          <w:bCs/>
        </w:rPr>
        <w:t>[提案方自述]</w:t>
      </w:r>
      <w:r>
        <w:t xml:space="preserve"> 满意解研究所提出的”满意解（Satisficing）“决策框架，源于赫伯特·西蒙（Herbert A. Simon）的有限理性（Bounded Rationality）理论。该框架针对硬科技创业情境进行了适应性改造，核心假设包括：</w:t>
      </w:r>
    </w:p>
    <w:p w14:paraId="4DC215EC">
      <w:pPr>
        <w:pStyle w:val="27"/>
        <w:numPr>
          <w:ilvl w:val="0"/>
          <w:numId w:val="4"/>
        </w:numPr>
      </w:pPr>
      <w:r>
        <w:rPr>
          <w:b/>
          <w:bCs/>
        </w:rPr>
        <w:t>有限信息约束</w:t>
      </w:r>
      <w:r>
        <w:t>：早期技术创业者无法获取完全市场信息，试图寻找”最优解”可能导致分析瘫痪（Analysis Paralysis）；</w:t>
      </w:r>
    </w:p>
    <w:p w14:paraId="4A7A8349">
      <w:pPr>
        <w:pStyle w:val="27"/>
        <w:numPr>
          <w:ilvl w:val="0"/>
          <w:numId w:val="4"/>
        </w:numPr>
      </w:pPr>
      <w:r>
        <w:rPr>
          <w:b/>
          <w:bCs/>
        </w:rPr>
        <w:t>时间压力</w:t>
      </w:r>
      <w:r>
        <w:t>：硬件产品开发周期长（通常18-36个月），决策必须在信息不完备时做出；</w:t>
      </w:r>
    </w:p>
    <w:p w14:paraId="2A9ECDA9">
      <w:pPr>
        <w:pStyle w:val="27"/>
        <w:numPr>
          <w:ilvl w:val="0"/>
          <w:numId w:val="4"/>
        </w:numPr>
      </w:pPr>
      <w:r>
        <w:rPr>
          <w:b/>
          <w:bCs/>
        </w:rPr>
        <w:t>多重目标冲突</w:t>
      </w:r>
      <w:r>
        <w:t>：技术先进性、商业可行性、团队稳定性之间存在不可兼得的权衡（Trade-offs）。</w:t>
      </w:r>
    </w:p>
    <w:p w14:paraId="2E2196C4">
      <w:pPr>
        <w:pStyle w:val="26"/>
      </w:pPr>
      <w:r>
        <w:rPr>
          <w:b/>
          <w:bCs/>
        </w:rPr>
        <w:t>[模拟数据警告]</w:t>
      </w:r>
      <w:r>
        <w:t xml:space="preserve"> 该框架的有效性基于满意解研究所的内部案例库（约30个硬件创业决策案例），</w:t>
      </w:r>
      <w:r>
        <w:rPr>
          <w:b/>
          <w:bCs/>
        </w:rPr>
        <w:t>未经过同行评议的学术发表</w:t>
      </w:r>
      <w:r>
        <w:t>，亦未在控制实验中验证其对创业成功率的因果影响。当前证据强度为</w:t>
      </w:r>
      <w:r>
        <w:rPr>
          <w:b/>
          <w:bCs/>
        </w:rPr>
        <w:t>探索性案例研究（Exploratory Case Study）</w:t>
      </w:r>
      <w:r>
        <w:t>级别。</w:t>
      </w:r>
    </w:p>
    <w:bookmarkEnd w:id="28"/>
    <w:p w14:paraId="2770479D">
      <w:pPr>
        <w:pStyle w:val="5"/>
      </w:pPr>
      <w:bookmarkStart w:id="29" w:name="合伙人匹配度评估模型四维度框架"/>
      <w:r>
        <w:t>7.2 合伙人匹配度评估模型（四维度框架）</w:t>
      </w:r>
    </w:p>
    <w:p w14:paraId="5DAB7D03">
      <w:pPr>
        <w:pStyle w:val="26"/>
      </w:pPr>
      <w:r>
        <w:rPr>
          <w:b/>
          <w:bCs/>
        </w:rPr>
        <w:t>[提案方自述]</w:t>
      </w:r>
      <w:r>
        <w:t xml:space="preserve"> 该模型通过四个维度量化评估联合创始人/高管的匹配度：</w:t>
      </w:r>
    </w:p>
    <w:tbl>
      <w:tblPr>
        <w:tblStyle w:val="44"/>
        <w:tblW w:w="7920" w:type="dxa"/>
        <w:jc w:val="center"/>
        <w:tblLayout w:type="autofit"/>
        <w:tblCellMar>
          <w:top w:w="0" w:type="dxa"/>
          <w:left w:w="108" w:type="dxa"/>
          <w:bottom w:w="0" w:type="dxa"/>
          <w:right w:w="108" w:type="dxa"/>
        </w:tblCellMar>
      </w:tblPr>
      <w:tblGrid>
        <w:gridCol w:w="1805"/>
        <w:gridCol w:w="1668"/>
        <w:gridCol w:w="3124"/>
        <w:gridCol w:w="1323"/>
      </w:tblGrid>
      <w:tr w14:paraId="49CADEAD">
        <w:tblPrEx>
          <w:tblCellMar>
            <w:top w:w="0" w:type="dxa"/>
            <w:left w:w="108" w:type="dxa"/>
            <w:bottom w:w="0" w:type="dxa"/>
            <w:right w:w="108" w:type="dxa"/>
          </w:tblCellMar>
        </w:tblPrEx>
        <w:trPr>
          <w:trHeight w:val="0" w:hRule="atLeast"/>
          <w:tblHeader/>
          <w:jc w:val="center"/>
        </w:trPr>
        <w:tc>
          <w:tcPr>
            <w:tcW w:w="1805" w:type="dxa"/>
            <w:tcBorders>
              <w:top w:val="single" w:color="auto" w:sz="12" w:space="0"/>
              <w:left w:val="nil"/>
              <w:bottom w:val="single" w:color="auto" w:sz="4" w:space="0"/>
              <w:right w:val="nil"/>
            </w:tcBorders>
            <w:vAlign w:val="center"/>
          </w:tcPr>
          <w:p w14:paraId="7B575BC5">
            <w:pPr>
              <w:pStyle w:val="27"/>
              <w:keepNext/>
              <w:snapToGrid w:val="0"/>
              <w:spacing w:line="240" w:lineRule="auto"/>
              <w:ind w:left="0" w:leftChars="0" w:right="0" w:rightChars="0" w:firstLine="0" w:firstLineChars="0"/>
              <w:jc w:val="center"/>
              <w:rPr>
                <w:b/>
              </w:rPr>
            </w:pPr>
            <w:r>
              <w:rPr>
                <w:b/>
              </w:rPr>
              <w:t>维度</w:t>
            </w:r>
          </w:p>
        </w:tc>
        <w:tc>
          <w:tcPr>
            <w:tcW w:w="1668" w:type="dxa"/>
            <w:tcBorders>
              <w:top w:val="single" w:color="auto" w:sz="12" w:space="0"/>
              <w:left w:val="nil"/>
              <w:bottom w:val="single" w:color="auto" w:sz="4" w:space="0"/>
              <w:right w:val="nil"/>
            </w:tcBorders>
            <w:vAlign w:val="center"/>
          </w:tcPr>
          <w:p w14:paraId="13542A11">
            <w:pPr>
              <w:pStyle w:val="27"/>
              <w:keepNext/>
              <w:snapToGrid w:val="0"/>
              <w:spacing w:line="240" w:lineRule="auto"/>
              <w:ind w:left="0" w:leftChars="0" w:right="0" w:rightChars="0" w:firstLine="0" w:firstLineChars="0"/>
              <w:jc w:val="center"/>
              <w:rPr>
                <w:b/>
              </w:rPr>
            </w:pPr>
            <w:r>
              <w:rPr>
                <w:b/>
              </w:rPr>
              <w:t>评估要素</w:t>
            </w:r>
          </w:p>
        </w:tc>
        <w:tc>
          <w:tcPr>
            <w:tcW w:w="3124" w:type="dxa"/>
            <w:tcBorders>
              <w:top w:val="single" w:color="auto" w:sz="12" w:space="0"/>
              <w:left w:val="nil"/>
              <w:bottom w:val="single" w:color="auto" w:sz="4" w:space="0"/>
              <w:right w:val="nil"/>
            </w:tcBorders>
            <w:vAlign w:val="center"/>
          </w:tcPr>
          <w:p w14:paraId="1364F91A">
            <w:pPr>
              <w:pStyle w:val="27"/>
              <w:keepNext/>
              <w:snapToGrid w:val="0"/>
              <w:spacing w:line="240" w:lineRule="auto"/>
              <w:ind w:left="0" w:leftChars="0" w:right="0" w:rightChars="0" w:firstLine="0" w:firstLineChars="0"/>
              <w:jc w:val="center"/>
              <w:rPr>
                <w:b/>
              </w:rPr>
            </w:pPr>
            <w:r>
              <w:rPr>
                <w:b/>
              </w:rPr>
              <w:t>测量工具</w:t>
            </w:r>
          </w:p>
        </w:tc>
        <w:tc>
          <w:tcPr>
            <w:tcW w:w="1323" w:type="dxa"/>
            <w:tcBorders>
              <w:top w:val="single" w:color="auto" w:sz="12" w:space="0"/>
              <w:left w:val="nil"/>
              <w:bottom w:val="single" w:color="auto" w:sz="4" w:space="0"/>
              <w:right w:val="nil"/>
            </w:tcBorders>
            <w:vAlign w:val="center"/>
          </w:tcPr>
          <w:p w14:paraId="6D9EA13F">
            <w:pPr>
              <w:pStyle w:val="27"/>
              <w:keepNext/>
              <w:snapToGrid w:val="0"/>
              <w:spacing w:line="240" w:lineRule="auto"/>
              <w:ind w:left="0" w:leftChars="0" w:right="0" w:rightChars="0" w:firstLine="0" w:firstLineChars="0"/>
              <w:jc w:val="center"/>
              <w:rPr>
                <w:b/>
              </w:rPr>
            </w:pPr>
            <w:r>
              <w:rPr>
                <w:b/>
              </w:rPr>
              <w:t>权重建议</w:t>
            </w:r>
          </w:p>
        </w:tc>
      </w:tr>
      <w:tr w14:paraId="0224C014">
        <w:tblPrEx>
          <w:tblCellMar>
            <w:top w:w="0" w:type="dxa"/>
            <w:left w:w="108" w:type="dxa"/>
            <w:bottom w:w="0" w:type="dxa"/>
            <w:right w:w="108" w:type="dxa"/>
          </w:tblCellMar>
        </w:tblPrEx>
        <w:trPr>
          <w:trHeight w:val="0" w:hRule="atLeast"/>
          <w:jc w:val="center"/>
        </w:trPr>
        <w:tc>
          <w:tcPr>
            <w:tcW w:w="1805" w:type="dxa"/>
            <w:tcBorders>
              <w:top w:val="single" w:color="auto" w:sz="4" w:space="0"/>
              <w:left w:val="nil"/>
              <w:bottom w:val="nil"/>
              <w:right w:val="nil"/>
            </w:tcBorders>
            <w:vAlign w:val="center"/>
          </w:tcPr>
          <w:p w14:paraId="03157818">
            <w:pPr>
              <w:pStyle w:val="27"/>
              <w:keepNext/>
              <w:snapToGrid w:val="0"/>
              <w:spacing w:line="240" w:lineRule="auto"/>
              <w:ind w:left="0" w:leftChars="0" w:right="0" w:rightChars="0" w:firstLine="0" w:firstLineChars="0"/>
              <w:jc w:val="center"/>
            </w:pPr>
            <w:r>
              <w:rPr>
                <w:b/>
                <w:bCs/>
              </w:rPr>
              <w:t>价值观对齐</w:t>
            </w:r>
          </w:p>
        </w:tc>
        <w:tc>
          <w:tcPr>
            <w:tcW w:w="1668" w:type="dxa"/>
            <w:tcBorders>
              <w:top w:val="single" w:color="auto" w:sz="4" w:space="0"/>
              <w:left w:val="nil"/>
              <w:bottom w:val="nil"/>
              <w:right w:val="nil"/>
            </w:tcBorders>
            <w:vAlign w:val="center"/>
          </w:tcPr>
          <w:p w14:paraId="126F8339">
            <w:pPr>
              <w:pStyle w:val="27"/>
              <w:keepNext/>
              <w:snapToGrid w:val="0"/>
              <w:spacing w:line="240" w:lineRule="auto"/>
              <w:ind w:left="0" w:leftChars="0" w:right="0" w:rightChars="0" w:firstLine="0" w:firstLineChars="0"/>
              <w:jc w:val="center"/>
            </w:pPr>
            <w:r>
              <w:t>创业动机、风险偏好、长期愿景</w:t>
            </w:r>
          </w:p>
        </w:tc>
        <w:tc>
          <w:tcPr>
            <w:tcW w:w="3124" w:type="dxa"/>
            <w:tcBorders>
              <w:top w:val="single" w:color="auto" w:sz="4" w:space="0"/>
              <w:left w:val="nil"/>
              <w:bottom w:val="nil"/>
              <w:right w:val="nil"/>
            </w:tcBorders>
            <w:vAlign w:val="center"/>
          </w:tcPr>
          <w:p w14:paraId="62881451">
            <w:pPr>
              <w:pStyle w:val="27"/>
              <w:keepNext/>
              <w:snapToGrid w:val="0"/>
              <w:spacing w:line="240" w:lineRule="auto"/>
              <w:ind w:left="0" w:leftChars="0" w:right="0" w:rightChars="0" w:firstLine="0" w:firstLineChars="0"/>
              <w:jc w:val="left"/>
            </w:pPr>
            <w:r>
              <w:t>结构化访谈+情境判断测验</w:t>
            </w:r>
          </w:p>
        </w:tc>
        <w:tc>
          <w:tcPr>
            <w:tcW w:w="1323" w:type="dxa"/>
            <w:tcBorders>
              <w:top w:val="single" w:color="auto" w:sz="4" w:space="0"/>
              <w:left w:val="nil"/>
              <w:bottom w:val="nil"/>
              <w:right w:val="nil"/>
            </w:tcBorders>
            <w:vAlign w:val="center"/>
          </w:tcPr>
          <w:p w14:paraId="50EFB779">
            <w:pPr>
              <w:pStyle w:val="27"/>
              <w:keepNext/>
              <w:snapToGrid w:val="0"/>
              <w:spacing w:line="240" w:lineRule="auto"/>
              <w:ind w:left="0" w:leftChars="0" w:right="0" w:rightChars="0" w:firstLine="0" w:firstLineChars="0"/>
              <w:jc w:val="right"/>
            </w:pPr>
            <w:r>
              <w:t>30%</w:t>
            </w:r>
          </w:p>
        </w:tc>
      </w:tr>
      <w:tr w14:paraId="5267D5CA">
        <w:tblPrEx>
          <w:tblCellMar>
            <w:top w:w="0" w:type="dxa"/>
            <w:left w:w="108" w:type="dxa"/>
            <w:bottom w:w="0" w:type="dxa"/>
            <w:right w:w="108" w:type="dxa"/>
          </w:tblCellMar>
        </w:tblPrEx>
        <w:trPr>
          <w:trHeight w:val="0" w:hRule="atLeast"/>
          <w:jc w:val="center"/>
        </w:trPr>
        <w:tc>
          <w:tcPr>
            <w:tcW w:w="1805" w:type="dxa"/>
            <w:tcBorders>
              <w:top w:val="nil"/>
              <w:left w:val="nil"/>
              <w:bottom w:val="nil"/>
              <w:right w:val="nil"/>
            </w:tcBorders>
            <w:vAlign w:val="center"/>
          </w:tcPr>
          <w:p w14:paraId="0EA35D53">
            <w:pPr>
              <w:pStyle w:val="27"/>
              <w:keepNext/>
              <w:snapToGrid w:val="0"/>
              <w:spacing w:line="240" w:lineRule="auto"/>
              <w:ind w:left="0" w:leftChars="0" w:right="0" w:rightChars="0" w:firstLine="0" w:firstLineChars="0"/>
              <w:jc w:val="center"/>
            </w:pPr>
            <w:r>
              <w:rPr>
                <w:b/>
                <w:bCs/>
              </w:rPr>
              <w:t>能力互补性</w:t>
            </w:r>
          </w:p>
        </w:tc>
        <w:tc>
          <w:tcPr>
            <w:tcW w:w="1668" w:type="dxa"/>
            <w:tcBorders>
              <w:top w:val="nil"/>
              <w:left w:val="nil"/>
              <w:bottom w:val="nil"/>
              <w:right w:val="nil"/>
            </w:tcBorders>
            <w:vAlign w:val="center"/>
          </w:tcPr>
          <w:p w14:paraId="7E356A6A">
            <w:pPr>
              <w:pStyle w:val="27"/>
              <w:keepNext/>
              <w:snapToGrid w:val="0"/>
              <w:spacing w:line="240" w:lineRule="auto"/>
              <w:ind w:left="0" w:leftChars="0" w:right="0" w:rightChars="0" w:firstLine="0" w:firstLineChars="0"/>
              <w:jc w:val="center"/>
            </w:pPr>
            <w:r>
              <w:t>技术-商业-运营的T型结构匹配</w:t>
            </w:r>
          </w:p>
        </w:tc>
        <w:tc>
          <w:tcPr>
            <w:tcW w:w="3124" w:type="dxa"/>
            <w:tcBorders>
              <w:top w:val="nil"/>
              <w:left w:val="nil"/>
              <w:bottom w:val="nil"/>
              <w:right w:val="nil"/>
            </w:tcBorders>
            <w:vAlign w:val="center"/>
          </w:tcPr>
          <w:p w14:paraId="2D7298CE">
            <w:pPr>
              <w:pStyle w:val="27"/>
              <w:keepNext/>
              <w:snapToGrid w:val="0"/>
              <w:spacing w:line="240" w:lineRule="auto"/>
              <w:ind w:left="0" w:leftChars="0" w:right="0" w:rightChars="0" w:firstLine="0" w:firstLineChars="0"/>
              <w:jc w:val="left"/>
            </w:pPr>
            <w:r>
              <w:t>技能矩阵映射+过往绩效验证</w:t>
            </w:r>
          </w:p>
        </w:tc>
        <w:tc>
          <w:tcPr>
            <w:tcW w:w="1323" w:type="dxa"/>
            <w:tcBorders>
              <w:top w:val="nil"/>
              <w:left w:val="nil"/>
              <w:bottom w:val="nil"/>
              <w:right w:val="nil"/>
            </w:tcBorders>
            <w:vAlign w:val="center"/>
          </w:tcPr>
          <w:p w14:paraId="312AFA0F">
            <w:pPr>
              <w:pStyle w:val="27"/>
              <w:keepNext/>
              <w:snapToGrid w:val="0"/>
              <w:spacing w:line="240" w:lineRule="auto"/>
              <w:ind w:left="0" w:leftChars="0" w:right="0" w:rightChars="0" w:firstLine="0" w:firstLineChars="0"/>
              <w:jc w:val="right"/>
            </w:pPr>
            <w:r>
              <w:t>40%</w:t>
            </w:r>
          </w:p>
        </w:tc>
      </w:tr>
      <w:tr w14:paraId="4B465716">
        <w:tblPrEx>
          <w:tblCellMar>
            <w:top w:w="0" w:type="dxa"/>
            <w:left w:w="108" w:type="dxa"/>
            <w:bottom w:w="0" w:type="dxa"/>
            <w:right w:w="108" w:type="dxa"/>
          </w:tblCellMar>
        </w:tblPrEx>
        <w:trPr>
          <w:trHeight w:val="0" w:hRule="atLeast"/>
          <w:jc w:val="center"/>
        </w:trPr>
        <w:tc>
          <w:tcPr>
            <w:tcW w:w="1805" w:type="dxa"/>
            <w:tcBorders>
              <w:top w:val="nil"/>
              <w:left w:val="nil"/>
              <w:bottom w:val="nil"/>
              <w:right w:val="nil"/>
            </w:tcBorders>
            <w:vAlign w:val="center"/>
          </w:tcPr>
          <w:p w14:paraId="15016DB7">
            <w:pPr>
              <w:pStyle w:val="27"/>
              <w:keepNext/>
              <w:snapToGrid w:val="0"/>
              <w:spacing w:line="240" w:lineRule="auto"/>
              <w:ind w:left="0" w:leftChars="0" w:right="0" w:rightChars="0" w:firstLine="0" w:firstLineChars="0"/>
              <w:jc w:val="center"/>
            </w:pPr>
            <w:r>
              <w:rPr>
                <w:b/>
                <w:bCs/>
              </w:rPr>
              <w:t>承诺水平</w:t>
            </w:r>
          </w:p>
        </w:tc>
        <w:tc>
          <w:tcPr>
            <w:tcW w:w="1668" w:type="dxa"/>
            <w:tcBorders>
              <w:top w:val="nil"/>
              <w:left w:val="nil"/>
              <w:bottom w:val="nil"/>
              <w:right w:val="nil"/>
            </w:tcBorders>
            <w:vAlign w:val="center"/>
          </w:tcPr>
          <w:p w14:paraId="73FDF79D">
            <w:pPr>
              <w:pStyle w:val="27"/>
              <w:keepNext/>
              <w:snapToGrid w:val="0"/>
              <w:spacing w:line="240" w:lineRule="auto"/>
              <w:ind w:left="0" w:leftChars="0" w:right="0" w:rightChars="0" w:firstLine="0" w:firstLineChars="0"/>
              <w:jc w:val="center"/>
            </w:pPr>
            <w:r>
              <w:t>时间投入、机会成本、退出成本</w:t>
            </w:r>
          </w:p>
        </w:tc>
        <w:tc>
          <w:tcPr>
            <w:tcW w:w="3124" w:type="dxa"/>
            <w:tcBorders>
              <w:top w:val="nil"/>
              <w:left w:val="nil"/>
              <w:bottom w:val="nil"/>
              <w:right w:val="nil"/>
            </w:tcBorders>
            <w:vAlign w:val="center"/>
          </w:tcPr>
          <w:p w14:paraId="04A10011">
            <w:pPr>
              <w:pStyle w:val="27"/>
              <w:keepNext/>
              <w:snapToGrid w:val="0"/>
              <w:spacing w:line="240" w:lineRule="auto"/>
              <w:ind w:left="0" w:leftChars="0" w:right="0" w:rightChars="0" w:firstLine="0" w:firstLineChars="0"/>
              <w:jc w:val="left"/>
            </w:pPr>
            <w:r>
              <w:t>承诺声明书+背景调查</w:t>
            </w:r>
          </w:p>
        </w:tc>
        <w:tc>
          <w:tcPr>
            <w:tcW w:w="1323" w:type="dxa"/>
            <w:tcBorders>
              <w:top w:val="nil"/>
              <w:left w:val="nil"/>
              <w:bottom w:val="nil"/>
              <w:right w:val="nil"/>
            </w:tcBorders>
            <w:vAlign w:val="center"/>
          </w:tcPr>
          <w:p w14:paraId="11FEE429">
            <w:pPr>
              <w:pStyle w:val="27"/>
              <w:keepNext/>
              <w:snapToGrid w:val="0"/>
              <w:spacing w:line="240" w:lineRule="auto"/>
              <w:ind w:left="0" w:leftChars="0" w:right="0" w:rightChars="0" w:firstLine="0" w:firstLineChars="0"/>
              <w:jc w:val="right"/>
            </w:pPr>
            <w:r>
              <w:t>20%</w:t>
            </w:r>
          </w:p>
        </w:tc>
      </w:tr>
      <w:tr w14:paraId="5960B359">
        <w:tblPrEx>
          <w:tblCellMar>
            <w:top w:w="0" w:type="dxa"/>
            <w:left w:w="108" w:type="dxa"/>
            <w:bottom w:w="0" w:type="dxa"/>
            <w:right w:w="108" w:type="dxa"/>
          </w:tblCellMar>
        </w:tblPrEx>
        <w:trPr>
          <w:trHeight w:val="0" w:hRule="atLeast"/>
          <w:jc w:val="center"/>
        </w:trPr>
        <w:tc>
          <w:tcPr>
            <w:tcW w:w="1805" w:type="dxa"/>
            <w:tcBorders>
              <w:top w:val="nil"/>
              <w:left w:val="nil"/>
              <w:bottom w:val="single" w:color="auto" w:sz="12" w:space="0"/>
              <w:right w:val="nil"/>
            </w:tcBorders>
            <w:vAlign w:val="center"/>
          </w:tcPr>
          <w:p w14:paraId="333B3F3B">
            <w:pPr>
              <w:pStyle w:val="27"/>
              <w:keepNext/>
              <w:snapToGrid w:val="0"/>
              <w:spacing w:line="240" w:lineRule="auto"/>
              <w:ind w:left="0" w:leftChars="0" w:right="0" w:rightChars="0" w:firstLine="0" w:firstLineChars="0"/>
              <w:jc w:val="center"/>
            </w:pPr>
            <w:r>
              <w:rPr>
                <w:b/>
                <w:bCs/>
              </w:rPr>
              <w:t>冲突处理模式</w:t>
            </w:r>
          </w:p>
        </w:tc>
        <w:tc>
          <w:tcPr>
            <w:tcW w:w="1668" w:type="dxa"/>
            <w:tcBorders>
              <w:top w:val="nil"/>
              <w:left w:val="nil"/>
              <w:bottom w:val="single" w:color="auto" w:sz="12" w:space="0"/>
              <w:right w:val="nil"/>
            </w:tcBorders>
            <w:vAlign w:val="center"/>
          </w:tcPr>
          <w:p w14:paraId="3E7FAFFF">
            <w:pPr>
              <w:pStyle w:val="27"/>
              <w:keepNext/>
              <w:snapToGrid w:val="0"/>
              <w:spacing w:line="240" w:lineRule="auto"/>
              <w:ind w:left="0" w:leftChars="0" w:right="0" w:rightChars="0" w:firstLine="0" w:firstLineChars="0"/>
              <w:jc w:val="center"/>
            </w:pPr>
            <w:r>
              <w:t>认知风格、沟通模式、压力反应</w:t>
            </w:r>
          </w:p>
        </w:tc>
        <w:tc>
          <w:tcPr>
            <w:tcW w:w="3124" w:type="dxa"/>
            <w:tcBorders>
              <w:top w:val="nil"/>
              <w:left w:val="nil"/>
              <w:bottom w:val="single" w:color="auto" w:sz="12" w:space="0"/>
              <w:right w:val="nil"/>
            </w:tcBorders>
            <w:vAlign w:val="center"/>
          </w:tcPr>
          <w:p w14:paraId="48A0AF24">
            <w:pPr>
              <w:pStyle w:val="27"/>
              <w:keepNext/>
              <w:snapToGrid w:val="0"/>
              <w:spacing w:line="240" w:lineRule="auto"/>
              <w:ind w:left="0" w:leftChars="0" w:right="0" w:rightChars="0" w:firstLine="0" w:firstLineChars="0"/>
              <w:jc w:val="left"/>
            </w:pPr>
            <w:r>
              <w:t>Thomas-Kilmann冲突模式评估</w:t>
            </w:r>
          </w:p>
        </w:tc>
        <w:tc>
          <w:tcPr>
            <w:tcW w:w="1323" w:type="dxa"/>
            <w:tcBorders>
              <w:top w:val="nil"/>
              <w:left w:val="nil"/>
              <w:bottom w:val="single" w:color="auto" w:sz="12" w:space="0"/>
              <w:right w:val="nil"/>
            </w:tcBorders>
            <w:vAlign w:val="center"/>
          </w:tcPr>
          <w:p w14:paraId="1061B6AC">
            <w:pPr>
              <w:pStyle w:val="27"/>
              <w:keepNext/>
              <w:snapToGrid w:val="0"/>
              <w:spacing w:line="240" w:lineRule="auto"/>
              <w:ind w:left="0" w:leftChars="0" w:right="0" w:rightChars="0" w:firstLine="0" w:firstLineChars="0"/>
              <w:jc w:val="right"/>
            </w:pPr>
            <w:r>
              <w:t>10%</w:t>
            </w:r>
          </w:p>
        </w:tc>
      </w:tr>
    </w:tbl>
    <w:p w14:paraId="1D6853A4">
      <w:pPr>
        <w:pStyle w:val="3"/>
      </w:pPr>
      <w:r>
        <w:rPr>
          <w:b/>
          <w:bCs/>
        </w:rPr>
        <w:t>[需方法学家审核：关于四维度权重的合理性]</w:t>
      </w:r>
      <w:r>
        <w:t xml:space="preserve"> 当前权重分配基于满意解顾问团队的经验判断，</w:t>
      </w:r>
      <w:r>
        <w:rPr>
          <w:b/>
          <w:bCs/>
        </w:rPr>
        <w:t>未经过统计验证</w:t>
      </w:r>
      <w:r>
        <w:t>。建议在未来研究中采用</w:t>
      </w:r>
      <w:r>
        <w:rPr>
          <w:b/>
          <w:bCs/>
        </w:rPr>
        <w:t>德尔菲法（Delphi Method）</w:t>
      </w:r>
      <w:r>
        <w:t>邀请10-15位硬科技投资专家进行多轮权重校准，或使用</w:t>
      </w:r>
      <w:r>
        <w:rPr>
          <w:b/>
          <w:bCs/>
        </w:rPr>
        <w:t>层次分析法（AHP）</w:t>
      </w:r>
      <w:r>
        <w:t>基于实际创业失败案例进行逆向验证。</w:t>
      </w:r>
    </w:p>
    <w:bookmarkEnd w:id="29"/>
    <w:p w14:paraId="6C1A5E35">
      <w:pPr>
        <w:pStyle w:val="5"/>
      </w:pPr>
      <w:bookmarkStart w:id="30" w:name="创业决策情境模拟工具"/>
      <w:r>
        <w:t>7.3 创业决策情境模拟工具</w:t>
      </w:r>
    </w:p>
    <w:p w14:paraId="28EF19AF">
      <w:pPr>
        <w:pStyle w:val="26"/>
      </w:pPr>
      <w:r>
        <w:rPr>
          <w:b/>
          <w:bCs/>
        </w:rPr>
        <w:t>[提案方自述]</w:t>
      </w:r>
      <w:r>
        <w:t xml:space="preserve"> 该工具采用</w:t>
      </w:r>
      <w:r>
        <w:rPr>
          <w:b/>
          <w:bCs/>
        </w:rPr>
        <w:t>情境规划（Scenario Planning）</w:t>
      </w:r>
      <w:r>
        <w:t>方法，针对硬科技创业的高频决策场景设计模拟剧本：</w:t>
      </w:r>
    </w:p>
    <w:p w14:paraId="2F148B42">
      <w:pPr>
        <w:pStyle w:val="27"/>
        <w:numPr>
          <w:ilvl w:val="0"/>
          <w:numId w:val="5"/>
        </w:numPr>
      </w:pPr>
      <w:r>
        <w:rPr>
          <w:b/>
          <w:bCs/>
        </w:rPr>
        <w:t>剧本A：融资条款谈判</w:t>
      </w:r>
      <w:r>
        <w:t>：模拟投资人提出对赌条款、优先清算权、反稀释条款等复杂情境，训练创始人的条款分析与谈判策略；</w:t>
      </w:r>
    </w:p>
    <w:p w14:paraId="30914D6D">
      <w:pPr>
        <w:pStyle w:val="27"/>
        <w:numPr>
          <w:ilvl w:val="0"/>
          <w:numId w:val="5"/>
        </w:numPr>
      </w:pPr>
      <w:r>
        <w:rPr>
          <w:b/>
          <w:bCs/>
        </w:rPr>
        <w:t>剧本B：战略转折点决策</w:t>
      </w:r>
      <w:r>
        <w:t>：模拟技术路线突变（如大模型技术颠覆原有AI硬件方案）时的资源重新配置决策；</w:t>
      </w:r>
    </w:p>
    <w:p w14:paraId="7D1A4181">
      <w:pPr>
        <w:pStyle w:val="27"/>
        <w:numPr>
          <w:ilvl w:val="0"/>
          <w:numId w:val="5"/>
        </w:numPr>
      </w:pPr>
      <w:r>
        <w:rPr>
          <w:b/>
          <w:bCs/>
        </w:rPr>
        <w:t>剧本C：合伙人冲突调解</w:t>
      </w:r>
      <w:r>
        <w:t>：模拟联合创始人因股权分配或战略分歧产生的冲突，训练非暴力沟通与利益重构技巧。</w:t>
      </w:r>
    </w:p>
    <w:p w14:paraId="7C3F1F46">
      <w:pPr>
        <w:pStyle w:val="26"/>
      </w:pPr>
      <w:r>
        <w:rPr>
          <w:b/>
          <w:bCs/>
        </w:rPr>
        <w:t>[模拟数据警告]</w:t>
      </w:r>
      <w:r>
        <w:t xml:space="preserve"> 当前工具库包含</w:t>
      </w:r>
      <w:r>
        <w:rPr>
          <w:b/>
          <w:bCs/>
        </w:rPr>
        <w:t>3个主剧本+12个变体情境</w:t>
      </w:r>
      <w:r>
        <w:t>，均为满意解研究所基于公开案例改编（如参考云鲸智能早期股权纠纷、希迪智驾战略转型等）。但</w:t>
      </w:r>
      <w:r>
        <w:rPr>
          <w:b/>
          <w:bCs/>
        </w:rPr>
        <w:t>未经过心理测量学的信效度检验</w:t>
      </w:r>
      <w:r>
        <w:t>，其预测效度（是否能真实预测创业团队在实际冲突中的表现）尚属未知。</w:t>
      </w:r>
    </w:p>
    <w:p w14:paraId="37C12E1B">
      <w:r>
        <w:pict>
          <v:rect id="_x0000_i1038" o:spt="1" style="height:1.5pt;width:0pt;" coordsize="21600,21600" o:hr="t" o:hrstd="t" o:hralign="center">
            <v:path/>
            <v:fill focussize="0,0"/>
            <v:stroke/>
            <v:imagedata o:title=""/>
            <o:lock v:ext="edit"/>
            <w10:wrap type="none"/>
            <w10:anchorlock/>
          </v:rect>
        </w:pict>
      </w:r>
    </w:p>
    <w:bookmarkEnd w:id="27"/>
    <w:bookmarkEnd w:id="30"/>
    <w:p w14:paraId="0EA55DC5">
      <w:pPr>
        <w:pStyle w:val="4"/>
      </w:pPr>
      <w:bookmarkStart w:id="31" w:name="第八部分协同机制的经济学分析"/>
      <w:r>
        <w:t>第八部分：协同机制的经济学分析</w:t>
      </w:r>
    </w:p>
    <w:p w14:paraId="68B78E57">
      <w:pPr>
        <w:pStyle w:val="5"/>
      </w:pPr>
      <w:bookmarkStart w:id="32" w:name="利益分配机制的博弈论模型"/>
      <w:r>
        <w:t>8.1 利益分配机制的博弈论模型</w:t>
      </w:r>
    </w:p>
    <w:p w14:paraId="5D424AD7">
      <w:pPr>
        <w:pStyle w:val="26"/>
      </w:pPr>
      <w:r>
        <w:rPr>
          <w:b/>
          <w:bCs/>
        </w:rPr>
        <w:t>[提案方自述/模拟数据]</w:t>
      </w:r>
      <w:r>
        <w:t xml:space="preserve"> 基于合作博弈（Cooperative Game Theory）的Shapley值概念，双方利益分配应反映各自的边际贡献。建议采用</w:t>
      </w:r>
      <w:r>
        <w:rPr>
          <w:b/>
          <w:bCs/>
        </w:rPr>
        <w:t>分层分润机制</w:t>
      </w:r>
      <w:r>
        <w:t>：</w:t>
      </w:r>
    </w:p>
    <w:p w14:paraId="39067B7E">
      <w:pPr>
        <w:pStyle w:val="3"/>
      </w:pPr>
      <w:r>
        <w:rPr>
          <w:b/>
          <w:bCs/>
        </w:rPr>
        <w:t>第一层：基础引流佣金</w:t>
      </w:r>
      <w:r>
        <w:t xml:space="preserve"> - XbotPark向满意解推荐客户并成功签约，收取首年服务费的15-20%作为佣金； - </w:t>
      </w:r>
      <w:r>
        <w:rPr>
          <w:b/>
          <w:bCs/>
        </w:rPr>
        <w:t>[模拟数据]</w:t>
      </w:r>
      <w:r>
        <w:t xml:space="preserve"> 假设满意解年度顾问服务费标准为30万元/年，则XbotPark单客户佣金为4.5-6万元； - </w:t>
      </w:r>
      <w:r>
        <w:rPr>
          <w:b/>
          <w:bCs/>
        </w:rPr>
        <w:t>[模拟数据]</w:t>
      </w:r>
      <w:r>
        <w:t xml:space="preserve"> 假设XbotPark每年推荐20家企业，该层收入为90-120万元。</w:t>
      </w:r>
    </w:p>
    <w:p w14:paraId="63D5566F">
      <w:pPr>
        <w:pStyle w:val="3"/>
      </w:pPr>
      <w:r>
        <w:rPr>
          <w:b/>
          <w:bCs/>
        </w:rPr>
        <w:t>第二层：联合服务分成</w:t>
      </w:r>
      <w:r>
        <w:t xml:space="preserve"> - 对于双方共同交付的服务项目（如联合举办”硬件创业决策峰会”），收入按贡献度分配； - </w:t>
      </w:r>
      <w:r>
        <w:rPr>
          <w:b/>
          <w:bCs/>
        </w:rPr>
        <w:t>[模拟数据]</w:t>
      </w:r>
      <w:r>
        <w:t xml:space="preserve"> 建议比例：若满意解负责内容设计（60%贡献），XbotPark负责场地与嘉宾（40%贡献），则分成比例为6:4； - </w:t>
      </w:r>
      <w:r>
        <w:rPr>
          <w:b/>
          <w:bCs/>
        </w:rPr>
        <w:t>[需人工验证：获取XbotPark过往联合活动合作条款]</w:t>
      </w:r>
      <w:r>
        <w:t xml:space="preserve"> 实际分成比例需根据XbotPark历史合作惯例调整。</w:t>
      </w:r>
    </w:p>
    <w:p w14:paraId="23E996CA">
      <w:pPr>
        <w:pStyle w:val="3"/>
      </w:pPr>
      <w:r>
        <w:rPr>
          <w:b/>
          <w:bCs/>
        </w:rPr>
        <w:t>第三层：长期价值共享（ carried interest-like机制）</w:t>
      </w:r>
      <w:r>
        <w:t xml:space="preserve"> - 被服务企业后续完成B/C轮融资或并购时，满意解作为早期顾问有权获得融资顾问费（通常为融资额的0.5-1%）的10-15%分成； - </w:t>
      </w:r>
      <w:r>
        <w:rPr>
          <w:b/>
          <w:bCs/>
        </w:rPr>
        <w:t>[模拟数据]</w:t>
      </w:r>
      <w:r>
        <w:t xml:space="preserve"> 假设某企业A轮后估值1亿元，B轮融资5000万元，满意解获得融资顾问费25万元（按0.5%计算），则XbotPark获得2.5-3.75万元； - </w:t>
      </w:r>
      <w:r>
        <w:rPr>
          <w:b/>
          <w:bCs/>
        </w:rPr>
        <w:t>[模拟数据警告]</w:t>
      </w:r>
      <w:r>
        <w:t xml:space="preserve"> 该机制存在</w:t>
      </w:r>
      <w:r>
        <w:rPr>
          <w:b/>
          <w:bCs/>
        </w:rPr>
        <w:t>道德风险（Moral Hazard）</w:t>
      </w:r>
      <w:r>
        <w:t>：满意解可能有动机推动企业过早融资以触发佣金，而非等待最佳时机。</w:t>
      </w:r>
    </w:p>
    <w:p w14:paraId="3089A7DF">
      <w:pPr>
        <w:pStyle w:val="3"/>
      </w:pPr>
      <w:r>
        <w:rPr>
          <w:b/>
          <w:bCs/>
        </w:rPr>
        <w:t>High Water Mark机制</w:t>
      </w:r>
      <w:r>
        <w:t xml:space="preserve"> - </w:t>
      </w:r>
      <w:r>
        <w:rPr>
          <w:b/>
          <w:bCs/>
        </w:rPr>
        <w:t>[提案方自述]</w:t>
      </w:r>
      <w:r>
        <w:t xml:space="preserve"> 为防止重复分润，设置”高水位线”：若某客户在第一年支付30万元，第二年续约支付20万元，则XbotPark仅在第二年对新增的20万元收取佣金，而非对总额50万元重复收取。</w:t>
      </w:r>
    </w:p>
    <w:bookmarkEnd w:id="32"/>
    <w:p w14:paraId="4EC793FB">
      <w:pPr>
        <w:pStyle w:val="5"/>
      </w:pPr>
      <w:bookmarkStart w:id="33" w:name="激励对齐的契约设计"/>
      <w:r>
        <w:t>8.2 激励对齐的契约设计</w:t>
      </w:r>
    </w:p>
    <w:p w14:paraId="460C4ED4">
      <w:pPr>
        <w:pStyle w:val="26"/>
      </w:pPr>
      <w:r>
        <w:rPr>
          <w:b/>
          <w:bCs/>
        </w:rPr>
        <w:t>[提案方自述]</w:t>
      </w:r>
      <w:r>
        <w:t xml:space="preserve"> 建议采用</w:t>
      </w:r>
      <w:r>
        <w:rPr>
          <w:b/>
          <w:bCs/>
        </w:rPr>
        <w:t>不完全契约理论（Incomplete Contract Theory）</w:t>
      </w:r>
      <w:r>
        <w:t>框架，预见未来可能出现的</w:t>
      </w:r>
      <w:r>
        <w:rPr>
          <w:b/>
          <w:bCs/>
        </w:rPr>
        <w:t>敲竹杠（Hold-up）</w:t>
      </w:r>
      <w:r>
        <w:t>问题：</w:t>
      </w:r>
    </w:p>
    <w:p w14:paraId="46DA12D9">
      <w:pPr>
        <w:pStyle w:val="27"/>
        <w:numPr>
          <w:ilvl w:val="0"/>
          <w:numId w:val="6"/>
        </w:numPr>
      </w:pPr>
      <w:r>
        <w:rPr>
          <w:b/>
          <w:bCs/>
        </w:rPr>
        <w:t>专用性投资保护</w:t>
      </w:r>
      <w:r>
        <w:t>：满意解需投入大量资源开发针对XbotPark企业的专用工具（如基于XbotPark案例库的训练数据），应通过</w:t>
      </w:r>
      <w:r>
        <w:rPr>
          <w:b/>
          <w:bCs/>
        </w:rPr>
        <w:t>长期合作协议（3年起）</w:t>
      </w:r>
      <w:r>
        <w:t>保护投资回收期；</w:t>
      </w:r>
    </w:p>
    <w:p w14:paraId="6373EABE">
      <w:pPr>
        <w:pStyle w:val="27"/>
        <w:numPr>
          <w:ilvl w:val="0"/>
          <w:numId w:val="6"/>
        </w:numPr>
      </w:pPr>
      <w:r>
        <w:rPr>
          <w:b/>
          <w:bCs/>
        </w:rPr>
        <w:t>剩余控制权分配</w:t>
      </w:r>
      <w:r>
        <w:t>：对于合作过程中产生的新知识产权（如联合开发的决策评估算法），建议采用</w:t>
      </w:r>
      <w:r>
        <w:rPr>
          <w:b/>
          <w:bCs/>
        </w:rPr>
        <w:t>期权机制（Option Mechanism）</w:t>
      </w:r>
      <w:r>
        <w:t>——初始由满意解持有，若XbotPark投入额外资源进行商业化推广，可按预先约定的价格获得部分股权。</w:t>
      </w:r>
    </w:p>
    <w:p w14:paraId="6E3DF1C8">
      <w:r>
        <w:pict>
          <v:rect id="_x0000_i1039" o:spt="1" style="height:1.5pt;width:0pt;" coordsize="21600,21600" o:hr="t" o:hrstd="t" o:hralign="center">
            <v:path/>
            <v:fill focussize="0,0"/>
            <v:stroke/>
            <v:imagedata o:title=""/>
            <o:lock v:ext="edit"/>
            <w10:wrap type="none"/>
            <w10:anchorlock/>
          </v:rect>
        </w:pict>
      </w:r>
    </w:p>
    <w:bookmarkEnd w:id="31"/>
    <w:bookmarkEnd w:id="33"/>
    <w:p w14:paraId="43E5119E">
      <w:pPr>
        <w:pStyle w:val="4"/>
      </w:pPr>
      <w:bookmarkStart w:id="34" w:name="第九部分红队审查red-team-review三位虚拟专家的批评与回应"/>
      <w:r>
        <w:t>第九部分：红队审查（Red Team Review）——三位虚拟专家的批评与回应</w:t>
      </w:r>
    </w:p>
    <w:p w14:paraId="7946D549">
      <w:pPr>
        <w:pStyle w:val="5"/>
      </w:pPr>
      <w:bookmarkStart w:id="35" w:name="专家a创业生态学学者来自斯坦福商学院"/>
      <w:r>
        <w:t>9.1 专家A：创业生态学学者（来自斯坦福商学院）</w:t>
      </w:r>
    </w:p>
    <w:p w14:paraId="71998746">
      <w:pPr>
        <w:pStyle w:val="26"/>
      </w:pPr>
      <w:r>
        <w:rPr>
          <w:b/>
          <w:bCs/>
        </w:rPr>
        <w:t>批评意见</w:t>
      </w:r>
      <w:r>
        <w:t>： “该研究犯了</w:t>
      </w:r>
      <w:r>
        <w:rPr>
          <w:b/>
          <w:bCs/>
        </w:rPr>
        <w:t>生态位谬误（Niche Fallacy）</w:t>
      </w:r>
      <w:r>
        <w:t>。XbotPark体系的成功恰恰依赖于其独特的’硬科技供应链嵌入’能力，而满意解试图提供的’决策软服务’可能破坏这种生态平衡。李泽湘体系的核心竞争力在于’五分钟供应链响应’和’技术导师的深度介入’，引入外部商业顾问可能导致：</w:t>
      </w:r>
    </w:p>
    <w:p w14:paraId="4178DA65">
      <w:pPr>
        <w:pStyle w:val="27"/>
        <w:numPr>
          <w:ilvl w:val="0"/>
          <w:numId w:val="7"/>
        </w:numPr>
      </w:pPr>
      <w:r>
        <w:rPr>
          <w:b/>
          <w:bCs/>
        </w:rPr>
        <w:t>信号干扰</w:t>
      </w:r>
      <w:r>
        <w:t>：创业者可能将满意解的商业建议与李泽湘的技术建议混淆，导致决策混乱；</w:t>
      </w:r>
    </w:p>
    <w:p w14:paraId="66340DE3">
      <w:pPr>
        <w:pStyle w:val="27"/>
        <w:numPr>
          <w:ilvl w:val="0"/>
          <w:numId w:val="7"/>
        </w:numPr>
      </w:pPr>
      <w:r>
        <w:rPr>
          <w:b/>
          <w:bCs/>
        </w:rPr>
        <w:t>责任分散</w:t>
      </w:r>
      <w:r>
        <w:t>：当决策失败时，创始人可能将责任归咎于’顾问冲突’而非自身判断；</w:t>
      </w:r>
    </w:p>
    <w:p w14:paraId="0A98AA87">
      <w:pPr>
        <w:pStyle w:val="27"/>
        <w:numPr>
          <w:ilvl w:val="0"/>
          <w:numId w:val="7"/>
        </w:numPr>
      </w:pPr>
      <w:r>
        <w:rPr>
          <w:b/>
          <w:bCs/>
        </w:rPr>
        <w:t>文化稀释</w:t>
      </w:r>
      <w:r>
        <w:t>：XbotPark的’工程师文化’可能因过度商业而被侵蚀。”</w:t>
      </w:r>
    </w:p>
    <w:p w14:paraId="7A4082E2">
      <w:pPr>
        <w:pStyle w:val="26"/>
      </w:pPr>
      <w:r>
        <w:rPr>
          <w:b/>
          <w:bCs/>
        </w:rPr>
        <w:t>蓝军回应</w:t>
      </w:r>
      <w:r>
        <w:t>： 该批评触及了</w:t>
      </w:r>
      <w:r>
        <w:rPr>
          <w:b/>
          <w:bCs/>
        </w:rPr>
        <w:t>组织边界（Organizational Boundary）</w:t>
      </w:r>
      <w:r>
        <w:t>的核心问题。我们承认存在文化冲突风险，但提出</w:t>
      </w:r>
      <w:r>
        <w:rPr>
          <w:b/>
          <w:bCs/>
        </w:rPr>
        <w:t>结构化解耦（Structural Decoupling）</w:t>
      </w:r>
      <w:r>
        <w:t>方案：</w:t>
      </w:r>
    </w:p>
    <w:p w14:paraId="6139071F">
      <w:pPr>
        <w:pStyle w:val="27"/>
        <w:numPr>
          <w:ilvl w:val="0"/>
          <w:numId w:val="5"/>
        </w:numPr>
      </w:pPr>
      <w:r>
        <w:rPr>
          <w:b/>
          <w:bCs/>
        </w:rPr>
        <w:t>时间解耦</w:t>
      </w:r>
      <w:r>
        <w:t>：满意解服务仅在XbotPark的”毕业后阶段”（A轮后）介入，而非早期技术孵化期，避免信号干扰；</w:t>
      </w:r>
    </w:p>
    <w:p w14:paraId="5FF6ABF8">
      <w:pPr>
        <w:pStyle w:val="27"/>
        <w:numPr>
          <w:ilvl w:val="0"/>
          <w:numId w:val="5"/>
        </w:numPr>
      </w:pPr>
      <w:r>
        <w:rPr>
          <w:b/>
          <w:bCs/>
        </w:rPr>
        <w:t>角色解耦</w:t>
      </w:r>
      <w:r>
        <w:t>：明确满意解为”外部独立顾问”，所有建议通过创始人自主决策采纳，不进入XbotPark官方导师体系；</w:t>
      </w:r>
    </w:p>
    <w:p w14:paraId="75EFE512">
      <w:pPr>
        <w:pStyle w:val="27"/>
        <w:numPr>
          <w:ilvl w:val="0"/>
          <w:numId w:val="5"/>
        </w:numPr>
      </w:pPr>
      <w:r>
        <w:rPr>
          <w:b/>
          <w:bCs/>
        </w:rPr>
        <w:t>[需人工验证：获取XbotPark企业文化手册]</w:t>
      </w:r>
      <w:r>
        <w:t xml:space="preserve"> 建议进行文化兼容性测试，若XbotPark内部调查显示超过30%的导师认为商业顾问有害，则终止合作。</w:t>
      </w:r>
    </w:p>
    <w:bookmarkEnd w:id="35"/>
    <w:p w14:paraId="339F3B58">
      <w:pPr>
        <w:pStyle w:val="5"/>
      </w:pPr>
      <w:bookmarkStart w:id="36" w:name="专家b创业投资实务专家来自红杉资本中国"/>
      <w:r>
        <w:t>9.2 专家B：创业投资实务专家（来自红杉资本中国）</w:t>
      </w:r>
    </w:p>
    <w:p w14:paraId="1ACDFA08">
      <w:pPr>
        <w:pStyle w:val="26"/>
      </w:pPr>
      <w:r>
        <w:rPr>
          <w:b/>
          <w:bCs/>
        </w:rPr>
        <w:t>批评意见</w:t>
      </w:r>
      <w:r>
        <w:t>： “</w:t>
      </w:r>
      <w:r>
        <w:rPr>
          <w:b/>
          <w:bCs/>
        </w:rPr>
        <w:t>方法论商品化陷阱（Methodology Commoditization Trap）</w:t>
      </w:r>
      <w:r>
        <w:t>。满意解声称的’合伙人匹配度评估’等工具，在创投界已被多次尝试（如创业团队心理测评、联合创始人兼容性测试），但均未形成可规模化的商业模式。原因包括：</w:t>
      </w:r>
    </w:p>
    <w:p w14:paraId="50F6DCAC">
      <w:pPr>
        <w:pStyle w:val="27"/>
        <w:numPr>
          <w:ilvl w:val="0"/>
          <w:numId w:val="8"/>
        </w:numPr>
      </w:pPr>
      <w:r>
        <w:rPr>
          <w:b/>
          <w:bCs/>
        </w:rPr>
        <w:t>高度情境依赖</w:t>
      </w:r>
      <w:r>
        <w:t>：每个创业团队的冲突都是独特的，标准化工具难以捕捉动态关系；</w:t>
      </w:r>
    </w:p>
    <w:p w14:paraId="716076A6">
      <w:pPr>
        <w:pStyle w:val="27"/>
        <w:numPr>
          <w:ilvl w:val="0"/>
          <w:numId w:val="8"/>
        </w:numPr>
      </w:pPr>
      <w:r>
        <w:rPr>
          <w:b/>
          <w:bCs/>
        </w:rPr>
        <w:t>反身性问题</w:t>
      </w:r>
      <w:r>
        <w:t>：一旦创始人知道正在被评估，会改变行为模式（霍桑效应），导致评估失真；</w:t>
      </w:r>
    </w:p>
    <w:p w14:paraId="0723F1F4">
      <w:pPr>
        <w:pStyle w:val="27"/>
        <w:numPr>
          <w:ilvl w:val="0"/>
          <w:numId w:val="8"/>
        </w:numPr>
      </w:pPr>
      <w:r>
        <w:rPr>
          <w:b/>
          <w:bCs/>
        </w:rPr>
        <w:t>责任规避</w:t>
      </w:r>
      <w:r>
        <w:t>：创始人可能将工具结果作为’甩锅’依据（‘算法说我们不适合，所以我要退出’），反而加速团队解体。”</w:t>
      </w:r>
    </w:p>
    <w:p w14:paraId="4F59C670">
      <w:pPr>
        <w:pStyle w:val="26"/>
      </w:pPr>
      <w:r>
        <w:rPr>
          <w:b/>
          <w:bCs/>
        </w:rPr>
        <w:t>蓝军回应</w:t>
      </w:r>
      <w:r>
        <w:t>： 承认</w:t>
      </w:r>
      <w:r>
        <w:rPr>
          <w:b/>
          <w:bCs/>
        </w:rPr>
        <w:t>反身性（Reflexivity）</w:t>
      </w:r>
      <w:r>
        <w:t>是社会科学中的固有问题。我们的应对策略是</w:t>
      </w:r>
      <w:r>
        <w:rPr>
          <w:b/>
          <w:bCs/>
        </w:rPr>
        <w:t>工具谦逊（Tool Humility）</w:t>
      </w:r>
      <w:r>
        <w:t>：</w:t>
      </w:r>
    </w:p>
    <w:p w14:paraId="35CB124F">
      <w:pPr>
        <w:pStyle w:val="27"/>
        <w:numPr>
          <w:ilvl w:val="0"/>
          <w:numId w:val="5"/>
        </w:numPr>
      </w:pPr>
      <w:r>
        <w:rPr>
          <w:b/>
          <w:bCs/>
        </w:rPr>
        <w:t>辅助性原则（Subsidiarity Principle）</w:t>
      </w:r>
      <w:r>
        <w:t>：工具仅提供结构化对话框架，最终决策权完全归属创始人，明确声明”工具结果仅供参考，不具约束力”；</w:t>
      </w:r>
    </w:p>
    <w:p w14:paraId="358D3B85">
      <w:pPr>
        <w:pStyle w:val="27"/>
        <w:numPr>
          <w:ilvl w:val="0"/>
          <w:numId w:val="5"/>
        </w:numPr>
      </w:pPr>
      <w:r>
        <w:rPr>
          <w:b/>
          <w:bCs/>
        </w:rPr>
        <w:t>[模拟数据警告]</w:t>
      </w:r>
      <w:r>
        <w:t xml:space="preserve"> 试点阶段将记录”工具建议采纳率”与”实际团队稳定性”的相关性，若发现工具建议被过度依赖（采纳率&gt;80%且失败率未下降），则调整工具设计，增加不确定性提示；</w:t>
      </w:r>
    </w:p>
    <w:p w14:paraId="77F2275A">
      <w:pPr>
        <w:pStyle w:val="27"/>
        <w:numPr>
          <w:ilvl w:val="0"/>
          <w:numId w:val="5"/>
        </w:numPr>
      </w:pPr>
      <w:r>
        <w:rPr>
          <w:b/>
          <w:bCs/>
        </w:rPr>
        <w:t>定性主导</w:t>
      </w:r>
      <w:r>
        <w:t>：采用”评估+深度辅导”混合模式，而非纯算法输出，保留人的判断在决策闭环中。</w:t>
      </w:r>
    </w:p>
    <w:bookmarkEnd w:id="36"/>
    <w:p w14:paraId="5C8802B8">
      <w:pPr>
        <w:pStyle w:val="5"/>
      </w:pPr>
      <w:bookmarkStart w:id="37" w:name="专家c技术哲学与ai伦理学家来自牛津大学"/>
      <w:r>
        <w:t>9.3 专家C：技术哲学与AI伦理学家（来自牛津大学）</w:t>
      </w:r>
    </w:p>
    <w:p w14:paraId="47C3BE5E">
      <w:pPr>
        <w:pStyle w:val="26"/>
      </w:pPr>
      <w:r>
        <w:rPr>
          <w:b/>
          <w:bCs/>
        </w:rPr>
        <w:t>批评意见</w:t>
      </w:r>
      <w:r>
        <w:t>： “</w:t>
      </w:r>
      <w:r>
        <w:rPr>
          <w:b/>
          <w:bCs/>
        </w:rPr>
        <w:t>数据殖民主义（Data Colonialism）风险</w:t>
      </w:r>
      <w:r>
        <w:t>。满意解试图获取XbotPark入驻企业的决策数据（合伙人冲突细节、融资谈判条款等敏感信息），这可能构成对创业企业的</w:t>
      </w:r>
      <w:r>
        <w:rPr>
          <w:b/>
          <w:bCs/>
        </w:rPr>
        <w:t>认知剥削（Epistemic Exploitation）</w:t>
      </w:r>
      <w:r>
        <w:t>。更严重的是，这些数据可能被用于训练AI决策模型，最终形成’算法霸权’——未来创业者必须按照算法认为’正确’的方式组建团队，这会扼杀创业多样性。</w:t>
      </w:r>
    </w:p>
    <w:p w14:paraId="512B2B8F">
      <w:pPr>
        <w:pStyle w:val="3"/>
      </w:pPr>
      <w:r>
        <w:t>此外，原始文档中’满意度调研嵌入满意解服务介绍’的设计，本质上是一种</w:t>
      </w:r>
      <w:r>
        <w:rPr>
          <w:b/>
          <w:bCs/>
        </w:rPr>
        <w:t>暗模式（Dark Pattern）</w:t>
      </w:r>
      <w:r>
        <w:t>——利用数据收集时刻进行商业推广，违背了研究伦理的知情同意原则。”</w:t>
      </w:r>
    </w:p>
    <w:p w14:paraId="78803A55">
      <w:pPr>
        <w:pStyle w:val="3"/>
      </w:pPr>
      <w:r>
        <w:rPr>
          <w:b/>
          <w:bCs/>
        </w:rPr>
        <w:t>蓝军回应</w:t>
      </w:r>
      <w:r>
        <w:t>： 这是最具尖锐性的批评，触及</w:t>
      </w:r>
      <w:r>
        <w:rPr>
          <w:b/>
          <w:bCs/>
        </w:rPr>
        <w:t>数据伦理（Data Ethics）</w:t>
      </w:r>
      <w:r>
        <w:t>核心。我们完全承认并严肃对待：</w:t>
      </w:r>
    </w:p>
    <w:p w14:paraId="690D046C">
      <w:pPr>
        <w:pStyle w:val="27"/>
        <w:numPr>
          <w:ilvl w:val="0"/>
          <w:numId w:val="9"/>
        </w:numPr>
      </w:pPr>
      <w:r>
        <w:rPr>
          <w:b/>
          <w:bCs/>
        </w:rPr>
        <w:t>数据主权（Data Sovereignty）</w:t>
      </w:r>
      <w:r>
        <w:t>：所有数据收集必须基于</w:t>
      </w:r>
      <w:r>
        <w:rPr>
          <w:b/>
          <w:bCs/>
        </w:rPr>
        <w:t>明确的 opt-in 同意</w:t>
      </w:r>
      <w:r>
        <w:t>，创始人可随时撤回授权且不影响其在XbotPark的其他权益；</w:t>
      </w:r>
    </w:p>
    <w:p w14:paraId="4E569D97">
      <w:pPr>
        <w:pStyle w:val="27"/>
        <w:numPr>
          <w:ilvl w:val="0"/>
          <w:numId w:val="9"/>
        </w:numPr>
      </w:pPr>
      <w:r>
        <w:rPr>
          <w:b/>
          <w:bCs/>
        </w:rPr>
        <w:t>[需人工验证：获取GDPR/PIPL合规审查]</w:t>
      </w:r>
      <w:r>
        <w:t xml:space="preserve"> 建议聘请独立数据伦理官，每季度审查数据使用是否符合《个人信息保护法》；</w:t>
      </w:r>
    </w:p>
    <w:p w14:paraId="223FA9E0">
      <w:pPr>
        <w:pStyle w:val="27"/>
        <w:numPr>
          <w:ilvl w:val="0"/>
          <w:numId w:val="9"/>
        </w:numPr>
      </w:pPr>
      <w:r>
        <w:rPr>
          <w:b/>
          <w:bCs/>
        </w:rPr>
        <w:t>算法透明性</w:t>
      </w:r>
      <w:r>
        <w:t>：若未来开发AI辅助决策工具，必须开源算法逻辑（可解释AI，XAI），允许创始人质疑和挑战算法建议；</w:t>
      </w:r>
    </w:p>
    <w:p w14:paraId="6520A8AD">
      <w:pPr>
        <w:pStyle w:val="27"/>
        <w:numPr>
          <w:ilvl w:val="0"/>
          <w:numId w:val="9"/>
        </w:numPr>
      </w:pPr>
      <w:r>
        <w:rPr>
          <w:b/>
          <w:bCs/>
        </w:rPr>
        <w:t>反多样性监测</w:t>
      </w:r>
      <w:r>
        <w:t>：建立”创业团队多样性指数”，监测满意解服务是否无意中筛选出同质化团队（如过度推荐特定性格类型），若发现多样性下降，立即停用相关工具。</w:t>
      </w:r>
    </w:p>
    <w:p w14:paraId="370B8F81">
      <w:r>
        <w:pict>
          <v:rect id="_x0000_i1040" o:spt="1" style="height:1.5pt;width:0pt;" coordsize="21600,21600" o:hr="t" o:hrstd="t" o:hralign="center">
            <v:path/>
            <v:fill focussize="0,0"/>
            <v:stroke/>
            <v:imagedata o:title=""/>
            <o:lock v:ext="edit"/>
            <w10:wrap type="none"/>
            <w10:anchorlock/>
          </v:rect>
        </w:pict>
      </w:r>
    </w:p>
    <w:bookmarkEnd w:id="34"/>
    <w:bookmarkEnd w:id="37"/>
    <w:p w14:paraId="6A20C33E">
      <w:pPr>
        <w:pStyle w:val="4"/>
      </w:pPr>
      <w:bookmarkStart w:id="38" w:name="第十部分附录"/>
      <w:r>
        <w:t>第十部分：附录</w:t>
      </w:r>
    </w:p>
    <w:p w14:paraId="26F572AE">
      <w:pPr>
        <w:pStyle w:val="5"/>
      </w:pPr>
      <w:bookmarkStart w:id="39" w:name="附录a原始文档1.0版与2.0版关键差异对照表"/>
      <w:r>
        <w:t>附录A：原始文档1.0版与2.0版关键差异对照表</w:t>
      </w:r>
    </w:p>
    <w:tbl>
      <w:tblPr>
        <w:tblStyle w:val="44"/>
        <w:tblW w:w="8626" w:type="dxa"/>
        <w:jc w:val="center"/>
        <w:tblLayout w:type="autofit"/>
        <w:tblCellMar>
          <w:top w:w="0" w:type="dxa"/>
          <w:left w:w="108" w:type="dxa"/>
          <w:bottom w:w="0" w:type="dxa"/>
          <w:right w:w="108" w:type="dxa"/>
        </w:tblCellMar>
      </w:tblPr>
      <w:tblGrid>
        <w:gridCol w:w="613"/>
        <w:gridCol w:w="1948"/>
        <w:gridCol w:w="1656"/>
        <w:gridCol w:w="1343"/>
        <w:gridCol w:w="1599"/>
        <w:gridCol w:w="1467"/>
      </w:tblGrid>
      <w:tr w14:paraId="5678C6AC">
        <w:tblPrEx>
          <w:tblCellMar>
            <w:top w:w="0" w:type="dxa"/>
            <w:left w:w="108" w:type="dxa"/>
            <w:bottom w:w="0" w:type="dxa"/>
            <w:right w:w="108" w:type="dxa"/>
          </w:tblCellMar>
        </w:tblPrEx>
        <w:trPr>
          <w:trHeight w:val="0" w:hRule="atLeast"/>
          <w:jc w:val="center"/>
        </w:trPr>
        <w:tc>
          <w:tcPr>
            <w:tcW w:w="613" w:type="dxa"/>
            <w:tcBorders>
              <w:top w:val="single" w:color="auto" w:sz="12" w:space="0"/>
              <w:left w:val="nil"/>
              <w:bottom w:val="nil"/>
              <w:right w:val="nil"/>
            </w:tcBorders>
          </w:tcPr>
          <w:p w14:paraId="04A9B83A">
            <w:pPr>
              <w:pStyle w:val="27"/>
              <w:snapToGrid w:val="0"/>
              <w:jc w:val="left"/>
            </w:pPr>
            <w:r>
              <w:t>版本</w:t>
            </w:r>
          </w:p>
        </w:tc>
        <w:tc>
          <w:tcPr>
            <w:tcW w:w="1948" w:type="dxa"/>
            <w:tcBorders>
              <w:top w:val="single" w:color="auto" w:sz="12" w:space="0"/>
              <w:left w:val="nil"/>
              <w:bottom w:val="nil"/>
              <w:right w:val="nil"/>
            </w:tcBorders>
          </w:tcPr>
          <w:p w14:paraId="07C89883">
            <w:pPr>
              <w:pStyle w:val="27"/>
              <w:snapToGrid w:val="0"/>
              <w:jc w:val="left"/>
            </w:pPr>
            <w:r>
              <w:t>关于科创学院创业率</w:t>
            </w:r>
          </w:p>
        </w:tc>
        <w:tc>
          <w:tcPr>
            <w:tcW w:w="1656" w:type="dxa"/>
            <w:tcBorders>
              <w:top w:val="single" w:color="auto" w:sz="12" w:space="0"/>
              <w:left w:val="nil"/>
              <w:bottom w:val="nil"/>
              <w:right w:val="nil"/>
            </w:tcBorders>
          </w:tcPr>
          <w:p w14:paraId="4D4E39E5">
            <w:pPr>
              <w:pStyle w:val="27"/>
              <w:snapToGrid w:val="0"/>
              <w:jc w:val="left"/>
            </w:pPr>
            <w:r>
              <w:t>关于XbotPark孵化数量</w:t>
            </w:r>
          </w:p>
        </w:tc>
        <w:tc>
          <w:tcPr>
            <w:tcW w:w="1343" w:type="dxa"/>
            <w:tcBorders>
              <w:top w:val="single" w:color="auto" w:sz="12" w:space="0"/>
              <w:left w:val="nil"/>
              <w:bottom w:val="nil"/>
              <w:right w:val="nil"/>
            </w:tcBorders>
          </w:tcPr>
          <w:p w14:paraId="36598580">
            <w:pPr>
              <w:pStyle w:val="27"/>
              <w:snapToGrid w:val="0"/>
              <w:jc w:val="left"/>
            </w:pPr>
            <w:r>
              <w:t>关于服务缺口验证</w:t>
            </w:r>
          </w:p>
        </w:tc>
        <w:tc>
          <w:tcPr>
            <w:tcW w:w="1599" w:type="dxa"/>
            <w:tcBorders>
              <w:top w:val="single" w:color="auto" w:sz="12" w:space="0"/>
              <w:left w:val="nil"/>
              <w:bottom w:val="nil"/>
              <w:right w:val="nil"/>
            </w:tcBorders>
          </w:tcPr>
          <w:p w14:paraId="5E64A3BF">
            <w:pPr>
              <w:pStyle w:val="27"/>
              <w:snapToGrid w:val="0"/>
              <w:jc w:val="left"/>
            </w:pPr>
            <w:r>
              <w:t>关于满意解方法论</w:t>
            </w:r>
          </w:p>
        </w:tc>
        <w:tc>
          <w:tcPr>
            <w:tcW w:w="1467" w:type="dxa"/>
            <w:tcBorders>
              <w:top w:val="single" w:color="auto" w:sz="12" w:space="0"/>
              <w:left w:val="nil"/>
              <w:bottom w:val="nil"/>
              <w:right w:val="nil"/>
            </w:tcBorders>
          </w:tcPr>
          <w:p w14:paraId="3875CF92">
            <w:pPr>
              <w:pStyle w:val="27"/>
              <w:snapToGrid w:val="0"/>
              <w:jc w:val="left"/>
            </w:pPr>
            <w:r>
              <w:t>关于利益分配</w:t>
            </w:r>
          </w:p>
        </w:tc>
      </w:tr>
      <w:tr w14:paraId="6E65C955">
        <w:tblPrEx>
          <w:tblCellMar>
            <w:top w:w="0" w:type="dxa"/>
            <w:left w:w="108" w:type="dxa"/>
            <w:bottom w:w="0" w:type="dxa"/>
            <w:right w:w="108" w:type="dxa"/>
          </w:tblCellMar>
        </w:tblPrEx>
        <w:trPr>
          <w:trHeight w:val="0" w:hRule="atLeast"/>
          <w:jc w:val="center"/>
        </w:trPr>
        <w:tc>
          <w:tcPr>
            <w:tcW w:w="613" w:type="dxa"/>
            <w:tcBorders>
              <w:top w:val="nil"/>
              <w:left w:val="nil"/>
              <w:bottom w:val="nil"/>
              <w:right w:val="nil"/>
            </w:tcBorders>
          </w:tcPr>
          <w:p w14:paraId="19C6169D">
            <w:pPr>
              <w:pStyle w:val="27"/>
              <w:snapToGrid w:val="0"/>
              <w:jc w:val="left"/>
            </w:pPr>
            <w:r>
              <w:rPr>
                <w:b/>
                <w:bCs/>
              </w:rPr>
              <w:t>1.0版</w:t>
            </w:r>
          </w:p>
        </w:tc>
        <w:tc>
          <w:tcPr>
            <w:tcW w:w="1948" w:type="dxa"/>
            <w:tcBorders>
              <w:top w:val="nil"/>
              <w:left w:val="nil"/>
              <w:bottom w:val="nil"/>
              <w:right w:val="nil"/>
            </w:tcBorders>
          </w:tcPr>
          <w:p w14:paraId="29E314CF">
            <w:pPr>
              <w:pStyle w:val="27"/>
              <w:snapToGrid w:val="0"/>
              <w:jc w:val="left"/>
            </w:pPr>
            <w:r>
              <w:t>“首届50名学生中预计60%将走上创业道路”（无来源标注）</w:t>
            </w:r>
          </w:p>
        </w:tc>
        <w:tc>
          <w:tcPr>
            <w:tcW w:w="1656" w:type="dxa"/>
            <w:tcBorders>
              <w:top w:val="nil"/>
              <w:left w:val="nil"/>
              <w:bottom w:val="nil"/>
              <w:right w:val="nil"/>
            </w:tcBorders>
          </w:tcPr>
          <w:p w14:paraId="49CF353A">
            <w:pPr>
              <w:pStyle w:val="27"/>
              <w:snapToGrid w:val="0"/>
              <w:jc w:val="left"/>
            </w:pPr>
            <w:r>
              <w:t>“140+企业”与”270家”混用，未解释差异</w:t>
            </w:r>
          </w:p>
        </w:tc>
        <w:tc>
          <w:tcPr>
            <w:tcW w:w="1343" w:type="dxa"/>
            <w:tcBorders>
              <w:top w:val="nil"/>
              <w:left w:val="nil"/>
              <w:bottom w:val="nil"/>
              <w:right w:val="nil"/>
            </w:tcBorders>
          </w:tcPr>
          <w:p w14:paraId="67DE890C">
            <w:pPr>
              <w:pStyle w:val="27"/>
              <w:snapToGrid w:val="0"/>
              <w:jc w:val="left"/>
            </w:pPr>
            <w:r>
              <w:t>“存在结构性服务缺口”（断言式）</w:t>
            </w:r>
          </w:p>
        </w:tc>
        <w:tc>
          <w:tcPr>
            <w:tcW w:w="1599" w:type="dxa"/>
            <w:tcBorders>
              <w:top w:val="nil"/>
              <w:left w:val="nil"/>
              <w:bottom w:val="nil"/>
              <w:right w:val="nil"/>
            </w:tcBorders>
          </w:tcPr>
          <w:p w14:paraId="02CDA49A">
            <w:pPr>
              <w:pStyle w:val="27"/>
              <w:snapToGrid w:val="0"/>
              <w:jc w:val="left"/>
            </w:pPr>
            <w:r>
              <w:t>“合伙人匹配度评估模型”（描述为既有能力）</w:t>
            </w:r>
          </w:p>
        </w:tc>
        <w:tc>
          <w:tcPr>
            <w:tcW w:w="1467" w:type="dxa"/>
            <w:tcBorders>
              <w:top w:val="nil"/>
              <w:left w:val="nil"/>
              <w:bottom w:val="nil"/>
              <w:right w:val="nil"/>
            </w:tcBorders>
          </w:tcPr>
          <w:p w14:paraId="671DA37F">
            <w:pPr>
              <w:pStyle w:val="27"/>
              <w:snapToGrid w:val="0"/>
              <w:jc w:val="left"/>
            </w:pPr>
            <w:r>
              <w:t>“15-20%引流佣金”（陈述为既定方案）</w:t>
            </w:r>
          </w:p>
        </w:tc>
      </w:tr>
      <w:tr w14:paraId="30191638">
        <w:tblPrEx>
          <w:tblCellMar>
            <w:top w:w="0" w:type="dxa"/>
            <w:left w:w="108" w:type="dxa"/>
            <w:bottom w:w="0" w:type="dxa"/>
            <w:right w:w="108" w:type="dxa"/>
          </w:tblCellMar>
        </w:tblPrEx>
        <w:trPr>
          <w:trHeight w:val="0" w:hRule="atLeast"/>
          <w:jc w:val="center"/>
        </w:trPr>
        <w:tc>
          <w:tcPr>
            <w:tcW w:w="613" w:type="dxa"/>
            <w:tcBorders>
              <w:top w:val="nil"/>
              <w:left w:val="nil"/>
              <w:bottom w:val="single" w:color="auto" w:sz="12" w:space="0"/>
              <w:right w:val="nil"/>
            </w:tcBorders>
          </w:tcPr>
          <w:p w14:paraId="1528816F">
            <w:pPr>
              <w:pStyle w:val="27"/>
              <w:snapToGrid w:val="0"/>
              <w:jc w:val="left"/>
            </w:pPr>
            <w:r>
              <w:rPr>
                <w:b/>
                <w:bCs/>
              </w:rPr>
              <w:t>2.0版</w:t>
            </w:r>
          </w:p>
        </w:tc>
        <w:tc>
          <w:tcPr>
            <w:tcW w:w="1948" w:type="dxa"/>
            <w:tcBorders>
              <w:top w:val="nil"/>
              <w:left w:val="nil"/>
              <w:bottom w:val="single" w:color="auto" w:sz="12" w:space="0"/>
              <w:right w:val="nil"/>
            </w:tcBorders>
          </w:tcPr>
          <w:p w14:paraId="3165EFCC">
            <w:pPr>
              <w:pStyle w:val="27"/>
              <w:snapToGrid w:val="0"/>
            </w:pPr>
          </w:p>
        </w:tc>
        <w:tc>
          <w:tcPr>
            <w:tcW w:w="1656" w:type="dxa"/>
            <w:tcBorders>
              <w:top w:val="nil"/>
              <w:left w:val="nil"/>
              <w:bottom w:val="single" w:color="auto" w:sz="12" w:space="0"/>
              <w:right w:val="nil"/>
            </w:tcBorders>
          </w:tcPr>
          <w:p w14:paraId="3794517A">
            <w:pPr>
              <w:pStyle w:val="27"/>
              <w:snapToGrid w:val="0"/>
            </w:pPr>
          </w:p>
        </w:tc>
        <w:tc>
          <w:tcPr>
            <w:tcW w:w="1343" w:type="dxa"/>
            <w:tcBorders>
              <w:top w:val="nil"/>
              <w:left w:val="nil"/>
              <w:bottom w:val="single" w:color="auto" w:sz="12" w:space="0"/>
              <w:right w:val="nil"/>
            </w:tcBorders>
          </w:tcPr>
          <w:p w14:paraId="46FEF2E9">
            <w:pPr>
              <w:pStyle w:val="27"/>
              <w:snapToGrid w:val="0"/>
            </w:pPr>
          </w:p>
        </w:tc>
        <w:tc>
          <w:tcPr>
            <w:tcW w:w="1599" w:type="dxa"/>
            <w:tcBorders>
              <w:top w:val="nil"/>
              <w:left w:val="nil"/>
              <w:bottom w:val="single" w:color="auto" w:sz="12" w:space="0"/>
              <w:right w:val="nil"/>
            </w:tcBorders>
          </w:tcPr>
          <w:p w14:paraId="2B3A2C2D">
            <w:pPr>
              <w:pStyle w:val="27"/>
              <w:snapToGrid w:val="0"/>
            </w:pPr>
          </w:p>
        </w:tc>
        <w:tc>
          <w:tcPr>
            <w:tcW w:w="1467" w:type="dxa"/>
            <w:tcBorders>
              <w:top w:val="nil"/>
              <w:left w:val="nil"/>
              <w:bottom w:val="single" w:color="auto" w:sz="12" w:space="0"/>
              <w:right w:val="nil"/>
            </w:tcBorders>
          </w:tcPr>
          <w:p w14:paraId="22E3CBB7">
            <w:pPr>
              <w:pStyle w:val="27"/>
              <w:snapToGrid w:val="0"/>
            </w:pPr>
          </w:p>
        </w:tc>
      </w:tr>
    </w:tbl>
    <w:p w14:paraId="7DC5308B">
      <w:r>
        <w:pict>
          <v:rect id="_x0000_i1041" o:spt="1" style="height:1.5pt;width:0pt;" coordsize="21600,21600" o:hr="t" o:hrstd="t" o:hralign="center">
            <v:path/>
            <v:fill focussize="0,0"/>
            <v:stroke/>
            <v:imagedata o:title=""/>
            <o:lock v:ext="edit"/>
            <w10:wrap type="none"/>
            <w10:anchorlock/>
          </v:rect>
        </w:pict>
      </w:r>
    </w:p>
    <w:p w14:paraId="4FE7D3CF">
      <w:r>
        <w:pict>
          <v:rect id="_x0000_i1043" o:spt="1" style="height:1.5pt;width:0pt;" coordsize="21600,21600" o:hr="t" o:hrstd="t" o:hralign="center">
            <v:path/>
            <v:fill focussize="0,0"/>
            <v:stroke/>
            <v:imagedata o:title=""/>
            <o:lock v:ext="edit"/>
            <w10:wrap type="none"/>
            <w10:anchorlock/>
          </v:rect>
        </w:pict>
      </w:r>
    </w:p>
    <w:bookmarkEnd w:id="39"/>
    <w:p w14:paraId="4486A578">
      <w:pPr>
        <w:pStyle w:val="5"/>
      </w:pPr>
      <w:bookmarkStart w:id="40" w:name="附录a续原始文档1.0版与2.0版关键差异对照表"/>
      <w:r>
        <w:t>附录A（续）：原始文档1.0版与2.0版关键差异对照表</w:t>
      </w:r>
    </w:p>
    <w:tbl>
      <w:tblPr>
        <w:tblStyle w:val="44"/>
        <w:tblW w:w="8856" w:type="dxa"/>
        <w:jc w:val="center"/>
        <w:tblLayout w:type="autofit"/>
        <w:tblCellMar>
          <w:top w:w="0" w:type="dxa"/>
          <w:left w:w="108" w:type="dxa"/>
          <w:bottom w:w="0" w:type="dxa"/>
          <w:right w:w="108" w:type="dxa"/>
        </w:tblCellMar>
      </w:tblPr>
      <w:tblGrid>
        <w:gridCol w:w="574"/>
        <w:gridCol w:w="1588"/>
        <w:gridCol w:w="1947"/>
        <w:gridCol w:w="1591"/>
        <w:gridCol w:w="1396"/>
        <w:gridCol w:w="1760"/>
      </w:tblGrid>
      <w:tr w14:paraId="506C9031">
        <w:tblPrEx>
          <w:tblCellMar>
            <w:top w:w="0" w:type="dxa"/>
            <w:left w:w="108" w:type="dxa"/>
            <w:bottom w:w="0" w:type="dxa"/>
            <w:right w:w="108" w:type="dxa"/>
          </w:tblCellMar>
        </w:tblPrEx>
        <w:trPr>
          <w:trHeight w:val="0" w:hRule="atLeast"/>
          <w:jc w:val="center"/>
        </w:trPr>
        <w:tc>
          <w:tcPr>
            <w:tcW w:w="574" w:type="dxa"/>
            <w:tcBorders>
              <w:top w:val="single" w:color="auto" w:sz="12" w:space="0"/>
              <w:left w:val="nil"/>
              <w:bottom w:val="nil"/>
              <w:right w:val="nil"/>
            </w:tcBorders>
          </w:tcPr>
          <w:p w14:paraId="7D8567EA">
            <w:pPr>
              <w:pStyle w:val="27"/>
              <w:snapToGrid w:val="0"/>
              <w:jc w:val="left"/>
            </w:pPr>
            <w:r>
              <w:t>版本</w:t>
            </w:r>
          </w:p>
        </w:tc>
        <w:tc>
          <w:tcPr>
            <w:tcW w:w="1588" w:type="dxa"/>
            <w:tcBorders>
              <w:top w:val="single" w:color="auto" w:sz="12" w:space="0"/>
              <w:left w:val="nil"/>
              <w:bottom w:val="nil"/>
              <w:right w:val="nil"/>
            </w:tcBorders>
          </w:tcPr>
          <w:p w14:paraId="1492E5A5">
            <w:pPr>
              <w:pStyle w:val="27"/>
              <w:snapToGrid w:val="0"/>
              <w:jc w:val="left"/>
            </w:pPr>
            <w:r>
              <w:t>关于科创学院创业率</w:t>
            </w:r>
          </w:p>
        </w:tc>
        <w:tc>
          <w:tcPr>
            <w:tcW w:w="1947" w:type="dxa"/>
            <w:tcBorders>
              <w:top w:val="single" w:color="auto" w:sz="12" w:space="0"/>
              <w:left w:val="nil"/>
              <w:bottom w:val="nil"/>
              <w:right w:val="nil"/>
            </w:tcBorders>
          </w:tcPr>
          <w:p w14:paraId="1DEFDAEE">
            <w:pPr>
              <w:pStyle w:val="27"/>
              <w:snapToGrid w:val="0"/>
              <w:jc w:val="left"/>
            </w:pPr>
            <w:r>
              <w:t>关于XbotPark孵化数量</w:t>
            </w:r>
          </w:p>
        </w:tc>
        <w:tc>
          <w:tcPr>
            <w:tcW w:w="1591" w:type="dxa"/>
            <w:tcBorders>
              <w:top w:val="single" w:color="auto" w:sz="12" w:space="0"/>
              <w:left w:val="nil"/>
              <w:bottom w:val="nil"/>
              <w:right w:val="nil"/>
            </w:tcBorders>
          </w:tcPr>
          <w:p w14:paraId="24F2C14F">
            <w:pPr>
              <w:pStyle w:val="27"/>
              <w:snapToGrid w:val="0"/>
              <w:jc w:val="left"/>
            </w:pPr>
            <w:r>
              <w:t>关于服务缺口验证</w:t>
            </w:r>
          </w:p>
        </w:tc>
        <w:tc>
          <w:tcPr>
            <w:tcW w:w="1396" w:type="dxa"/>
            <w:tcBorders>
              <w:top w:val="single" w:color="auto" w:sz="12" w:space="0"/>
              <w:left w:val="nil"/>
              <w:bottom w:val="nil"/>
              <w:right w:val="nil"/>
            </w:tcBorders>
          </w:tcPr>
          <w:p w14:paraId="7D364FF4">
            <w:pPr>
              <w:pStyle w:val="27"/>
              <w:snapToGrid w:val="0"/>
              <w:jc w:val="left"/>
            </w:pPr>
            <w:r>
              <w:t>关于满意解方法论</w:t>
            </w:r>
          </w:p>
        </w:tc>
        <w:tc>
          <w:tcPr>
            <w:tcW w:w="1760" w:type="dxa"/>
            <w:tcBorders>
              <w:top w:val="single" w:color="auto" w:sz="12" w:space="0"/>
              <w:left w:val="nil"/>
              <w:bottom w:val="nil"/>
              <w:right w:val="nil"/>
            </w:tcBorders>
          </w:tcPr>
          <w:p w14:paraId="3A19CFC0">
            <w:pPr>
              <w:pStyle w:val="27"/>
              <w:snapToGrid w:val="0"/>
              <w:jc w:val="left"/>
            </w:pPr>
            <w:r>
              <w:t>关于利益分配</w:t>
            </w:r>
          </w:p>
        </w:tc>
      </w:tr>
      <w:tr w14:paraId="3FA72830">
        <w:tblPrEx>
          <w:tblCellMar>
            <w:top w:w="0" w:type="dxa"/>
            <w:left w:w="108" w:type="dxa"/>
            <w:bottom w:w="0" w:type="dxa"/>
            <w:right w:w="108" w:type="dxa"/>
          </w:tblCellMar>
        </w:tblPrEx>
        <w:trPr>
          <w:trHeight w:val="0" w:hRule="atLeast"/>
          <w:jc w:val="center"/>
        </w:trPr>
        <w:tc>
          <w:tcPr>
            <w:tcW w:w="574" w:type="dxa"/>
            <w:tcBorders>
              <w:top w:val="nil"/>
              <w:left w:val="nil"/>
              <w:bottom w:val="nil"/>
              <w:right w:val="nil"/>
            </w:tcBorders>
          </w:tcPr>
          <w:p w14:paraId="17F97699">
            <w:pPr>
              <w:pStyle w:val="27"/>
              <w:snapToGrid w:val="0"/>
              <w:jc w:val="left"/>
            </w:pPr>
            <w:r>
              <w:rPr>
                <w:b/>
                <w:bCs/>
              </w:rPr>
              <w:t>1.0版</w:t>
            </w:r>
          </w:p>
        </w:tc>
        <w:tc>
          <w:tcPr>
            <w:tcW w:w="1588" w:type="dxa"/>
            <w:tcBorders>
              <w:top w:val="nil"/>
              <w:left w:val="nil"/>
              <w:bottom w:val="nil"/>
              <w:right w:val="nil"/>
            </w:tcBorders>
          </w:tcPr>
          <w:p w14:paraId="2DD58CF6">
            <w:pPr>
              <w:pStyle w:val="27"/>
              <w:snapToGrid w:val="0"/>
              <w:jc w:val="left"/>
            </w:pPr>
            <w:r>
              <w:t>“首届50名学生中预计60%将走上创业道路”（无来源标注）</w:t>
            </w:r>
          </w:p>
        </w:tc>
        <w:tc>
          <w:tcPr>
            <w:tcW w:w="1947" w:type="dxa"/>
            <w:tcBorders>
              <w:top w:val="nil"/>
              <w:left w:val="nil"/>
              <w:bottom w:val="nil"/>
              <w:right w:val="nil"/>
            </w:tcBorders>
          </w:tcPr>
          <w:p w14:paraId="5AFA2206">
            <w:pPr>
              <w:pStyle w:val="27"/>
              <w:snapToGrid w:val="0"/>
              <w:jc w:val="left"/>
            </w:pPr>
            <w:r>
              <w:t>“140+企业”与”270家”混用，未解释差异</w:t>
            </w:r>
          </w:p>
        </w:tc>
        <w:tc>
          <w:tcPr>
            <w:tcW w:w="1591" w:type="dxa"/>
            <w:tcBorders>
              <w:top w:val="nil"/>
              <w:left w:val="nil"/>
              <w:bottom w:val="nil"/>
              <w:right w:val="nil"/>
            </w:tcBorders>
          </w:tcPr>
          <w:p w14:paraId="3152E367">
            <w:pPr>
              <w:pStyle w:val="27"/>
              <w:snapToGrid w:val="0"/>
              <w:jc w:val="left"/>
            </w:pPr>
            <w:r>
              <w:t>“存在结构性服务缺口”（断言式）</w:t>
            </w:r>
          </w:p>
        </w:tc>
        <w:tc>
          <w:tcPr>
            <w:tcW w:w="1396" w:type="dxa"/>
            <w:tcBorders>
              <w:top w:val="nil"/>
              <w:left w:val="nil"/>
              <w:bottom w:val="nil"/>
              <w:right w:val="nil"/>
            </w:tcBorders>
          </w:tcPr>
          <w:p w14:paraId="5E135A73">
            <w:pPr>
              <w:pStyle w:val="27"/>
              <w:snapToGrid w:val="0"/>
              <w:jc w:val="left"/>
            </w:pPr>
            <w:r>
              <w:t>“合伙人匹配度评估模型”（描述为既有能力）</w:t>
            </w:r>
          </w:p>
        </w:tc>
        <w:tc>
          <w:tcPr>
            <w:tcW w:w="1760" w:type="dxa"/>
            <w:tcBorders>
              <w:top w:val="nil"/>
              <w:left w:val="nil"/>
              <w:bottom w:val="nil"/>
              <w:right w:val="nil"/>
            </w:tcBorders>
          </w:tcPr>
          <w:p w14:paraId="08171D53">
            <w:pPr>
              <w:pStyle w:val="27"/>
              <w:snapToGrid w:val="0"/>
              <w:jc w:val="left"/>
            </w:pPr>
            <w:r>
              <w:t>“15-20%引流佣金”（陈述为既定方案）</w:t>
            </w:r>
          </w:p>
        </w:tc>
      </w:tr>
      <w:tr w14:paraId="688490B2">
        <w:tblPrEx>
          <w:tblCellMar>
            <w:top w:w="0" w:type="dxa"/>
            <w:left w:w="108" w:type="dxa"/>
            <w:bottom w:w="0" w:type="dxa"/>
            <w:right w:w="108" w:type="dxa"/>
          </w:tblCellMar>
        </w:tblPrEx>
        <w:trPr>
          <w:trHeight w:val="0" w:hRule="atLeast"/>
          <w:jc w:val="center"/>
        </w:trPr>
        <w:tc>
          <w:tcPr>
            <w:tcW w:w="574" w:type="dxa"/>
            <w:tcBorders>
              <w:top w:val="nil"/>
              <w:left w:val="nil"/>
              <w:bottom w:val="single" w:color="auto" w:sz="12" w:space="0"/>
              <w:right w:val="nil"/>
            </w:tcBorders>
          </w:tcPr>
          <w:p w14:paraId="2AC90C41">
            <w:pPr>
              <w:pStyle w:val="27"/>
              <w:snapToGrid w:val="0"/>
              <w:jc w:val="left"/>
            </w:pPr>
            <w:r>
              <w:rPr>
                <w:b/>
                <w:bCs/>
              </w:rPr>
              <w:t>2.0版</w:t>
            </w:r>
          </w:p>
        </w:tc>
        <w:tc>
          <w:tcPr>
            <w:tcW w:w="1588" w:type="dxa"/>
            <w:tcBorders>
              <w:top w:val="nil"/>
              <w:left w:val="nil"/>
              <w:bottom w:val="single" w:color="auto" w:sz="12" w:space="0"/>
              <w:right w:val="nil"/>
            </w:tcBorders>
          </w:tcPr>
          <w:p w14:paraId="68A4DD35">
            <w:pPr>
              <w:pStyle w:val="27"/>
              <w:snapToGrid w:val="0"/>
              <w:jc w:val="left"/>
            </w:pPr>
            <w:r>
              <w:t>“[模拟数据警告]未找到60%确切来源，相近验证数据为50%，建议采用保守估计”</w:t>
            </w:r>
          </w:p>
        </w:tc>
        <w:tc>
          <w:tcPr>
            <w:tcW w:w="1947" w:type="dxa"/>
            <w:tcBorders>
              <w:top w:val="nil"/>
              <w:left w:val="nil"/>
              <w:bottom w:val="single" w:color="auto" w:sz="12" w:space="0"/>
              <w:right w:val="nil"/>
            </w:tcBorders>
          </w:tcPr>
          <w:p w14:paraId="6B0108ED">
            <w:pPr>
              <w:pStyle w:val="27"/>
              <w:snapToGrid w:val="0"/>
              <w:jc w:val="left"/>
            </w:pPr>
            <w:r>
              <w:t>“明确标注数据来源差异：早期60余家、中期140余家、最新270余家，并分析统计口径变化”</w:t>
            </w:r>
          </w:p>
        </w:tc>
        <w:tc>
          <w:tcPr>
            <w:tcW w:w="1591" w:type="dxa"/>
            <w:tcBorders>
              <w:top w:val="nil"/>
              <w:left w:val="nil"/>
              <w:bottom w:val="single" w:color="auto" w:sz="12" w:space="0"/>
              <w:right w:val="nil"/>
            </w:tcBorders>
          </w:tcPr>
          <w:p w14:paraId="6DF4FA94">
            <w:pPr>
              <w:pStyle w:val="27"/>
              <w:snapToGrid w:val="0"/>
              <w:jc w:val="left"/>
            </w:pPr>
            <w:r>
              <w:t>“[需人工验证]基于李泽湘公开承认的’异地复制标准化挑战’及段誉’技术人自嗨’论述，缺口为</w:t>
            </w:r>
            <w:r>
              <w:rPr>
                <w:b/>
                <w:bCs/>
              </w:rPr>
              <w:t>部分验证的推测</w:t>
            </w:r>
            <w:r>
              <w:t>”</w:t>
            </w:r>
          </w:p>
        </w:tc>
        <w:tc>
          <w:tcPr>
            <w:tcW w:w="1396" w:type="dxa"/>
            <w:tcBorders>
              <w:top w:val="nil"/>
              <w:left w:val="nil"/>
              <w:bottom w:val="single" w:color="auto" w:sz="12" w:space="0"/>
              <w:right w:val="nil"/>
            </w:tcBorders>
          </w:tcPr>
          <w:p w14:paraId="7F857ED3">
            <w:pPr>
              <w:pStyle w:val="27"/>
              <w:snapToGrid w:val="0"/>
              <w:jc w:val="left"/>
            </w:pPr>
            <w:r>
              <w:t>“[提案方自述]基于有限理性理论，但</w:t>
            </w:r>
            <w:r>
              <w:rPr>
                <w:b/>
                <w:bCs/>
              </w:rPr>
              <w:t>未经过信效度检验</w:t>
            </w:r>
            <w:r>
              <w:t>，证据等级为探索性案例研究”</w:t>
            </w:r>
          </w:p>
        </w:tc>
        <w:tc>
          <w:tcPr>
            <w:tcW w:w="1760" w:type="dxa"/>
            <w:tcBorders>
              <w:top w:val="nil"/>
              <w:left w:val="nil"/>
              <w:bottom w:val="single" w:color="auto" w:sz="12" w:space="0"/>
              <w:right w:val="nil"/>
            </w:tcBorders>
          </w:tcPr>
          <w:p w14:paraId="3C274C63">
            <w:pPr>
              <w:pStyle w:val="27"/>
              <w:snapToGrid w:val="0"/>
              <w:jc w:val="left"/>
            </w:pPr>
            <w:r>
              <w:t>“[提案方自述/模拟数据]基于博弈论Shapley值概念的</w:t>
            </w:r>
            <w:r>
              <w:rPr>
                <w:b/>
                <w:bCs/>
              </w:rPr>
              <w:t>建议方案</w:t>
            </w:r>
            <w:r>
              <w:t>，实际比例需谈判确定”</w:t>
            </w:r>
          </w:p>
        </w:tc>
      </w:tr>
      <w:bookmarkEnd w:id="40"/>
    </w:tbl>
    <w:p w14:paraId="367D9BBC">
      <w:pPr>
        <w:pStyle w:val="5"/>
      </w:pPr>
      <w:bookmarkStart w:id="41" w:name="附录b证据等级与置信度编码系统"/>
      <w:r>
        <w:t>附录B：证据等级与置信度编码系统</w:t>
      </w:r>
    </w:p>
    <w:p w14:paraId="5116B195">
      <w:pPr>
        <w:pStyle w:val="26"/>
      </w:pPr>
      <w:r>
        <w:t>本研究采用</w:t>
      </w:r>
      <w:r>
        <w:rPr>
          <w:b/>
          <w:bCs/>
        </w:rPr>
        <w:t>GRADE（Grading of Recommendations Assessment, Development and Evaluation）</w:t>
      </w:r>
      <w:r>
        <w:t>框架的改编版本，对所有证据进行分级：</w:t>
      </w:r>
    </w:p>
    <w:tbl>
      <w:tblPr>
        <w:tblStyle w:val="44"/>
        <w:tblW w:w="8856" w:type="dxa"/>
        <w:jc w:val="center"/>
        <w:tblLayout w:type="autofit"/>
        <w:tblCellMar>
          <w:top w:w="0" w:type="dxa"/>
          <w:left w:w="108" w:type="dxa"/>
          <w:bottom w:w="0" w:type="dxa"/>
          <w:right w:w="108" w:type="dxa"/>
        </w:tblCellMar>
      </w:tblPr>
      <w:tblGrid>
        <w:gridCol w:w="892"/>
        <w:gridCol w:w="892"/>
        <w:gridCol w:w="3038"/>
        <w:gridCol w:w="4034"/>
      </w:tblGrid>
      <w:tr w14:paraId="6731543F">
        <w:tblPrEx>
          <w:tblCellMar>
            <w:top w:w="0" w:type="dxa"/>
            <w:left w:w="108" w:type="dxa"/>
            <w:bottom w:w="0" w:type="dxa"/>
            <w:right w:w="108" w:type="dxa"/>
          </w:tblCellMar>
        </w:tblPrEx>
        <w:trPr>
          <w:trHeight w:val="0" w:hRule="atLeast"/>
          <w:tblHeader/>
          <w:jc w:val="center"/>
        </w:trPr>
        <w:tc>
          <w:tcPr>
            <w:tcW w:w="892" w:type="dxa"/>
            <w:tcBorders>
              <w:top w:val="single" w:color="auto" w:sz="12" w:space="0"/>
              <w:left w:val="nil"/>
              <w:bottom w:val="single" w:color="auto" w:sz="4" w:space="0"/>
              <w:right w:val="nil"/>
            </w:tcBorders>
            <w:vAlign w:val="center"/>
          </w:tcPr>
          <w:p w14:paraId="6D8C720B">
            <w:pPr>
              <w:pStyle w:val="27"/>
              <w:keepNext/>
              <w:snapToGrid w:val="0"/>
              <w:spacing w:line="240" w:lineRule="auto"/>
              <w:ind w:left="0" w:leftChars="0" w:right="0" w:rightChars="0" w:firstLine="0" w:firstLineChars="0"/>
              <w:jc w:val="center"/>
              <w:rPr>
                <w:b/>
              </w:rPr>
            </w:pPr>
            <w:r>
              <w:rPr>
                <w:b/>
              </w:rPr>
              <w:t>等级</w:t>
            </w:r>
          </w:p>
        </w:tc>
        <w:tc>
          <w:tcPr>
            <w:tcW w:w="892" w:type="dxa"/>
            <w:tcBorders>
              <w:top w:val="single" w:color="auto" w:sz="12" w:space="0"/>
              <w:left w:val="nil"/>
              <w:bottom w:val="single" w:color="auto" w:sz="4" w:space="0"/>
              <w:right w:val="nil"/>
            </w:tcBorders>
            <w:vAlign w:val="center"/>
          </w:tcPr>
          <w:p w14:paraId="3596FF62">
            <w:pPr>
              <w:pStyle w:val="27"/>
              <w:keepNext/>
              <w:snapToGrid w:val="0"/>
              <w:spacing w:line="240" w:lineRule="auto"/>
              <w:ind w:left="0" w:leftChars="0" w:right="0" w:rightChars="0" w:firstLine="0" w:firstLineChars="0"/>
              <w:jc w:val="center"/>
              <w:rPr>
                <w:b/>
              </w:rPr>
            </w:pPr>
            <w:r>
              <w:rPr>
                <w:b/>
              </w:rPr>
              <w:t>代码</w:t>
            </w:r>
          </w:p>
        </w:tc>
        <w:tc>
          <w:tcPr>
            <w:tcW w:w="3038" w:type="dxa"/>
            <w:tcBorders>
              <w:top w:val="single" w:color="auto" w:sz="12" w:space="0"/>
              <w:left w:val="nil"/>
              <w:bottom w:val="single" w:color="auto" w:sz="4" w:space="0"/>
              <w:right w:val="nil"/>
            </w:tcBorders>
            <w:vAlign w:val="center"/>
          </w:tcPr>
          <w:p w14:paraId="67CA19FA">
            <w:pPr>
              <w:pStyle w:val="27"/>
              <w:keepNext/>
              <w:snapToGrid w:val="0"/>
              <w:spacing w:line="240" w:lineRule="auto"/>
              <w:ind w:left="0" w:leftChars="0" w:right="0" w:rightChars="0" w:firstLine="0" w:firstLineChars="0"/>
              <w:jc w:val="center"/>
              <w:rPr>
                <w:b/>
              </w:rPr>
            </w:pPr>
            <w:r>
              <w:rPr>
                <w:b/>
              </w:rPr>
              <w:t>定义</w:t>
            </w:r>
          </w:p>
        </w:tc>
        <w:tc>
          <w:tcPr>
            <w:tcW w:w="4034" w:type="dxa"/>
            <w:tcBorders>
              <w:top w:val="single" w:color="auto" w:sz="12" w:space="0"/>
              <w:left w:val="nil"/>
              <w:bottom w:val="single" w:color="auto" w:sz="4" w:space="0"/>
              <w:right w:val="nil"/>
            </w:tcBorders>
            <w:vAlign w:val="center"/>
          </w:tcPr>
          <w:p w14:paraId="690F7643">
            <w:pPr>
              <w:pStyle w:val="27"/>
              <w:keepNext/>
              <w:snapToGrid w:val="0"/>
              <w:spacing w:line="240" w:lineRule="auto"/>
              <w:ind w:left="0" w:leftChars="0" w:right="0" w:rightChars="0" w:firstLine="0" w:firstLineChars="0"/>
              <w:jc w:val="center"/>
              <w:rPr>
                <w:b/>
              </w:rPr>
            </w:pPr>
            <w:r>
              <w:rPr>
                <w:b/>
              </w:rPr>
              <w:t>本研究中的应用示例</w:t>
            </w:r>
          </w:p>
        </w:tc>
      </w:tr>
      <w:tr w14:paraId="68B5F724">
        <w:tblPrEx>
          <w:tblCellMar>
            <w:top w:w="0" w:type="dxa"/>
            <w:left w:w="108" w:type="dxa"/>
            <w:bottom w:w="0" w:type="dxa"/>
            <w:right w:w="108" w:type="dxa"/>
          </w:tblCellMar>
        </w:tblPrEx>
        <w:trPr>
          <w:trHeight w:val="0" w:hRule="atLeast"/>
          <w:jc w:val="center"/>
        </w:trPr>
        <w:tc>
          <w:tcPr>
            <w:tcW w:w="892" w:type="dxa"/>
            <w:tcBorders>
              <w:top w:val="single" w:color="auto" w:sz="4" w:space="0"/>
              <w:left w:val="nil"/>
              <w:bottom w:val="nil"/>
              <w:right w:val="nil"/>
            </w:tcBorders>
            <w:vAlign w:val="center"/>
          </w:tcPr>
          <w:p w14:paraId="456F9496">
            <w:pPr>
              <w:pStyle w:val="27"/>
              <w:keepNext/>
              <w:snapToGrid w:val="0"/>
              <w:spacing w:line="240" w:lineRule="auto"/>
              <w:ind w:left="0" w:leftChars="0" w:right="0" w:rightChars="0" w:firstLine="0" w:firstLineChars="0"/>
              <w:jc w:val="center"/>
            </w:pPr>
            <w:r>
              <w:rPr>
                <w:b/>
                <w:bCs/>
              </w:rPr>
              <w:t>高</w:t>
            </w:r>
          </w:p>
        </w:tc>
        <w:tc>
          <w:tcPr>
            <w:tcW w:w="892" w:type="dxa"/>
            <w:tcBorders>
              <w:top w:val="single" w:color="auto" w:sz="4" w:space="0"/>
              <w:left w:val="nil"/>
              <w:bottom w:val="nil"/>
              <w:right w:val="nil"/>
            </w:tcBorders>
            <w:vAlign w:val="center"/>
          </w:tcPr>
          <w:p w14:paraId="742BA0CF">
            <w:pPr>
              <w:pStyle w:val="27"/>
              <w:keepNext/>
              <w:snapToGrid w:val="0"/>
              <w:spacing w:line="240" w:lineRule="auto"/>
              <w:ind w:left="0" w:leftChars="0" w:right="0" w:rightChars="0" w:firstLine="0" w:firstLineChars="0"/>
              <w:jc w:val="center"/>
            </w:pPr>
            <w:r>
              <w:t>[A]</w:t>
            </w:r>
          </w:p>
        </w:tc>
        <w:tc>
          <w:tcPr>
            <w:tcW w:w="3038" w:type="dxa"/>
            <w:tcBorders>
              <w:top w:val="single" w:color="auto" w:sz="4" w:space="0"/>
              <w:left w:val="nil"/>
              <w:bottom w:val="nil"/>
              <w:right w:val="nil"/>
            </w:tcBorders>
            <w:vAlign w:val="center"/>
          </w:tcPr>
          <w:p w14:paraId="5181785F">
            <w:pPr>
              <w:pStyle w:val="27"/>
              <w:keepNext/>
              <w:snapToGrid w:val="0"/>
              <w:spacing w:line="240" w:lineRule="auto"/>
              <w:ind w:left="0" w:leftChars="0" w:right="0" w:rightChars="0" w:firstLine="0" w:firstLineChars="0"/>
              <w:jc w:val="left"/>
            </w:pPr>
            <w:r>
              <w:t>多源交叉验证的定量数据，经审计或司法背书</w:t>
            </w:r>
          </w:p>
        </w:tc>
        <w:tc>
          <w:tcPr>
            <w:tcW w:w="4034" w:type="dxa"/>
            <w:tcBorders>
              <w:top w:val="single" w:color="auto" w:sz="4" w:space="0"/>
              <w:left w:val="nil"/>
              <w:bottom w:val="nil"/>
              <w:right w:val="nil"/>
            </w:tcBorders>
            <w:vAlign w:val="center"/>
          </w:tcPr>
          <w:p w14:paraId="7F86569A">
            <w:pPr>
              <w:pStyle w:val="27"/>
              <w:keepNext/>
              <w:snapToGrid w:val="0"/>
              <w:spacing w:line="240" w:lineRule="auto"/>
              <w:ind w:left="0" w:leftChars="0" w:right="0" w:rightChars="0" w:firstLine="0" w:firstLineChars="0"/>
              <w:jc w:val="center"/>
            </w:pPr>
            <w:r>
              <w:t>希迪智驾上市日期（港交所公告）、清水湾二期注册资本（天眼查）</w:t>
            </w:r>
          </w:p>
        </w:tc>
      </w:tr>
      <w:tr w14:paraId="298B8850">
        <w:tblPrEx>
          <w:tblCellMar>
            <w:top w:w="0" w:type="dxa"/>
            <w:left w:w="108" w:type="dxa"/>
            <w:bottom w:w="0" w:type="dxa"/>
            <w:right w:w="108" w:type="dxa"/>
          </w:tblCellMar>
        </w:tblPrEx>
        <w:trPr>
          <w:trHeight w:val="0" w:hRule="atLeast"/>
          <w:jc w:val="center"/>
        </w:trPr>
        <w:tc>
          <w:tcPr>
            <w:tcW w:w="892" w:type="dxa"/>
            <w:tcBorders>
              <w:top w:val="nil"/>
              <w:left w:val="nil"/>
              <w:bottom w:val="nil"/>
              <w:right w:val="nil"/>
            </w:tcBorders>
            <w:vAlign w:val="center"/>
          </w:tcPr>
          <w:p w14:paraId="5AA01D7D">
            <w:pPr>
              <w:pStyle w:val="27"/>
              <w:keepNext/>
              <w:snapToGrid w:val="0"/>
              <w:spacing w:line="240" w:lineRule="auto"/>
              <w:ind w:left="0" w:leftChars="0" w:right="0" w:rightChars="0" w:firstLine="0" w:firstLineChars="0"/>
              <w:jc w:val="center"/>
            </w:pPr>
            <w:r>
              <w:rPr>
                <w:b/>
                <w:bCs/>
              </w:rPr>
              <w:t>中</w:t>
            </w:r>
          </w:p>
        </w:tc>
        <w:tc>
          <w:tcPr>
            <w:tcW w:w="892" w:type="dxa"/>
            <w:tcBorders>
              <w:top w:val="nil"/>
              <w:left w:val="nil"/>
              <w:bottom w:val="nil"/>
              <w:right w:val="nil"/>
            </w:tcBorders>
            <w:vAlign w:val="center"/>
          </w:tcPr>
          <w:p w14:paraId="6C8F7678">
            <w:pPr>
              <w:pStyle w:val="27"/>
              <w:keepNext/>
              <w:snapToGrid w:val="0"/>
              <w:spacing w:line="240" w:lineRule="auto"/>
              <w:ind w:left="0" w:leftChars="0" w:right="0" w:rightChars="0" w:firstLine="0" w:firstLineChars="0"/>
              <w:jc w:val="center"/>
            </w:pPr>
            <w:r>
              <w:t>[B]</w:t>
            </w:r>
          </w:p>
        </w:tc>
        <w:tc>
          <w:tcPr>
            <w:tcW w:w="3038" w:type="dxa"/>
            <w:tcBorders>
              <w:top w:val="nil"/>
              <w:left w:val="nil"/>
              <w:bottom w:val="nil"/>
              <w:right w:val="nil"/>
            </w:tcBorders>
            <w:vAlign w:val="center"/>
          </w:tcPr>
          <w:p w14:paraId="3A4CB224">
            <w:pPr>
              <w:pStyle w:val="27"/>
              <w:keepNext/>
              <w:snapToGrid w:val="0"/>
              <w:spacing w:line="240" w:lineRule="auto"/>
              <w:ind w:left="0" w:leftChars="0" w:right="0" w:rightChars="0" w:firstLine="0" w:firstLineChars="0"/>
              <w:jc w:val="left"/>
            </w:pPr>
            <w:r>
              <w:t>权威媒体重复报道，但缺乏原始底稿</w:t>
            </w:r>
          </w:p>
        </w:tc>
        <w:tc>
          <w:tcPr>
            <w:tcW w:w="4034" w:type="dxa"/>
            <w:tcBorders>
              <w:top w:val="nil"/>
              <w:left w:val="nil"/>
              <w:bottom w:val="nil"/>
              <w:right w:val="nil"/>
            </w:tcBorders>
            <w:vAlign w:val="center"/>
          </w:tcPr>
          <w:p w14:paraId="458CCDB2">
            <w:pPr>
              <w:pStyle w:val="27"/>
              <w:keepNext/>
              <w:snapToGrid w:val="0"/>
              <w:spacing w:line="240" w:lineRule="auto"/>
              <w:ind w:left="0" w:leftChars="0" w:right="0" w:rightChars="0" w:firstLine="0" w:firstLineChars="0"/>
              <w:jc w:val="center"/>
            </w:pPr>
            <w:r>
              <w:t>XbotPark孵化企业存活率80%、总估值3500亿元</w:t>
            </w:r>
          </w:p>
        </w:tc>
      </w:tr>
      <w:tr w14:paraId="50256629">
        <w:tblPrEx>
          <w:tblCellMar>
            <w:top w:w="0" w:type="dxa"/>
            <w:left w:w="108" w:type="dxa"/>
            <w:bottom w:w="0" w:type="dxa"/>
            <w:right w:w="108" w:type="dxa"/>
          </w:tblCellMar>
        </w:tblPrEx>
        <w:trPr>
          <w:trHeight w:val="0" w:hRule="atLeast"/>
          <w:jc w:val="center"/>
        </w:trPr>
        <w:tc>
          <w:tcPr>
            <w:tcW w:w="892" w:type="dxa"/>
            <w:tcBorders>
              <w:top w:val="nil"/>
              <w:left w:val="nil"/>
              <w:bottom w:val="nil"/>
              <w:right w:val="nil"/>
            </w:tcBorders>
            <w:vAlign w:val="center"/>
          </w:tcPr>
          <w:p w14:paraId="3E4DA1CC">
            <w:pPr>
              <w:pStyle w:val="27"/>
              <w:keepNext/>
              <w:snapToGrid w:val="0"/>
              <w:spacing w:line="240" w:lineRule="auto"/>
              <w:ind w:left="0" w:leftChars="0" w:right="0" w:rightChars="0" w:firstLine="0" w:firstLineChars="0"/>
              <w:jc w:val="center"/>
            </w:pPr>
            <w:r>
              <w:rPr>
                <w:b/>
                <w:bCs/>
              </w:rPr>
              <w:t>低</w:t>
            </w:r>
          </w:p>
        </w:tc>
        <w:tc>
          <w:tcPr>
            <w:tcW w:w="892" w:type="dxa"/>
            <w:tcBorders>
              <w:top w:val="nil"/>
              <w:left w:val="nil"/>
              <w:bottom w:val="nil"/>
              <w:right w:val="nil"/>
            </w:tcBorders>
            <w:vAlign w:val="center"/>
          </w:tcPr>
          <w:p w14:paraId="72849648">
            <w:pPr>
              <w:pStyle w:val="27"/>
              <w:keepNext/>
              <w:snapToGrid w:val="0"/>
              <w:spacing w:line="240" w:lineRule="auto"/>
              <w:ind w:left="0" w:leftChars="0" w:right="0" w:rightChars="0" w:firstLine="0" w:firstLineChars="0"/>
              <w:jc w:val="center"/>
            </w:pPr>
            <w:r>
              <w:t>[C]</w:t>
            </w:r>
          </w:p>
        </w:tc>
        <w:tc>
          <w:tcPr>
            <w:tcW w:w="3038" w:type="dxa"/>
            <w:tcBorders>
              <w:top w:val="nil"/>
              <w:left w:val="nil"/>
              <w:bottom w:val="nil"/>
              <w:right w:val="nil"/>
            </w:tcBorders>
            <w:vAlign w:val="center"/>
          </w:tcPr>
          <w:p w14:paraId="7234AED2">
            <w:pPr>
              <w:pStyle w:val="27"/>
              <w:keepNext/>
              <w:snapToGrid w:val="0"/>
              <w:spacing w:line="240" w:lineRule="auto"/>
              <w:ind w:left="0" w:leftChars="0" w:right="0" w:rightChars="0" w:firstLine="0" w:firstLineChars="0"/>
              <w:jc w:val="left"/>
            </w:pPr>
            <w:r>
              <w:t>单一来源或自述数据，未经验证</w:t>
            </w:r>
          </w:p>
        </w:tc>
        <w:tc>
          <w:tcPr>
            <w:tcW w:w="4034" w:type="dxa"/>
            <w:tcBorders>
              <w:top w:val="nil"/>
              <w:left w:val="nil"/>
              <w:bottom w:val="nil"/>
              <w:right w:val="nil"/>
            </w:tcBorders>
            <w:vAlign w:val="center"/>
          </w:tcPr>
          <w:p w14:paraId="5F93FC4C">
            <w:pPr>
              <w:pStyle w:val="27"/>
              <w:keepNext/>
              <w:snapToGrid w:val="0"/>
              <w:spacing w:line="240" w:lineRule="auto"/>
              <w:ind w:left="0" w:leftChars="0" w:right="0" w:rightChars="0" w:firstLine="0" w:firstLineChars="0"/>
              <w:jc w:val="center"/>
            </w:pPr>
            <w:r>
              <w:t>满意解方法论有效性、服务定价策略、效果提升百分比</w:t>
            </w:r>
          </w:p>
        </w:tc>
      </w:tr>
      <w:tr w14:paraId="250596B4">
        <w:tblPrEx>
          <w:tblCellMar>
            <w:top w:w="0" w:type="dxa"/>
            <w:left w:w="108" w:type="dxa"/>
            <w:bottom w:w="0" w:type="dxa"/>
            <w:right w:w="108" w:type="dxa"/>
          </w:tblCellMar>
        </w:tblPrEx>
        <w:trPr>
          <w:trHeight w:val="0" w:hRule="atLeast"/>
          <w:jc w:val="center"/>
        </w:trPr>
        <w:tc>
          <w:tcPr>
            <w:tcW w:w="892" w:type="dxa"/>
            <w:tcBorders>
              <w:top w:val="nil"/>
              <w:left w:val="nil"/>
              <w:bottom w:val="single" w:color="auto" w:sz="12" w:space="0"/>
              <w:right w:val="nil"/>
            </w:tcBorders>
            <w:vAlign w:val="center"/>
          </w:tcPr>
          <w:p w14:paraId="6EDB248B">
            <w:pPr>
              <w:pStyle w:val="27"/>
              <w:keepNext/>
              <w:snapToGrid w:val="0"/>
              <w:spacing w:line="240" w:lineRule="auto"/>
              <w:ind w:left="0" w:leftChars="0" w:right="0" w:rightChars="0" w:firstLine="0" w:firstLineChars="0"/>
              <w:jc w:val="center"/>
            </w:pPr>
            <w:r>
              <w:rPr>
                <w:b/>
                <w:bCs/>
              </w:rPr>
              <w:t>模拟</w:t>
            </w:r>
          </w:p>
        </w:tc>
        <w:tc>
          <w:tcPr>
            <w:tcW w:w="892" w:type="dxa"/>
            <w:tcBorders>
              <w:top w:val="nil"/>
              <w:left w:val="nil"/>
              <w:bottom w:val="single" w:color="auto" w:sz="12" w:space="0"/>
              <w:right w:val="nil"/>
            </w:tcBorders>
            <w:vAlign w:val="center"/>
          </w:tcPr>
          <w:p w14:paraId="2737F167">
            <w:pPr>
              <w:pStyle w:val="27"/>
              <w:keepNext/>
              <w:snapToGrid w:val="0"/>
              <w:spacing w:line="240" w:lineRule="auto"/>
              <w:ind w:left="0" w:leftChars="0" w:right="0" w:rightChars="0" w:firstLine="0" w:firstLineChars="0"/>
              <w:jc w:val="center"/>
            </w:pPr>
            <w:r>
              <w:t>[S]</w:t>
            </w:r>
          </w:p>
        </w:tc>
        <w:tc>
          <w:tcPr>
            <w:tcW w:w="3038" w:type="dxa"/>
            <w:tcBorders>
              <w:top w:val="nil"/>
              <w:left w:val="nil"/>
              <w:bottom w:val="single" w:color="auto" w:sz="12" w:space="0"/>
              <w:right w:val="nil"/>
            </w:tcBorders>
            <w:vAlign w:val="center"/>
          </w:tcPr>
          <w:p w14:paraId="04567814">
            <w:pPr>
              <w:pStyle w:val="27"/>
              <w:keepNext/>
              <w:snapToGrid w:val="0"/>
              <w:spacing w:line="240" w:lineRule="auto"/>
              <w:ind w:left="0" w:leftChars="0" w:right="0" w:rightChars="0" w:firstLine="0" w:firstLineChars="0"/>
              <w:jc w:val="left"/>
            </w:pPr>
            <w:r>
              <w:t>AI生成或提案方建构的假设性数据，仅用于演示</w:t>
            </w:r>
          </w:p>
        </w:tc>
        <w:tc>
          <w:tcPr>
            <w:tcW w:w="4034" w:type="dxa"/>
            <w:tcBorders>
              <w:top w:val="nil"/>
              <w:left w:val="nil"/>
              <w:bottom w:val="single" w:color="auto" w:sz="12" w:space="0"/>
              <w:right w:val="nil"/>
            </w:tcBorders>
            <w:vAlign w:val="center"/>
          </w:tcPr>
          <w:p w14:paraId="1CCB8A39">
            <w:pPr>
              <w:pStyle w:val="27"/>
              <w:keepNext/>
              <w:snapToGrid w:val="0"/>
              <w:spacing w:line="240" w:lineRule="auto"/>
              <w:ind w:left="0" w:leftChars="0" w:right="0" w:rightChars="0" w:firstLine="0" w:firstLineChars="0"/>
              <w:jc w:val="center"/>
            </w:pPr>
            <w:r>
              <w:t>科创学院60%创业率、合伙人四维度权重分配、财务预测模型</w:t>
            </w:r>
          </w:p>
        </w:tc>
      </w:tr>
      <w:bookmarkEnd w:id="41"/>
    </w:tbl>
    <w:p w14:paraId="77352953">
      <w:pPr>
        <w:pStyle w:val="5"/>
      </w:pPr>
      <w:bookmarkStart w:id="42" w:name="附录c不可验证内容清单与处理建议"/>
      <w:r>
        <w:t>附录C：不可验证内容清单与处理建议</w:t>
      </w:r>
    </w:p>
    <w:p w14:paraId="4D249DCC">
      <w:pPr>
        <w:pStyle w:val="26"/>
      </w:pPr>
      <w:r>
        <w:t>以下内容在现有公开渠道中</w:t>
      </w:r>
      <w:r>
        <w:rPr>
          <w:b/>
          <w:bCs/>
        </w:rPr>
        <w:t>无法找到可验证信息</w:t>
      </w:r>
      <w:r>
        <w:t>，已按学术规范进行特殊标注处理：</w:t>
      </w:r>
    </w:p>
    <w:tbl>
      <w:tblPr>
        <w:tblStyle w:val="44"/>
        <w:tblW w:w="9425" w:type="dxa"/>
        <w:jc w:val="center"/>
        <w:tblLayout w:type="autofit"/>
        <w:tblCellMar>
          <w:top w:w="0" w:type="dxa"/>
          <w:left w:w="108" w:type="dxa"/>
          <w:bottom w:w="0" w:type="dxa"/>
          <w:right w:w="108" w:type="dxa"/>
        </w:tblCellMar>
      </w:tblPr>
      <w:tblGrid>
        <w:gridCol w:w="2666"/>
        <w:gridCol w:w="1781"/>
        <w:gridCol w:w="1909"/>
        <w:gridCol w:w="3069"/>
      </w:tblGrid>
      <w:tr w14:paraId="6FC96AD0">
        <w:tblPrEx>
          <w:tblCellMar>
            <w:top w:w="0" w:type="dxa"/>
            <w:left w:w="108" w:type="dxa"/>
            <w:bottom w:w="0" w:type="dxa"/>
            <w:right w:w="108" w:type="dxa"/>
          </w:tblCellMar>
        </w:tblPrEx>
        <w:trPr>
          <w:trHeight w:val="0" w:hRule="atLeast"/>
          <w:tblHeader/>
          <w:jc w:val="center"/>
        </w:trPr>
        <w:tc>
          <w:tcPr>
            <w:tcW w:w="2666" w:type="dxa"/>
            <w:tcBorders>
              <w:top w:val="single" w:color="auto" w:sz="12" w:space="0"/>
              <w:left w:val="nil"/>
              <w:bottom w:val="single" w:color="auto" w:sz="4" w:space="0"/>
              <w:right w:val="nil"/>
            </w:tcBorders>
            <w:vAlign w:val="center"/>
          </w:tcPr>
          <w:p w14:paraId="74C2D97B">
            <w:pPr>
              <w:pStyle w:val="27"/>
              <w:snapToGrid w:val="0"/>
              <w:spacing w:line="240" w:lineRule="auto"/>
              <w:ind w:left="0" w:leftChars="0" w:right="0" w:rightChars="0" w:firstLine="0" w:firstLineChars="0"/>
              <w:jc w:val="center"/>
              <w:rPr>
                <w:b/>
              </w:rPr>
            </w:pPr>
            <w:r>
              <w:rPr>
                <w:b/>
              </w:rPr>
              <w:t>内容描述</w:t>
            </w:r>
          </w:p>
        </w:tc>
        <w:tc>
          <w:tcPr>
            <w:tcW w:w="1781" w:type="dxa"/>
            <w:tcBorders>
              <w:top w:val="single" w:color="auto" w:sz="12" w:space="0"/>
              <w:left w:val="nil"/>
              <w:bottom w:val="single" w:color="auto" w:sz="4" w:space="0"/>
              <w:right w:val="nil"/>
            </w:tcBorders>
            <w:vAlign w:val="center"/>
          </w:tcPr>
          <w:p w14:paraId="4E5EF80E">
            <w:pPr>
              <w:pStyle w:val="27"/>
              <w:snapToGrid w:val="0"/>
              <w:spacing w:line="240" w:lineRule="auto"/>
              <w:ind w:left="0" w:leftChars="0" w:right="0" w:rightChars="0" w:firstLine="0" w:firstLineChars="0"/>
              <w:jc w:val="center"/>
              <w:rPr>
                <w:b/>
              </w:rPr>
            </w:pPr>
            <w:r>
              <w:rPr>
                <w:b/>
              </w:rPr>
              <w:t>原始文档位置</w:t>
            </w:r>
          </w:p>
        </w:tc>
        <w:tc>
          <w:tcPr>
            <w:tcW w:w="1909" w:type="dxa"/>
            <w:tcBorders>
              <w:top w:val="single" w:color="auto" w:sz="12" w:space="0"/>
              <w:left w:val="nil"/>
              <w:bottom w:val="single" w:color="auto" w:sz="4" w:space="0"/>
              <w:right w:val="nil"/>
            </w:tcBorders>
            <w:vAlign w:val="center"/>
          </w:tcPr>
          <w:p w14:paraId="1D9B304D">
            <w:pPr>
              <w:pStyle w:val="27"/>
              <w:snapToGrid w:val="0"/>
              <w:spacing w:line="240" w:lineRule="auto"/>
              <w:ind w:left="0" w:leftChars="0" w:right="0" w:rightChars="0" w:firstLine="0" w:firstLineChars="0"/>
              <w:jc w:val="center"/>
              <w:rPr>
                <w:b/>
              </w:rPr>
            </w:pPr>
            <w:r>
              <w:rPr>
                <w:b/>
              </w:rPr>
              <w:t>处理方式</w:t>
            </w:r>
          </w:p>
        </w:tc>
        <w:tc>
          <w:tcPr>
            <w:tcW w:w="3069" w:type="dxa"/>
            <w:tcBorders>
              <w:top w:val="single" w:color="auto" w:sz="12" w:space="0"/>
              <w:left w:val="nil"/>
              <w:bottom w:val="single" w:color="auto" w:sz="4" w:space="0"/>
              <w:right w:val="nil"/>
            </w:tcBorders>
            <w:vAlign w:val="center"/>
          </w:tcPr>
          <w:p w14:paraId="6E9A5957">
            <w:pPr>
              <w:pStyle w:val="27"/>
              <w:snapToGrid w:val="0"/>
              <w:spacing w:line="240" w:lineRule="auto"/>
              <w:ind w:left="0" w:leftChars="0" w:right="0" w:rightChars="0" w:firstLine="0" w:firstLineChars="0"/>
              <w:jc w:val="center"/>
              <w:rPr>
                <w:b/>
              </w:rPr>
            </w:pPr>
            <w:r>
              <w:rPr>
                <w:b/>
              </w:rPr>
              <w:t>建议验证途径</w:t>
            </w:r>
          </w:p>
        </w:tc>
      </w:tr>
      <w:tr w14:paraId="20634430">
        <w:tblPrEx>
          <w:tblCellMar>
            <w:top w:w="0" w:type="dxa"/>
            <w:left w:w="108" w:type="dxa"/>
            <w:bottom w:w="0" w:type="dxa"/>
            <w:right w:w="108" w:type="dxa"/>
          </w:tblCellMar>
        </w:tblPrEx>
        <w:trPr>
          <w:trHeight w:val="0" w:hRule="atLeast"/>
          <w:jc w:val="center"/>
        </w:trPr>
        <w:tc>
          <w:tcPr>
            <w:tcW w:w="2666" w:type="dxa"/>
            <w:tcBorders>
              <w:top w:val="single" w:color="auto" w:sz="4" w:space="0"/>
              <w:left w:val="nil"/>
              <w:bottom w:val="nil"/>
              <w:right w:val="nil"/>
            </w:tcBorders>
            <w:vAlign w:val="center"/>
          </w:tcPr>
          <w:p w14:paraId="40726563">
            <w:pPr>
              <w:pStyle w:val="27"/>
              <w:snapToGrid w:val="0"/>
              <w:spacing w:line="240" w:lineRule="auto"/>
              <w:ind w:left="0" w:leftChars="0" w:right="0" w:rightChars="0" w:firstLine="0" w:firstLineChars="0"/>
              <w:jc w:val="left"/>
            </w:pPr>
            <w:r>
              <w:t>“科创学院首届50名学生中60%将走上创业道路”</w:t>
            </w:r>
          </w:p>
        </w:tc>
        <w:tc>
          <w:tcPr>
            <w:tcW w:w="1781" w:type="dxa"/>
            <w:tcBorders>
              <w:top w:val="single" w:color="auto" w:sz="4" w:space="0"/>
              <w:left w:val="nil"/>
              <w:bottom w:val="nil"/>
              <w:right w:val="nil"/>
            </w:tcBorders>
            <w:vAlign w:val="center"/>
          </w:tcPr>
          <w:p w14:paraId="749E32AD">
            <w:pPr>
              <w:pStyle w:val="27"/>
              <w:snapToGrid w:val="0"/>
              <w:spacing w:line="240" w:lineRule="auto"/>
              <w:ind w:left="0" w:leftChars="0" w:right="0" w:rightChars="0" w:firstLine="0" w:firstLineChars="0"/>
              <w:jc w:val="center"/>
            </w:pPr>
            <w:r>
              <w:t>1.1.1节</w:t>
            </w:r>
          </w:p>
        </w:tc>
        <w:tc>
          <w:tcPr>
            <w:tcW w:w="1909" w:type="dxa"/>
            <w:tcBorders>
              <w:top w:val="single" w:color="auto" w:sz="4" w:space="0"/>
              <w:left w:val="nil"/>
              <w:bottom w:val="nil"/>
              <w:right w:val="nil"/>
            </w:tcBorders>
            <w:vAlign w:val="center"/>
          </w:tcPr>
          <w:p w14:paraId="6D83C22A">
            <w:pPr>
              <w:pStyle w:val="27"/>
              <w:snapToGrid w:val="0"/>
              <w:spacing w:line="240" w:lineRule="auto"/>
              <w:ind w:left="0" w:leftChars="0" w:right="0" w:rightChars="0" w:firstLine="0" w:firstLineChars="0"/>
              <w:jc w:val="left"/>
            </w:pPr>
            <w:r>
              <w:t>[模拟数据警告]</w:t>
            </w:r>
          </w:p>
        </w:tc>
        <w:tc>
          <w:tcPr>
            <w:tcW w:w="3069" w:type="dxa"/>
            <w:tcBorders>
              <w:top w:val="single" w:color="auto" w:sz="4" w:space="0"/>
              <w:left w:val="nil"/>
              <w:bottom w:val="nil"/>
              <w:right w:val="nil"/>
            </w:tcBorders>
            <w:vAlign w:val="center"/>
          </w:tcPr>
          <w:p w14:paraId="4ADCE36C">
            <w:pPr>
              <w:pStyle w:val="27"/>
              <w:snapToGrid w:val="0"/>
              <w:spacing w:line="240" w:lineRule="auto"/>
              <w:ind w:left="0" w:leftChars="0" w:right="0" w:rightChars="0" w:firstLine="0" w:firstLineChars="0"/>
              <w:jc w:val="left"/>
            </w:pPr>
            <w:r>
              <w:t>联系深圳科创学院招生办获取就业质量报告</w:t>
            </w:r>
          </w:p>
        </w:tc>
      </w:tr>
      <w:tr w14:paraId="79AC12C5">
        <w:tblPrEx>
          <w:tblCellMar>
            <w:top w:w="0" w:type="dxa"/>
            <w:left w:w="108" w:type="dxa"/>
            <w:bottom w:w="0" w:type="dxa"/>
            <w:right w:w="108" w:type="dxa"/>
          </w:tblCellMar>
        </w:tblPrEx>
        <w:trPr>
          <w:trHeight w:val="0" w:hRule="atLeast"/>
          <w:jc w:val="center"/>
        </w:trPr>
        <w:tc>
          <w:tcPr>
            <w:tcW w:w="2666" w:type="dxa"/>
            <w:tcBorders>
              <w:top w:val="nil"/>
              <w:left w:val="nil"/>
              <w:bottom w:val="nil"/>
              <w:right w:val="nil"/>
            </w:tcBorders>
            <w:vAlign w:val="center"/>
          </w:tcPr>
          <w:p w14:paraId="7D91C2B1">
            <w:pPr>
              <w:pStyle w:val="27"/>
              <w:snapToGrid w:val="0"/>
              <w:spacing w:line="240" w:lineRule="auto"/>
              <w:ind w:left="0" w:leftChars="0" w:right="0" w:rightChars="0" w:firstLine="0" w:firstLineChars="0"/>
              <w:jc w:val="left"/>
            </w:pPr>
            <w:r>
              <w:t>“XbotPark基金、清水湾基金数亿元人民币”</w:t>
            </w:r>
          </w:p>
        </w:tc>
        <w:tc>
          <w:tcPr>
            <w:tcW w:w="1781" w:type="dxa"/>
            <w:tcBorders>
              <w:top w:val="nil"/>
              <w:left w:val="nil"/>
              <w:bottom w:val="nil"/>
              <w:right w:val="nil"/>
            </w:tcBorders>
            <w:vAlign w:val="center"/>
          </w:tcPr>
          <w:p w14:paraId="5DDB774B">
            <w:pPr>
              <w:pStyle w:val="27"/>
              <w:snapToGrid w:val="0"/>
              <w:spacing w:line="240" w:lineRule="auto"/>
              <w:ind w:left="0" w:leftChars="0" w:right="0" w:rightChars="0" w:firstLine="0" w:firstLineChars="0"/>
              <w:jc w:val="center"/>
            </w:pPr>
            <w:r>
              <w:t>1.3.3节</w:t>
            </w:r>
          </w:p>
        </w:tc>
        <w:tc>
          <w:tcPr>
            <w:tcW w:w="1909" w:type="dxa"/>
            <w:tcBorders>
              <w:top w:val="nil"/>
              <w:left w:val="nil"/>
              <w:bottom w:val="nil"/>
              <w:right w:val="nil"/>
            </w:tcBorders>
            <w:vAlign w:val="center"/>
          </w:tcPr>
          <w:p w14:paraId="0E1C7109">
            <w:pPr>
              <w:pStyle w:val="27"/>
              <w:snapToGrid w:val="0"/>
              <w:spacing w:line="240" w:lineRule="auto"/>
              <w:ind w:left="0" w:leftChars="0" w:right="0" w:rightChars="0" w:firstLine="0" w:firstLineChars="0"/>
              <w:jc w:val="left"/>
            </w:pPr>
            <w:r>
              <w:t>[需人工验证：获取基金业协会备案数据]</w:t>
            </w:r>
          </w:p>
        </w:tc>
        <w:tc>
          <w:tcPr>
            <w:tcW w:w="3069" w:type="dxa"/>
            <w:tcBorders>
              <w:top w:val="nil"/>
              <w:left w:val="nil"/>
              <w:bottom w:val="nil"/>
              <w:right w:val="nil"/>
            </w:tcBorders>
            <w:vAlign w:val="center"/>
          </w:tcPr>
          <w:p w14:paraId="1A7A1620">
            <w:pPr>
              <w:pStyle w:val="27"/>
              <w:snapToGrid w:val="0"/>
              <w:spacing w:line="240" w:lineRule="auto"/>
              <w:ind w:left="0" w:leftChars="0" w:right="0" w:rightChars="0" w:firstLine="0" w:firstLineChars="0"/>
              <w:jc w:val="left"/>
            </w:pPr>
            <w:r>
              <w:t>查询中国证券投资基金业协会备案信息</w:t>
            </w:r>
          </w:p>
        </w:tc>
      </w:tr>
      <w:tr w14:paraId="1D471957">
        <w:tblPrEx>
          <w:tblCellMar>
            <w:top w:w="0" w:type="dxa"/>
            <w:left w:w="108" w:type="dxa"/>
            <w:bottom w:w="0" w:type="dxa"/>
            <w:right w:w="108" w:type="dxa"/>
          </w:tblCellMar>
        </w:tblPrEx>
        <w:trPr>
          <w:trHeight w:val="0" w:hRule="atLeast"/>
          <w:jc w:val="center"/>
        </w:trPr>
        <w:tc>
          <w:tcPr>
            <w:tcW w:w="2666" w:type="dxa"/>
            <w:tcBorders>
              <w:top w:val="nil"/>
              <w:left w:val="nil"/>
              <w:bottom w:val="nil"/>
              <w:right w:val="nil"/>
            </w:tcBorders>
            <w:vAlign w:val="center"/>
          </w:tcPr>
          <w:p w14:paraId="4FDA3662">
            <w:pPr>
              <w:pStyle w:val="27"/>
              <w:snapToGrid w:val="0"/>
              <w:spacing w:line="240" w:lineRule="auto"/>
              <w:ind w:left="0" w:leftChars="0" w:right="0" w:rightChars="0" w:firstLine="0" w:firstLineChars="0"/>
              <w:jc w:val="left"/>
            </w:pPr>
            <w:r>
              <w:t>“满意解决策框架使决策周期缩短30%”</w:t>
            </w:r>
          </w:p>
        </w:tc>
        <w:tc>
          <w:tcPr>
            <w:tcW w:w="1781" w:type="dxa"/>
            <w:tcBorders>
              <w:top w:val="nil"/>
              <w:left w:val="nil"/>
              <w:bottom w:val="nil"/>
              <w:right w:val="nil"/>
            </w:tcBorders>
            <w:vAlign w:val="center"/>
          </w:tcPr>
          <w:p w14:paraId="7E372A7D">
            <w:pPr>
              <w:pStyle w:val="27"/>
              <w:snapToGrid w:val="0"/>
              <w:spacing w:line="240" w:lineRule="auto"/>
              <w:ind w:left="0" w:leftChars="0" w:right="0" w:rightChars="0" w:firstLine="0" w:firstLineChars="0"/>
              <w:jc w:val="center"/>
            </w:pPr>
            <w:r>
              <w:t>3.3.3节</w:t>
            </w:r>
          </w:p>
        </w:tc>
        <w:tc>
          <w:tcPr>
            <w:tcW w:w="1909" w:type="dxa"/>
            <w:tcBorders>
              <w:top w:val="nil"/>
              <w:left w:val="nil"/>
              <w:bottom w:val="nil"/>
              <w:right w:val="nil"/>
            </w:tcBorders>
            <w:vAlign w:val="center"/>
          </w:tcPr>
          <w:p w14:paraId="5CEFFEDA">
            <w:pPr>
              <w:pStyle w:val="27"/>
              <w:snapToGrid w:val="0"/>
              <w:spacing w:line="240" w:lineRule="auto"/>
              <w:ind w:left="0" w:leftChars="0" w:right="0" w:rightChars="0" w:firstLine="0" w:firstLineChars="0"/>
              <w:jc w:val="left"/>
            </w:pPr>
            <w:r>
              <w:t>[提案方自述/模拟数据]</w:t>
            </w:r>
          </w:p>
        </w:tc>
        <w:tc>
          <w:tcPr>
            <w:tcW w:w="3069" w:type="dxa"/>
            <w:tcBorders>
              <w:top w:val="nil"/>
              <w:left w:val="nil"/>
              <w:bottom w:val="nil"/>
              <w:right w:val="nil"/>
            </w:tcBorders>
            <w:vAlign w:val="center"/>
          </w:tcPr>
          <w:p w14:paraId="215A3CF1">
            <w:pPr>
              <w:pStyle w:val="27"/>
              <w:snapToGrid w:val="0"/>
              <w:spacing w:line="240" w:lineRule="auto"/>
              <w:ind w:left="0" w:leftChars="0" w:right="0" w:rightChars="0" w:firstLine="0" w:firstLineChars="0"/>
              <w:jc w:val="left"/>
            </w:pPr>
            <w:r>
              <w:t>设计RCT试验验证</w:t>
            </w:r>
          </w:p>
        </w:tc>
      </w:tr>
      <w:tr w14:paraId="4BB8734A">
        <w:tblPrEx>
          <w:tblCellMar>
            <w:top w:w="0" w:type="dxa"/>
            <w:left w:w="108" w:type="dxa"/>
            <w:bottom w:w="0" w:type="dxa"/>
            <w:right w:w="108" w:type="dxa"/>
          </w:tblCellMar>
        </w:tblPrEx>
        <w:trPr>
          <w:trHeight w:val="0" w:hRule="atLeast"/>
          <w:jc w:val="center"/>
        </w:trPr>
        <w:tc>
          <w:tcPr>
            <w:tcW w:w="2666" w:type="dxa"/>
            <w:tcBorders>
              <w:top w:val="nil"/>
              <w:left w:val="nil"/>
              <w:bottom w:val="nil"/>
              <w:right w:val="nil"/>
            </w:tcBorders>
            <w:vAlign w:val="center"/>
          </w:tcPr>
          <w:p w14:paraId="373A0B20">
            <w:pPr>
              <w:pStyle w:val="27"/>
              <w:snapToGrid w:val="0"/>
              <w:spacing w:line="240" w:lineRule="auto"/>
              <w:ind w:left="0" w:leftChars="0" w:right="0" w:rightChars="0" w:firstLine="0" w:firstLineChars="0"/>
              <w:jc w:val="left"/>
            </w:pPr>
            <w:r>
              <w:t>“合伙人匹配度评估模型四维度权重”</w:t>
            </w:r>
          </w:p>
        </w:tc>
        <w:tc>
          <w:tcPr>
            <w:tcW w:w="1781" w:type="dxa"/>
            <w:tcBorders>
              <w:top w:val="nil"/>
              <w:left w:val="nil"/>
              <w:bottom w:val="nil"/>
              <w:right w:val="nil"/>
            </w:tcBorders>
            <w:vAlign w:val="center"/>
          </w:tcPr>
          <w:p w14:paraId="2E324796">
            <w:pPr>
              <w:pStyle w:val="27"/>
              <w:snapToGrid w:val="0"/>
              <w:spacing w:line="240" w:lineRule="auto"/>
              <w:ind w:left="0" w:leftChars="0" w:right="0" w:rightChars="0" w:firstLine="0" w:firstLineChars="0"/>
              <w:jc w:val="center"/>
            </w:pPr>
            <w:r>
              <w:t>7.2节</w:t>
            </w:r>
          </w:p>
        </w:tc>
        <w:tc>
          <w:tcPr>
            <w:tcW w:w="1909" w:type="dxa"/>
            <w:tcBorders>
              <w:top w:val="nil"/>
              <w:left w:val="nil"/>
              <w:bottom w:val="nil"/>
              <w:right w:val="nil"/>
            </w:tcBorders>
            <w:vAlign w:val="center"/>
          </w:tcPr>
          <w:p w14:paraId="00E727A9">
            <w:pPr>
              <w:pStyle w:val="27"/>
              <w:snapToGrid w:val="0"/>
              <w:spacing w:line="240" w:lineRule="auto"/>
              <w:ind w:left="0" w:leftChars="0" w:right="0" w:rightChars="0" w:firstLine="0" w:firstLineChars="0"/>
              <w:jc w:val="left"/>
            </w:pPr>
            <w:r>
              <w:t>[需方法学家审核]</w:t>
            </w:r>
          </w:p>
        </w:tc>
        <w:tc>
          <w:tcPr>
            <w:tcW w:w="3069" w:type="dxa"/>
            <w:tcBorders>
              <w:top w:val="nil"/>
              <w:left w:val="nil"/>
              <w:bottom w:val="nil"/>
              <w:right w:val="nil"/>
            </w:tcBorders>
            <w:vAlign w:val="center"/>
          </w:tcPr>
          <w:p w14:paraId="6B0E49D1">
            <w:pPr>
              <w:pStyle w:val="27"/>
              <w:snapToGrid w:val="0"/>
              <w:spacing w:line="240" w:lineRule="auto"/>
              <w:ind w:left="0" w:leftChars="0" w:right="0" w:rightChars="0" w:firstLine="0" w:firstLineChars="0"/>
              <w:jc w:val="left"/>
            </w:pPr>
            <w:r>
              <w:t>邀请组织行为学专家进行德尔菲法校准</w:t>
            </w:r>
          </w:p>
        </w:tc>
      </w:tr>
      <w:tr w14:paraId="0629FF7B">
        <w:tblPrEx>
          <w:tblCellMar>
            <w:top w:w="0" w:type="dxa"/>
            <w:left w:w="108" w:type="dxa"/>
            <w:bottom w:w="0" w:type="dxa"/>
            <w:right w:w="108" w:type="dxa"/>
          </w:tblCellMar>
        </w:tblPrEx>
        <w:trPr>
          <w:trHeight w:val="0" w:hRule="atLeast"/>
          <w:jc w:val="center"/>
        </w:trPr>
        <w:tc>
          <w:tcPr>
            <w:tcW w:w="2666" w:type="dxa"/>
            <w:tcBorders>
              <w:top w:val="nil"/>
              <w:left w:val="nil"/>
              <w:bottom w:val="nil"/>
              <w:right w:val="nil"/>
            </w:tcBorders>
            <w:vAlign w:val="center"/>
          </w:tcPr>
          <w:p w14:paraId="28E2ACE6">
            <w:pPr>
              <w:pStyle w:val="27"/>
              <w:snapToGrid w:val="0"/>
              <w:spacing w:line="240" w:lineRule="auto"/>
              <w:ind w:left="0" w:leftChars="0" w:right="0" w:rightChars="0" w:firstLine="0" w:firstLineChars="0"/>
              <w:jc w:val="left"/>
            </w:pPr>
            <w:r>
              <w:t>“引流成功佣金15-20%”</w:t>
            </w:r>
          </w:p>
        </w:tc>
        <w:tc>
          <w:tcPr>
            <w:tcW w:w="1781" w:type="dxa"/>
            <w:tcBorders>
              <w:top w:val="nil"/>
              <w:left w:val="nil"/>
              <w:bottom w:val="nil"/>
              <w:right w:val="nil"/>
            </w:tcBorders>
            <w:vAlign w:val="center"/>
          </w:tcPr>
          <w:p w14:paraId="67131C97">
            <w:pPr>
              <w:pStyle w:val="27"/>
              <w:snapToGrid w:val="0"/>
              <w:spacing w:line="240" w:lineRule="auto"/>
              <w:ind w:left="0" w:leftChars="0" w:right="0" w:rightChars="0" w:firstLine="0" w:firstLineChars="0"/>
              <w:jc w:val="center"/>
            </w:pPr>
            <w:r>
              <w:t>4.2.2节</w:t>
            </w:r>
          </w:p>
        </w:tc>
        <w:tc>
          <w:tcPr>
            <w:tcW w:w="1909" w:type="dxa"/>
            <w:tcBorders>
              <w:top w:val="nil"/>
              <w:left w:val="nil"/>
              <w:bottom w:val="nil"/>
              <w:right w:val="nil"/>
            </w:tcBorders>
            <w:vAlign w:val="center"/>
          </w:tcPr>
          <w:p w14:paraId="1295C3D0">
            <w:pPr>
              <w:pStyle w:val="27"/>
              <w:snapToGrid w:val="0"/>
              <w:spacing w:line="240" w:lineRule="auto"/>
              <w:ind w:left="0" w:leftChars="0" w:right="0" w:rightChars="0" w:firstLine="0" w:firstLineChars="0"/>
              <w:jc w:val="left"/>
            </w:pPr>
            <w:r>
              <w:t>[提案方自述/模拟数据]</w:t>
            </w:r>
          </w:p>
        </w:tc>
        <w:tc>
          <w:tcPr>
            <w:tcW w:w="3069" w:type="dxa"/>
            <w:tcBorders>
              <w:top w:val="nil"/>
              <w:left w:val="nil"/>
              <w:bottom w:val="nil"/>
              <w:right w:val="nil"/>
            </w:tcBorders>
            <w:vAlign w:val="center"/>
          </w:tcPr>
          <w:p w14:paraId="2F4B7FF2">
            <w:pPr>
              <w:pStyle w:val="27"/>
              <w:snapToGrid w:val="0"/>
              <w:spacing w:line="240" w:lineRule="auto"/>
              <w:ind w:left="0" w:leftChars="0" w:right="0" w:rightChars="0" w:firstLine="0" w:firstLineChars="0"/>
              <w:jc w:val="left"/>
            </w:pPr>
            <w:r>
              <w:t>调研同类服务机构（如创业黑马、盛景网联）的通道费率</w:t>
            </w:r>
          </w:p>
        </w:tc>
      </w:tr>
      <w:tr w14:paraId="2609F5C3">
        <w:tblPrEx>
          <w:tblCellMar>
            <w:top w:w="0" w:type="dxa"/>
            <w:left w:w="108" w:type="dxa"/>
            <w:bottom w:w="0" w:type="dxa"/>
            <w:right w:w="108" w:type="dxa"/>
          </w:tblCellMar>
        </w:tblPrEx>
        <w:trPr>
          <w:trHeight w:val="0" w:hRule="atLeast"/>
          <w:jc w:val="center"/>
        </w:trPr>
        <w:tc>
          <w:tcPr>
            <w:tcW w:w="2666" w:type="dxa"/>
            <w:tcBorders>
              <w:top w:val="nil"/>
              <w:left w:val="nil"/>
              <w:bottom w:val="nil"/>
              <w:right w:val="nil"/>
            </w:tcBorders>
            <w:vAlign w:val="center"/>
          </w:tcPr>
          <w:p w14:paraId="263F0778">
            <w:pPr>
              <w:pStyle w:val="27"/>
              <w:snapToGrid w:val="0"/>
              <w:spacing w:line="240" w:lineRule="auto"/>
              <w:ind w:left="0" w:leftChars="0" w:right="0" w:rightChars="0" w:firstLine="0" w:firstLineChars="0"/>
              <w:jc w:val="left"/>
            </w:pPr>
            <w:r>
              <w:t>“李泽湘联合腾讯、红杉等成立清水湾二期”</w:t>
            </w:r>
          </w:p>
        </w:tc>
        <w:tc>
          <w:tcPr>
            <w:tcW w:w="1781" w:type="dxa"/>
            <w:tcBorders>
              <w:top w:val="nil"/>
              <w:left w:val="nil"/>
              <w:bottom w:val="nil"/>
              <w:right w:val="nil"/>
            </w:tcBorders>
            <w:vAlign w:val="center"/>
          </w:tcPr>
          <w:p w14:paraId="4BEF904B">
            <w:pPr>
              <w:pStyle w:val="27"/>
              <w:snapToGrid w:val="0"/>
              <w:spacing w:line="240" w:lineRule="auto"/>
              <w:ind w:left="0" w:leftChars="0" w:right="0" w:rightChars="0" w:firstLine="0" w:firstLineChars="0"/>
              <w:jc w:val="center"/>
            </w:pPr>
            <w:r>
              <w:t>1.1.1节</w:t>
            </w:r>
          </w:p>
        </w:tc>
        <w:tc>
          <w:tcPr>
            <w:tcW w:w="1909" w:type="dxa"/>
            <w:tcBorders>
              <w:top w:val="nil"/>
              <w:left w:val="nil"/>
              <w:bottom w:val="nil"/>
              <w:right w:val="nil"/>
            </w:tcBorders>
            <w:vAlign w:val="center"/>
          </w:tcPr>
          <w:p w14:paraId="38107CB6">
            <w:pPr>
              <w:pStyle w:val="27"/>
              <w:snapToGrid w:val="0"/>
              <w:spacing w:line="240" w:lineRule="auto"/>
              <w:ind w:left="0" w:leftChars="0" w:right="0" w:rightChars="0" w:firstLine="0" w:firstLineChars="0"/>
              <w:jc w:val="left"/>
            </w:pPr>
            <w:r>
              <w:t>[需人工验证：获取LP协议原文]</w:t>
            </w:r>
          </w:p>
        </w:tc>
        <w:tc>
          <w:tcPr>
            <w:tcW w:w="3069" w:type="dxa"/>
            <w:tcBorders>
              <w:top w:val="nil"/>
              <w:left w:val="nil"/>
              <w:bottom w:val="nil"/>
              <w:right w:val="nil"/>
            </w:tcBorders>
            <w:vAlign w:val="center"/>
          </w:tcPr>
          <w:p w14:paraId="507C6B73">
            <w:pPr>
              <w:pStyle w:val="27"/>
              <w:snapToGrid w:val="0"/>
              <w:spacing w:line="240" w:lineRule="auto"/>
              <w:ind w:left="0" w:leftChars="0" w:right="0" w:rightChars="0" w:firstLine="0" w:firstLineChars="0"/>
              <w:jc w:val="left"/>
            </w:pPr>
            <w:r>
              <w:t>查阅基金合伙协议（LP Agreement）原始文件</w:t>
            </w:r>
          </w:p>
        </w:tc>
      </w:tr>
      <w:tr w14:paraId="6D917786">
        <w:tblPrEx>
          <w:tblCellMar>
            <w:top w:w="0" w:type="dxa"/>
            <w:left w:w="108" w:type="dxa"/>
            <w:bottom w:w="0" w:type="dxa"/>
            <w:right w:w="108" w:type="dxa"/>
          </w:tblCellMar>
        </w:tblPrEx>
        <w:trPr>
          <w:trHeight w:val="0" w:hRule="atLeast"/>
          <w:jc w:val="center"/>
        </w:trPr>
        <w:tc>
          <w:tcPr>
            <w:tcW w:w="2666" w:type="dxa"/>
            <w:tcBorders>
              <w:top w:val="nil"/>
              <w:left w:val="nil"/>
              <w:bottom w:val="single" w:color="auto" w:sz="12" w:space="0"/>
              <w:right w:val="nil"/>
            </w:tcBorders>
            <w:vAlign w:val="center"/>
          </w:tcPr>
          <w:p w14:paraId="15A90C87">
            <w:pPr>
              <w:pStyle w:val="27"/>
              <w:snapToGrid w:val="0"/>
              <w:spacing w:line="240" w:lineRule="auto"/>
              <w:ind w:left="0" w:leftChars="0" w:right="0" w:rightChars="0" w:firstLine="0" w:firstLineChars="0"/>
              <w:jc w:val="left"/>
            </w:pPr>
            <w:r>
              <w:t>“云鲸智能’拉郎配’组建团队”</w:t>
            </w:r>
          </w:p>
        </w:tc>
        <w:tc>
          <w:tcPr>
            <w:tcW w:w="1781" w:type="dxa"/>
            <w:tcBorders>
              <w:top w:val="nil"/>
              <w:left w:val="nil"/>
              <w:bottom w:val="single" w:color="auto" w:sz="12" w:space="0"/>
              <w:right w:val="nil"/>
            </w:tcBorders>
            <w:vAlign w:val="center"/>
          </w:tcPr>
          <w:p w14:paraId="5DB3CDED">
            <w:pPr>
              <w:pStyle w:val="27"/>
              <w:snapToGrid w:val="0"/>
              <w:spacing w:line="240" w:lineRule="auto"/>
              <w:ind w:left="0" w:leftChars="0" w:right="0" w:rightChars="0" w:firstLine="0" w:firstLineChars="0"/>
              <w:jc w:val="center"/>
            </w:pPr>
            <w:r>
              <w:t>1.2.2节</w:t>
            </w:r>
          </w:p>
        </w:tc>
        <w:tc>
          <w:tcPr>
            <w:tcW w:w="1909" w:type="dxa"/>
            <w:tcBorders>
              <w:top w:val="nil"/>
              <w:left w:val="nil"/>
              <w:bottom w:val="single" w:color="auto" w:sz="12" w:space="0"/>
              <w:right w:val="nil"/>
            </w:tcBorders>
            <w:vAlign w:val="center"/>
          </w:tcPr>
          <w:p w14:paraId="35F60A9E">
            <w:pPr>
              <w:pStyle w:val="27"/>
              <w:snapToGrid w:val="0"/>
              <w:spacing w:line="240" w:lineRule="auto"/>
              <w:ind w:left="0" w:leftChars="0" w:right="0" w:rightChars="0" w:firstLine="0" w:firstLineChars="0"/>
              <w:jc w:val="left"/>
            </w:pPr>
            <w:r>
              <w:t>[B级证据]</w:t>
            </w:r>
          </w:p>
        </w:tc>
        <w:tc>
          <w:tcPr>
            <w:tcW w:w="3069" w:type="dxa"/>
            <w:tcBorders>
              <w:top w:val="nil"/>
              <w:left w:val="nil"/>
              <w:bottom w:val="single" w:color="auto" w:sz="12" w:space="0"/>
              <w:right w:val="nil"/>
            </w:tcBorders>
            <w:vAlign w:val="center"/>
          </w:tcPr>
          <w:p w14:paraId="557DFDDB">
            <w:pPr>
              <w:pStyle w:val="27"/>
              <w:snapToGrid w:val="0"/>
              <w:spacing w:line="240" w:lineRule="auto"/>
              <w:ind w:left="0" w:leftChars="0" w:right="0" w:rightChars="0" w:firstLine="0" w:firstLineChars="0"/>
              <w:jc w:val="left"/>
            </w:pPr>
            <w:r>
              <w:t>已获36氪报道交叉验证，但细节需当事人确认</w:t>
            </w:r>
          </w:p>
        </w:tc>
      </w:tr>
    </w:tbl>
    <w:p w14:paraId="1299D1B3">
      <w:r>
        <w:pict>
          <v:rect id="_x0000_i1044" o:spt="1" style="height:1.5pt;width:0pt;" coordsize="21600,21600" o:hr="t" o:hrstd="t" o:hralign="center">
            <v:path/>
            <v:fill focussize="0,0"/>
            <v:stroke/>
            <v:imagedata o:title=""/>
            <o:lock v:ext="edit"/>
            <w10:wrap type="none"/>
            <w10:anchorlock/>
          </v:rect>
        </w:pict>
      </w:r>
    </w:p>
    <w:bookmarkEnd w:id="38"/>
    <w:bookmarkEnd w:id="42"/>
    <w:p w14:paraId="232ADCB9">
      <w:pPr>
        <w:pStyle w:val="4"/>
      </w:pPr>
      <w:bookmarkStart w:id="43" w:name="第十一部分结论与建议conclusion"/>
      <w:r>
        <w:t>第十一部分：结论与建议（Conclusion）</w:t>
      </w:r>
    </w:p>
    <w:p w14:paraId="5BCE6865">
      <w:pPr>
        <w:pStyle w:val="5"/>
      </w:pPr>
      <w:bookmarkStart w:id="44" w:name="主要研究发现"/>
      <w:r>
        <w:t>11.1 主要研究发现</w:t>
      </w:r>
    </w:p>
    <w:p w14:paraId="26B56CC1">
      <w:pPr>
        <w:pStyle w:val="26"/>
      </w:pPr>
      <w:r>
        <w:t>本研究通过系统的证据收集与批判性分析，得出以下</w:t>
      </w:r>
      <w:r>
        <w:rPr>
          <w:b/>
          <w:bCs/>
        </w:rPr>
        <w:t>经分级确认</w:t>
      </w:r>
      <w:r>
        <w:t>的结论：</w:t>
      </w:r>
    </w:p>
    <w:p w14:paraId="5D9E6700">
      <w:pPr>
        <w:pStyle w:val="3"/>
      </w:pPr>
      <w:r>
        <w:rPr>
          <w:b/>
          <w:bCs/>
        </w:rPr>
        <w:t>高置信度结论（[A]级证据支持）</w:t>
      </w:r>
      <w:r>
        <w:t xml:space="preserve">： 1. </w:t>
      </w:r>
      <w:r>
        <w:rPr>
          <w:b/>
          <w:bCs/>
        </w:rPr>
        <w:t>XbotPark体系已实现规模化的硬科技孵化验证</w:t>
      </w:r>
      <w:r>
        <w:t xml:space="preserve">：截至2026年2月，体系累计孵化超过270家硬科技企业，涵盖固高科技、希迪智驾、卧安机器人等3家上市公司，以及海柔创新、云鲸智能等独角兽。 2. </w:t>
      </w:r>
      <w:r>
        <w:rPr>
          <w:b/>
          <w:bCs/>
        </w:rPr>
        <w:t>体系存在可验证的结构性张力</w:t>
      </w:r>
      <w:r>
        <w:t>：李泽湘在官方场合承认异地复制面临”创业氛围、人才密度、供应链响应速度”差异，且投资团队指出”技术人自嗨”导致的商业化闭环失败[^新浪财经]，这</w:t>
      </w:r>
      <w:r>
        <w:rPr>
          <w:b/>
          <w:bCs/>
        </w:rPr>
        <w:t>部分验证</w:t>
      </w:r>
      <w:r>
        <w:t xml:space="preserve">了”软服务能力缺口”的存在。 3. </w:t>
      </w:r>
      <w:r>
        <w:rPr>
          <w:b/>
          <w:bCs/>
        </w:rPr>
        <w:t>利益相关方呈现多元诉求</w:t>
      </w:r>
      <w:r>
        <w:t>：地方政府（深圳、东莞、重庆）追求产业落地，基金LP（腾讯、红杉）追求财务回报，创始人追求技术产品化，这种多元性创造了</w:t>
      </w:r>
      <w:r>
        <w:rPr>
          <w:b/>
          <w:bCs/>
        </w:rPr>
        <w:t>专业化分工的空间</w:t>
      </w:r>
      <w:r>
        <w:t>。</w:t>
      </w:r>
    </w:p>
    <w:p w14:paraId="0EED62DE">
      <w:pPr>
        <w:pStyle w:val="3"/>
      </w:pPr>
      <w:r>
        <w:rPr>
          <w:b/>
          <w:bCs/>
        </w:rPr>
        <w:t>中置信度结论（[B]级证据支持，需进一步验证）</w:t>
      </w:r>
      <w:r>
        <w:t xml:space="preserve">： 4. </w:t>
      </w:r>
      <w:r>
        <w:rPr>
          <w:b/>
          <w:bCs/>
        </w:rPr>
        <w:t>A轮前后企业可能是服务缺口的集中点</w:t>
      </w:r>
      <w:r>
        <w:t>：基于孵化企业金字塔分布（种子期40%、天使期35%、A轮前后20%）及XbotPark”硬服务”向”软服务”的转型诉求，该阶段企业面临从技术验证向商业规模化跃迁的</w:t>
      </w:r>
      <w:r>
        <w:rPr>
          <w:b/>
          <w:bCs/>
        </w:rPr>
        <w:t>治理复杂性</w:t>
      </w:r>
      <w:r>
        <w:t>，但现有导师网络以技术背景为主。</w:t>
      </w:r>
    </w:p>
    <w:p w14:paraId="722670C8">
      <w:pPr>
        <w:pStyle w:val="3"/>
      </w:pPr>
      <w:r>
        <w:rPr>
          <w:b/>
          <w:bCs/>
        </w:rPr>
        <w:t>低置信度/模拟结论（[C]级/[S]级，需审慎对待）</w:t>
      </w:r>
      <w:r>
        <w:t xml:space="preserve">： 5. </w:t>
      </w:r>
      <w:r>
        <w:rPr>
          <w:b/>
          <w:bCs/>
        </w:rPr>
        <w:t>满意解研究所可能填补部分缺口</w:t>
      </w:r>
      <w:r>
        <w:t>：该结论基于提案方自述[^提案方自述]，缺乏独立验证。其方法论（满意解决策框架、合伙人匹配度模型）尚未经过严格的信效度检验，</w:t>
      </w:r>
      <w:r>
        <w:rPr>
          <w:b/>
          <w:bCs/>
        </w:rPr>
        <w:t>当前不应作为决策依据，仅作为探索性假设</w:t>
      </w:r>
      <w:r>
        <w:t xml:space="preserve">。 6. </w:t>
      </w:r>
      <w:r>
        <w:rPr>
          <w:b/>
          <w:bCs/>
        </w:rPr>
        <w:t>协同的经济可行性</w:t>
      </w:r>
      <w:r>
        <w:t>：基于模拟数据的财务模型显示，若XbotPark每年推荐20家企业，满意解可获得90-120万元引流收入[^模拟数据警告]，但这依赖于尚未验证的”30万元/年”定价标准和市场接受度。</w:t>
      </w:r>
    </w:p>
    <w:bookmarkEnd w:id="44"/>
    <w:p w14:paraId="1EE4F6F8">
      <w:pPr>
        <w:pStyle w:val="5"/>
      </w:pPr>
      <w:bookmarkStart w:id="45" w:name="理论贡献"/>
      <w:r>
        <w:t>11.2 理论贡献</w:t>
      </w:r>
    </w:p>
    <w:p w14:paraId="6690871C">
      <w:pPr>
        <w:pStyle w:val="26"/>
      </w:pPr>
      <w:r>
        <w:t xml:space="preserve">本研究的学术价值在于： 1. </w:t>
      </w:r>
      <w:r>
        <w:rPr>
          <w:b/>
          <w:bCs/>
        </w:rPr>
        <w:t>提出了”硬科技孵化器服务缺口”的分析框架</w:t>
      </w:r>
      <w:r>
        <w:t xml:space="preserve">：将XbotPark的”硬支持”（供应链、技术）与”软服务”（战略、治理）进行概念区分，为理解中国硬科技孵化生态提供了新的分析维度； 2. </w:t>
      </w:r>
      <w:r>
        <w:rPr>
          <w:b/>
          <w:bCs/>
        </w:rPr>
        <w:t>验证了中国情境下的”导师-学生”孵化模式</w:t>
      </w:r>
      <w:r>
        <w:t xml:space="preserve">：通过系统梳理李泽湘体系从3126实验室到8城网络的演进，揭示了学术权威（Academic Authority）如何转化为产业合法性（Industrial Legitimacy）； 3. </w:t>
      </w:r>
      <w:r>
        <w:rPr>
          <w:b/>
          <w:bCs/>
        </w:rPr>
        <w:t>实践了”对抗性学术写作”方法论</w:t>
      </w:r>
      <w:r>
        <w:t>：通过红队/蓝军机制，展示了如何在利益相关方自述的研究中保持批判性距离。</w:t>
      </w:r>
    </w:p>
    <w:bookmarkEnd w:id="45"/>
    <w:p w14:paraId="5F9E920C">
      <w:pPr>
        <w:pStyle w:val="5"/>
      </w:pPr>
      <w:bookmarkStart w:id="46" w:name="政策与实践建议"/>
      <w:r>
        <w:t>11.3 政策与实践建议</w:t>
      </w:r>
    </w:p>
    <w:p w14:paraId="509EB58E">
      <w:pPr>
        <w:pStyle w:val="26"/>
      </w:pPr>
      <w:r>
        <w:rPr>
          <w:b/>
          <w:bCs/>
        </w:rPr>
        <w:t>对满意解研究所的建议</w:t>
      </w:r>
      <w:r>
        <w:t xml:space="preserve">： 1. </w:t>
      </w:r>
      <w:r>
        <w:rPr>
          <w:b/>
          <w:bCs/>
        </w:rPr>
        <w:t>优先进行方法论验证</w:t>
      </w:r>
      <w:r>
        <w:t>：在寻求与XbotPark合作前，应独立完成</w:t>
      </w:r>
      <w:r>
        <w:rPr>
          <w:b/>
          <w:bCs/>
        </w:rPr>
        <w:t>至少30个非XbotPark案例</w:t>
      </w:r>
      <w:r>
        <w:t>的决策干预，并记录决策前-后对比数据，形成可审计的</w:t>
      </w:r>
      <w:r>
        <w:rPr>
          <w:b/>
          <w:bCs/>
        </w:rPr>
        <w:t>有效性证据包（Evidence Package）</w:t>
      </w:r>
      <w:r>
        <w:t xml:space="preserve">； 2. </w:t>
      </w:r>
      <w:r>
        <w:rPr>
          <w:b/>
          <w:bCs/>
        </w:rPr>
        <w:t>采用”免费增值”（Freemium）试点策略</w:t>
      </w:r>
      <w:r>
        <w:t>：如原始文档建议，提供1-2家企业的免费诊断服务，但需升级为</w:t>
      </w:r>
      <w:r>
        <w:rPr>
          <w:b/>
          <w:bCs/>
        </w:rPr>
        <w:t>随机对照试验设计</w:t>
      </w:r>
      <w:r>
        <w:t xml:space="preserve">（见4.1.2节），确保结果可归因于满意解干预而非混杂变量； 3. </w:t>
      </w:r>
      <w:r>
        <w:rPr>
          <w:b/>
          <w:bCs/>
        </w:rPr>
        <w:t>建立数据伦理防火墙</w:t>
      </w:r>
      <w:r>
        <w:t>：聘请独立数据保护官（DPO），确保从XbotPark企业收集的敏感决策数据符合《个人信息保护法》及GDPR（若涉及海外创始人）。</w:t>
      </w:r>
    </w:p>
    <w:p w14:paraId="1C7BB075">
      <w:pPr>
        <w:pStyle w:val="3"/>
      </w:pPr>
      <w:r>
        <w:rPr>
          <w:b/>
          <w:bCs/>
        </w:rPr>
        <w:t>对XbotPark体系的建议</w:t>
      </w:r>
      <w:r>
        <w:t xml:space="preserve">： 1. </w:t>
      </w:r>
      <w:r>
        <w:rPr>
          <w:b/>
          <w:bCs/>
        </w:rPr>
        <w:t>建立服务提供商的准入审查机制</w:t>
      </w:r>
      <w:r>
        <w:t xml:space="preserve">：引入类似VC尽职调查（Due Diligence）的流程，评估满意解等外部服务商的方法论有效性、客户隐私保护能力及利益冲突管理方案； 2. </w:t>
      </w:r>
      <w:r>
        <w:rPr>
          <w:b/>
          <w:bCs/>
        </w:rPr>
        <w:t>透明化孵化数据统计</w:t>
      </w:r>
      <w:r>
        <w:t xml:space="preserve">：发布经审计的年度影响报告（Impact Report），明确界定”孵化企业”统计口径（是否包含已破产企业？是否包含仅参加训练营未入驻的项目？），减少外部研究的认知混乱； 3. </w:t>
      </w:r>
      <w:r>
        <w:rPr>
          <w:b/>
          <w:bCs/>
        </w:rPr>
        <w:t>审慎对待”软服务”外包</w:t>
      </w:r>
      <w:r>
        <w:t>：决策支持涉及核心商业机密，建议采用</w:t>
      </w:r>
      <w:r>
        <w:rPr>
          <w:b/>
          <w:bCs/>
        </w:rPr>
        <w:t>联合培养</w:t>
      </w:r>
      <w:r>
        <w:t>而非</w:t>
      </w:r>
      <w:r>
        <w:rPr>
          <w:b/>
          <w:bCs/>
        </w:rPr>
        <w:t>完全外包</w:t>
      </w:r>
      <w:r>
        <w:t>模式——XbotPark导师接受满意解方法论培训后内部交付，保留关系资产。</w:t>
      </w:r>
    </w:p>
    <w:p w14:paraId="52CB7DAB">
      <w:pPr>
        <w:pStyle w:val="3"/>
      </w:pPr>
      <w:r>
        <w:rPr>
          <w:b/>
          <w:bCs/>
        </w:rPr>
        <w:t>对政策制定者的建议</w:t>
      </w:r>
      <w:r>
        <w:t xml:space="preserve">： 1. </w:t>
      </w:r>
      <w:r>
        <w:rPr>
          <w:b/>
          <w:bCs/>
        </w:rPr>
        <w:t>关注硬科技孵化的”后IPO表现”</w:t>
      </w:r>
      <w:r>
        <w:t>：希迪智驾上市破发提示，孵化企业的上市数量不应作为唯一考核指标，应追踪</w:t>
      </w:r>
      <w:r>
        <w:rPr>
          <w:b/>
          <w:bCs/>
        </w:rPr>
        <w:t>上市后的持续创新能力</w:t>
      </w:r>
      <w:r>
        <w:t>和</w:t>
      </w:r>
      <w:r>
        <w:rPr>
          <w:b/>
          <w:bCs/>
        </w:rPr>
        <w:t>投资者回报</w:t>
      </w:r>
      <w:r>
        <w:t xml:space="preserve">； 2. </w:t>
      </w:r>
      <w:r>
        <w:rPr>
          <w:b/>
          <w:bCs/>
        </w:rPr>
        <w:t>支持决策方法论的标准化研究</w:t>
      </w:r>
      <w:r>
        <w:t>：建议科技部或工信部设立专项基金，支持”硬科技创业决策科学”的实证研究，填补当前该领域的学术空白。</w:t>
      </w:r>
    </w:p>
    <w:bookmarkEnd w:id="46"/>
    <w:p w14:paraId="0E1F7919">
      <w:pPr>
        <w:pStyle w:val="5"/>
      </w:pPr>
      <w:bookmarkStart w:id="47" w:name="研究局限与未来方向"/>
      <w:r>
        <w:t>11.4 研究局限与未来方向</w:t>
      </w:r>
    </w:p>
    <w:p w14:paraId="2CF9D6AE">
      <w:pPr>
        <w:pStyle w:val="26"/>
      </w:pPr>
      <w:r>
        <w:rPr>
          <w:b/>
          <w:bCs/>
        </w:rPr>
        <w:t>本研究的局限</w:t>
      </w:r>
      <w:r>
        <w:t xml:space="preserve">： 1. </w:t>
      </w:r>
      <w:r>
        <w:rPr>
          <w:b/>
          <w:bCs/>
        </w:rPr>
        <w:t>数据来源的非均衡性</w:t>
      </w:r>
      <w:r>
        <w:t>：关于XbotPark的公开信息远多于满意解研究所，导致分析呈现</w:t>
      </w:r>
      <w:r>
        <w:rPr>
          <w:b/>
          <w:bCs/>
        </w:rPr>
        <w:t>信息不对称</w:t>
      </w:r>
      <w:r>
        <w:t xml:space="preserve">，可能过度放大体系缺口而低估满意解风险； 2. </w:t>
      </w:r>
      <w:r>
        <w:rPr>
          <w:b/>
          <w:bCs/>
        </w:rPr>
        <w:t>缺乏反事实（Counterfactual）</w:t>
      </w:r>
      <w:r>
        <w:t>：无法验证”若无满意解介入，XbotPark企业是否会自发解决决策问题”，因此无法确证协同的</w:t>
      </w:r>
      <w:r>
        <w:rPr>
          <w:b/>
          <w:bCs/>
        </w:rPr>
        <w:t>增量价值（Marginal Value）</w:t>
      </w:r>
      <w:r>
        <w:t xml:space="preserve">； 3. </w:t>
      </w:r>
      <w:r>
        <w:rPr>
          <w:b/>
          <w:bCs/>
        </w:rPr>
        <w:t>时间截面的静态性</w:t>
      </w:r>
      <w:r>
        <w:t>：本研究基于2026年3月前的数据，但硬科技孵化生态快速演进（如AI大模型可能彻底改变硬件创业逻辑），结论可能迅速过时。</w:t>
      </w:r>
    </w:p>
    <w:p w14:paraId="79DC5CEB">
      <w:pPr>
        <w:pStyle w:val="3"/>
      </w:pPr>
      <w:r>
        <w:rPr>
          <w:b/>
          <w:bCs/>
        </w:rPr>
        <w:t>未来研究方向</w:t>
      </w:r>
      <w:r>
        <w:t xml:space="preserve">： 1. </w:t>
      </w:r>
      <w:r>
        <w:rPr>
          <w:b/>
          <w:bCs/>
        </w:rPr>
        <w:t>纵向追踪研究（Longitudinal Study）</w:t>
      </w:r>
      <w:r>
        <w:t xml:space="preserve">：对接受满意解服务的XbotPark企业进行3-5年追踪，对比其与未接受服务企业的融资成功率、团队稳定性、最终退出估值； 2. </w:t>
      </w:r>
      <w:r>
        <w:rPr>
          <w:b/>
          <w:bCs/>
        </w:rPr>
        <w:t>跨文化比较研究</w:t>
      </w:r>
      <w:r>
        <w:t xml:space="preserve">：对比李泽湘体系与Y Combinator、Station F等全球顶尖孵化器的”决策支持”服务模式，识别中国情境的特殊性； 3. </w:t>
      </w:r>
      <w:r>
        <w:rPr>
          <w:b/>
          <w:bCs/>
        </w:rPr>
        <w:t>决策失误的归因分析</w:t>
      </w:r>
      <w:r>
        <w:t>：对XbotPark体系中失败或表现不佳的企业进行</w:t>
      </w:r>
      <w:r>
        <w:rPr>
          <w:b/>
          <w:bCs/>
        </w:rPr>
        <w:t>过程追踪（Process Tracing）</w:t>
      </w:r>
      <w:r>
        <w:t>，识别决策失误的具体类型（合伙人冲突、战略摇摆、融资时机错误），为工具开发提供</w:t>
      </w:r>
      <w:r>
        <w:rPr>
          <w:b/>
          <w:bCs/>
        </w:rPr>
        <w:t>需求侧证据</w:t>
      </w:r>
      <w:r>
        <w:t>。</w:t>
      </w:r>
    </w:p>
    <w:p w14:paraId="21D6269E">
      <w:r>
        <w:pict>
          <v:rect id="_x0000_i1045" o:spt="1" style="height:1.5pt;width:0pt;" coordsize="21600,21600" o:hr="t" o:hrstd="t" o:hralign="center">
            <v:path/>
            <v:fill focussize="0,0"/>
            <v:stroke/>
            <v:imagedata o:title=""/>
            <o:lock v:ext="edit"/>
            <w10:wrap type="none"/>
            <w10:anchorlock/>
          </v:rect>
        </w:pict>
      </w:r>
    </w:p>
    <w:bookmarkEnd w:id="43"/>
    <w:bookmarkEnd w:id="47"/>
    <w:p w14:paraId="46BF1609">
      <w:pPr>
        <w:pStyle w:val="4"/>
      </w:pPr>
      <w:bookmarkStart w:id="48" w:name="最终统计与合规检查"/>
      <w:bookmarkStart w:id="51" w:name="_GoBack"/>
      <w:bookmarkEnd w:id="51"/>
      <w:r>
        <w:t>合规检查</w:t>
      </w:r>
    </w:p>
    <w:p w14:paraId="51AAB8EF">
      <w:pPr>
        <w:pStyle w:val="5"/>
      </w:pPr>
      <w:bookmarkStart w:id="49" w:name="引用合规性检查"/>
      <w:r>
        <w:t>引用合规性检查</w:t>
      </w:r>
    </w:p>
    <w:p w14:paraId="36F9F443">
      <w:pPr>
        <w:pStyle w:val="27"/>
        <w:numPr>
          <w:ilvl w:val="0"/>
          <w:numId w:val="5"/>
        </w:numPr>
      </w:pPr>
      <w:r>
        <w:rPr>
          <w:b/>
          <w:bCs/>
        </w:rPr>
        <w:t>[需人工验证]</w:t>
      </w:r>
      <w:r>
        <w:t xml:space="preserve"> 标记：12处（明确标注需要人工介入的环节）</w:t>
      </w:r>
    </w:p>
    <w:p w14:paraId="6331FBE4">
      <w:pPr>
        <w:pStyle w:val="27"/>
        <w:numPr>
          <w:ilvl w:val="0"/>
          <w:numId w:val="5"/>
        </w:numPr>
      </w:pPr>
      <w:r>
        <w:rPr>
          <w:b/>
          <w:bCs/>
        </w:rPr>
        <w:t>[模拟数据警告]</w:t>
      </w:r>
      <w:r>
        <w:t xml:space="preserve"> 标记：18处（明确标注AI生成或推测性内容）</w:t>
      </w:r>
    </w:p>
    <w:p w14:paraId="2D8F6722">
      <w:pPr>
        <w:pStyle w:val="27"/>
        <w:numPr>
          <w:ilvl w:val="0"/>
          <w:numId w:val="5"/>
        </w:numPr>
      </w:pPr>
      <w:r>
        <w:rPr>
          <w:b/>
          <w:bCs/>
        </w:rPr>
        <w:t>[提案方自述]</w:t>
      </w:r>
      <w:r>
        <w:t xml:space="preserve"> 标记：15处（明确标注利益相关方主观陈述）</w:t>
      </w:r>
    </w:p>
    <w:p w14:paraId="14AEDCA9">
      <w:pPr>
        <w:pStyle w:val="27"/>
        <w:numPr>
          <w:ilvl w:val="0"/>
          <w:numId w:val="5"/>
        </w:numPr>
      </w:pPr>
      <w:r>
        <w:rPr>
          <w:b/>
          <w:bCs/>
        </w:rPr>
        <w:t>参考文献</w:t>
      </w:r>
      <w:r>
        <w:t>：27条（其中近5年文献占比100%，符合≥40%要求；但学术期刊论文占比不足，主要依赖媒体报道，需在正式发表前补充SSCI/SCI论文）</w:t>
      </w:r>
    </w:p>
    <w:bookmarkEnd w:id="49"/>
    <w:p w14:paraId="320B9CAC">
      <w:pPr>
        <w:pStyle w:val="5"/>
      </w:pPr>
      <w:bookmarkStart w:id="50" w:name="学术伦理检查"/>
      <w:r>
        <w:t>学术伦理检查</w:t>
      </w:r>
    </w:p>
    <w:p w14:paraId="3FCFE87B">
      <w:pPr>
        <w:pStyle w:val="27"/>
        <w:numPr>
          <w:ilvl w:val="0"/>
          <w:numId w:val="5"/>
        </w:numPr>
      </w:pPr>
      <w:r>
        <w:rPr>
          <w:b/>
          <w:bCs/>
        </w:rPr>
        <w:t>利益冲突声明</w:t>
      </w:r>
      <w:r>
        <w:t>：已明确披露研究由满意解研究所资助及发起；</w:t>
      </w:r>
    </w:p>
    <w:p w14:paraId="146BF6D9">
      <w:pPr>
        <w:pStyle w:val="27"/>
        <w:numPr>
          <w:ilvl w:val="0"/>
          <w:numId w:val="5"/>
        </w:numPr>
      </w:pPr>
      <w:r>
        <w:rPr>
          <w:b/>
          <w:bCs/>
        </w:rPr>
        <w:t>数据隐私</w:t>
      </w:r>
      <w:r>
        <w:t>：已标注敏感数据处理方案；</w:t>
      </w:r>
    </w:p>
    <w:p w14:paraId="712780CC">
      <w:pPr>
        <w:pStyle w:val="27"/>
        <w:numPr>
          <w:ilvl w:val="0"/>
          <w:numId w:val="5"/>
        </w:numPr>
      </w:pPr>
      <w:r>
        <w:rPr>
          <w:b/>
          <w:bCs/>
        </w:rPr>
        <w:t>反方观点</w:t>
      </w:r>
      <w:r>
        <w:t>：已生成3位虚拟专家的批评意见并予以回应；</w:t>
      </w:r>
    </w:p>
    <w:p w14:paraId="1B044336">
      <w:pPr>
        <w:pStyle w:val="27"/>
        <w:numPr>
          <w:ilvl w:val="0"/>
          <w:numId w:val="5"/>
        </w:numPr>
      </w:pPr>
      <w:r>
        <w:rPr>
          <w:b/>
          <w:bCs/>
        </w:rPr>
        <w:t>非真实内容处理</w:t>
      </w:r>
      <w:r>
        <w:t>：已通过分级标注系统（[A][B][C][S]）明确区分证据等级。</w:t>
      </w:r>
    </w:p>
    <w:p w14:paraId="215AD81E">
      <w:r>
        <w:pict>
          <v:rect id="_x0000_i1046" o:spt="1" style="height:1.5pt;width:0pt;" coordsize="21600,21600" o:hr="t" o:hrstd="t" o:hralign="center">
            <v:path/>
            <v:fill focussize="0,0"/>
            <v:stroke/>
            <v:imagedata o:title=""/>
            <o:lock v:ext="edit"/>
            <w10:wrap type="none"/>
            <w10:anchorlock/>
          </v:rect>
        </w:pict>
      </w:r>
    </w:p>
    <w:p w14:paraId="4772BF8D">
      <w:pPr>
        <w:pStyle w:val="26"/>
      </w:pPr>
      <w:r>
        <w:rPr>
          <w:b/>
          <w:bCs/>
        </w:rPr>
        <w:t>报告完成日期</w:t>
      </w:r>
      <w:r>
        <w:t>：2026年03月18日</w:t>
      </w:r>
      <w:r>
        <w:br w:type="textWrapping"/>
      </w:r>
      <w:r>
        <w:rPr>
          <w:b/>
          <w:bCs/>
        </w:rPr>
        <w:t>版本号</w:t>
      </w:r>
      <w:r>
        <w:t>：v2.0（学术化重构版）</w:t>
      </w:r>
      <w:r>
        <w:br w:type="textWrapping"/>
      </w:r>
      <w:r>
        <w:rPr>
          <w:b/>
          <w:bCs/>
        </w:rPr>
        <w:t>下次更新建议</w:t>
      </w:r>
      <w:r>
        <w:t>：在获取以下人工验证数据后发布v2.1版：(1) XbotPark经审计的2025年度影响报告；(2) 满意解方法论的信效度检验结果；(3) 试点RCT试验的中期数据。</w:t>
      </w:r>
    </w:p>
    <w:p w14:paraId="1D3F83A2">
      <w:pPr>
        <w:pStyle w:val="3"/>
      </w:pPr>
      <w:r>
        <w:rPr>
          <w:b/>
          <w:bCs/>
        </w:rPr>
        <w:t>[文档结束]</w:t>
      </w:r>
    </w:p>
    <w:p w14:paraId="5EF870BD">
      <w:r>
        <w:pict>
          <v:rect id="_x0000_i1047" o:spt="1" style="height:1.5pt;width:0pt;" coordsize="21600,21600" o:hr="t" o:hrstd="t" o:hralign="center">
            <v:path/>
            <v:fill focussize="0,0"/>
            <v:stroke/>
            <v:imagedata o:title=""/>
            <o:lock v:ext="edit"/>
            <w10:wrap type="none"/>
            <w10:anchorlock/>
          </v:rect>
        </w:pict>
      </w:r>
    </w:p>
    <w:bookmarkEnd w:id="1"/>
    <w:bookmarkEnd w:id="48"/>
    <w:bookmarkEnd w:id="50"/>
    <w:sectPr>
      <w:headerReference r:id="rId6" w:type="first"/>
      <w:footerReference r:id="rId9" w:type="first"/>
      <w:footerReference r:id="rId7" w:type="default"/>
      <w:headerReference r:id="rId5" w:type="even"/>
      <w:footerReference r:id="rId8" w:type="even"/>
      <w:footnotePr>
        <w:numRestart w:val="eachSect"/>
      </w:footnotePr>
      <w:pgSz w:w="12240" w:h="15840"/>
      <w:pgMar w:top="1440" w:right="1800" w:bottom="1440" w:left="1800" w:header="720" w:footer="1020" w:gutter="0"/>
      <w:pgNumType w:fmt="decimal"/>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Times New Roman (正文 CS 字体)">
    <w:altName w:val="宋体"/>
    <w:panose1 w:val="020B0604020202020204"/>
    <w:charset w:val="86"/>
    <w:family w:val="roman"/>
    <w:pitch w:val="default"/>
    <w:sig w:usb0="00000000" w:usb1="00000000" w:usb2="00000000" w:usb3="00000000" w:csb0="00000000" w:csb1="00000000"/>
  </w:font>
  <w:font w:name="Times New Roman (标题 CS)">
    <w:altName w:val="宋体"/>
    <w:panose1 w:val="020B0604020202020204"/>
    <w:charset w:val="86"/>
    <w:family w:val="roman"/>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FAE4A">
    <w:pPr>
      <w:pStyle w:val="16"/>
      <w:rPr>
        <w:lang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6F0567F">
                          <w:pPr>
                            <w:pStyle w:val="1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56F0567F">
                    <w:pPr>
                      <w:pStyle w:val="1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24</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DC3751">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6BCEC">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79E08">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0B98F">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 w:val="103229CB"/>
    <w:rsid w:val="1D9D42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Arial" w:hAnsi="Arial" w:eastAsia="宋体" w:cs="Times New Roman (正文 CS 字体)"/>
      <w:sz w:val="24"/>
      <w:szCs w:val="24"/>
      <w:lang w:val="en-US" w:eastAsia="en-US" w:bidi="ar-SA"/>
    </w:rPr>
  </w:style>
  <w:style w:type="paragraph" w:styleId="2">
    <w:name w:val="heading 1"/>
    <w:basedOn w:val="1"/>
    <w:next w:val="3"/>
    <w:link w:val="34"/>
    <w:qFormat/>
    <w:uiPriority w:val="9"/>
    <w:pPr>
      <w:keepNext/>
      <w:keepLines/>
      <w:outlineLvl w:val="0"/>
    </w:pPr>
    <w:rPr>
      <w:rFonts w:eastAsia="黑体" w:cs="Times New Roman (标题 CS)"/>
      <w:sz w:val="30"/>
      <w:szCs w:val="40"/>
    </w:rPr>
  </w:style>
  <w:style w:type="paragraph" w:styleId="4">
    <w:name w:val="heading 2"/>
    <w:basedOn w:val="1"/>
    <w:next w:val="3"/>
    <w:link w:val="35"/>
    <w:semiHidden/>
    <w:unhideWhenUsed/>
    <w:qFormat/>
    <w:uiPriority w:val="9"/>
    <w:pPr>
      <w:keepNext/>
      <w:keepLines/>
      <w:outlineLvl w:val="1"/>
    </w:pPr>
    <w:rPr>
      <w:rFonts w:eastAsia="黑体" w:cs="Times New Roman (标题 CS)"/>
      <w:sz w:val="28"/>
      <w:szCs w:val="32"/>
    </w:rPr>
  </w:style>
  <w:style w:type="paragraph" w:styleId="5">
    <w:name w:val="heading 3"/>
    <w:basedOn w:val="1"/>
    <w:next w:val="3"/>
    <w:link w:val="36"/>
    <w:semiHidden/>
    <w:unhideWhenUsed/>
    <w:qFormat/>
    <w:uiPriority w:val="9"/>
    <w:pPr>
      <w:keepNext/>
      <w:keepLines/>
      <w:outlineLvl w:val="2"/>
    </w:pPr>
    <w:rPr>
      <w:rFonts w:eastAsia="黑体" w:cs="Times New Roman (标题 CS)"/>
      <w:sz w:val="26"/>
      <w:szCs w:val="28"/>
    </w:rPr>
  </w:style>
  <w:style w:type="paragraph" w:styleId="6">
    <w:name w:val="heading 4"/>
    <w:basedOn w:val="5"/>
    <w:next w:val="3"/>
    <w:link w:val="37"/>
    <w:unhideWhenUsed/>
    <w:qFormat/>
    <w:uiPriority w:val="9"/>
    <w:pPr>
      <w:outlineLvl w:val="3"/>
    </w:pPr>
  </w:style>
  <w:style w:type="paragraph" w:styleId="7">
    <w:name w:val="heading 5"/>
    <w:basedOn w:val="6"/>
    <w:next w:val="3"/>
    <w:link w:val="38"/>
    <w:unhideWhenUsed/>
    <w:qFormat/>
    <w:uiPriority w:val="9"/>
    <w:pPr>
      <w:outlineLvl w:val="4"/>
    </w:pPr>
  </w:style>
  <w:style w:type="paragraph" w:styleId="8">
    <w:name w:val="heading 6"/>
    <w:basedOn w:val="7"/>
    <w:next w:val="3"/>
    <w:link w:val="39"/>
    <w:unhideWhenUsed/>
    <w:qFormat/>
    <w:uiPriority w:val="9"/>
    <w:pPr>
      <w:outlineLvl w:val="5"/>
    </w:pPr>
  </w:style>
  <w:style w:type="paragraph" w:styleId="9">
    <w:name w:val="heading 7"/>
    <w:basedOn w:val="8"/>
    <w:next w:val="3"/>
    <w:link w:val="40"/>
    <w:unhideWhenUsed/>
    <w:qFormat/>
    <w:uiPriority w:val="9"/>
    <w:pPr>
      <w:outlineLvl w:val="6"/>
    </w:pPr>
  </w:style>
  <w:style w:type="paragraph" w:styleId="10">
    <w:name w:val="heading 8"/>
    <w:basedOn w:val="9"/>
    <w:next w:val="3"/>
    <w:link w:val="41"/>
    <w:unhideWhenUsed/>
    <w:qFormat/>
    <w:uiPriority w:val="9"/>
    <w:pPr>
      <w:outlineLvl w:val="7"/>
    </w:pPr>
  </w:style>
  <w:style w:type="paragraph" w:styleId="11">
    <w:name w:val="heading 9"/>
    <w:basedOn w:val="10"/>
    <w:next w:val="3"/>
    <w:link w:val="42"/>
    <w:unhideWhenUsed/>
    <w:qFormat/>
    <w:uiPriority w:val="9"/>
    <w:pPr>
      <w:outlineLvl w:val="8"/>
    </w:p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style>
  <w:style w:type="paragraph" w:styleId="12">
    <w:name w:val="caption"/>
    <w:basedOn w:val="1"/>
    <w:link w:val="24"/>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basedOn w:val="15"/>
    <w:next w:val="3"/>
    <w:qFormat/>
    <w:uiPriority w:val="0"/>
    <w:pPr>
      <w:keepNext/>
      <w:keepLines/>
    </w:pPr>
    <w:rPr>
      <w:sz w:val="24"/>
      <w:szCs w:val="24"/>
    </w:rPr>
  </w:style>
  <w:style w:type="paragraph" w:styleId="15">
    <w:name w:val="Title"/>
    <w:basedOn w:val="1"/>
    <w:next w:val="3"/>
    <w:link w:val="28"/>
    <w:qFormat/>
    <w:uiPriority w:val="10"/>
    <w:pPr>
      <w:contextualSpacing/>
      <w:jc w:val="center"/>
    </w:pPr>
    <w:rPr>
      <w:rFonts w:eastAsia="黑体" w:cs="Times New Roman (标题 CS)"/>
      <w:sz w:val="30"/>
      <w:szCs w:val="56"/>
    </w:rPr>
  </w:style>
  <w:style w:type="paragraph" w:styleId="16">
    <w:name w:val="footer"/>
    <w:basedOn w:val="1"/>
    <w:link w:val="57"/>
    <w:qFormat/>
    <w:uiPriority w:val="0"/>
    <w:pPr>
      <w:tabs>
        <w:tab w:val="center" w:pos="4153"/>
        <w:tab w:val="right" w:pos="8306"/>
      </w:tabs>
      <w:snapToGrid w:val="0"/>
      <w:spacing w:line="240" w:lineRule="auto"/>
    </w:pPr>
    <w:rPr>
      <w:sz w:val="18"/>
      <w:szCs w:val="18"/>
    </w:rPr>
  </w:style>
  <w:style w:type="paragraph" w:styleId="17">
    <w:name w:val="header"/>
    <w:basedOn w:val="1"/>
    <w:link w:val="56"/>
    <w:qFormat/>
    <w:uiPriority w:val="0"/>
    <w:pPr>
      <w:tabs>
        <w:tab w:val="center" w:pos="4153"/>
        <w:tab w:val="right" w:pos="8306"/>
      </w:tabs>
      <w:snapToGrid w:val="0"/>
      <w:spacing w:line="240" w:lineRule="auto"/>
      <w:jc w:val="center"/>
    </w:pPr>
    <w:rPr>
      <w:sz w:val="18"/>
      <w:szCs w:val="18"/>
    </w:rPr>
  </w:style>
  <w:style w:type="paragraph" w:styleId="18">
    <w:name w:val="Subtitle"/>
    <w:basedOn w:val="15"/>
    <w:next w:val="3"/>
    <w:link w:val="29"/>
    <w:qFormat/>
    <w:uiPriority w:val="11"/>
    <w:rPr>
      <w:rFonts w:eastAsiaTheme="majorEastAsia" w:cstheme="majorBidi"/>
      <w:spacing w:val="15"/>
      <w:sz w:val="28"/>
      <w:szCs w:val="28"/>
    </w:rPr>
  </w:style>
  <w:style w:type="paragraph" w:styleId="19">
    <w:name w:val="footnote text"/>
    <w:basedOn w:val="1"/>
    <w:unhideWhenUsed/>
    <w:qFormat/>
    <w:uiPriority w:val="9"/>
    <w:rPr>
      <w:sz w:val="18"/>
    </w:rPr>
  </w:style>
  <w:style w:type="table" w:styleId="21">
    <w:name w:val="Table Grid"/>
    <w:basedOn w:val="20"/>
    <w:qFormat/>
    <w:uiPriority w:val="0"/>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4"/>
    <w:qFormat/>
    <w:uiPriority w:val="0"/>
    <w:rPr>
      <w:color w:val="156082" w:themeColor="accent1"/>
    </w:rPr>
  </w:style>
  <w:style w:type="character" w:customStyle="1" w:styleId="24">
    <w:name w:val="题注 字符"/>
    <w:basedOn w:val="22"/>
    <w:link w:val="12"/>
    <w:qFormat/>
    <w:uiPriority w:val="0"/>
  </w:style>
  <w:style w:type="character" w:styleId="25">
    <w:name w:val="footnote reference"/>
    <w:basedOn w:val="24"/>
    <w:qFormat/>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标题 字符"/>
    <w:basedOn w:val="22"/>
    <w:link w:val="15"/>
    <w:qFormat/>
    <w:uiPriority w:val="10"/>
    <w:rPr>
      <w:rFonts w:ascii="Arial" w:hAnsi="Arial" w:eastAsia="黑体" w:cs="Times New Roman (标题 CS)"/>
      <w:sz w:val="30"/>
      <w:szCs w:val="56"/>
    </w:rPr>
  </w:style>
  <w:style w:type="character" w:customStyle="1" w:styleId="29">
    <w:name w:val="副标题 字符"/>
    <w:basedOn w:val="22"/>
    <w:link w:val="18"/>
    <w:qFormat/>
    <w:uiPriority w:val="11"/>
    <w:rPr>
      <w:rFonts w:eastAsiaTheme="majorEastAsia" w:cstheme="majorBidi"/>
      <w:color w:val="585858" w:themeColor="text1" w:themeTint="A6"/>
      <w:spacing w:val="15"/>
      <w:sz w:val="28"/>
      <w:szCs w:val="28"/>
    </w:rPr>
  </w:style>
  <w:style w:type="paragraph" w:customStyle="1" w:styleId="30">
    <w:name w:val="Author"/>
    <w:basedOn w:val="15"/>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标题 1 字符"/>
    <w:basedOn w:val="22"/>
    <w:link w:val="2"/>
    <w:qFormat/>
    <w:uiPriority w:val="9"/>
    <w:rPr>
      <w:rFonts w:ascii="Arial" w:hAnsi="Arial" w:eastAsia="黑体" w:cs="Times New Roman (标题 CS)"/>
      <w:sz w:val="30"/>
      <w:szCs w:val="40"/>
    </w:rPr>
  </w:style>
  <w:style w:type="character" w:customStyle="1" w:styleId="35">
    <w:name w:val="标题 2 字符"/>
    <w:basedOn w:val="22"/>
    <w:link w:val="4"/>
    <w:semiHidden/>
    <w:qFormat/>
    <w:uiPriority w:val="9"/>
    <w:rPr>
      <w:rFonts w:ascii="Arial" w:hAnsi="Arial" w:eastAsia="黑体" w:cs="Times New Roman (标题 CS)"/>
      <w:sz w:val="28"/>
      <w:szCs w:val="32"/>
    </w:rPr>
  </w:style>
  <w:style w:type="character" w:customStyle="1" w:styleId="36">
    <w:name w:val="标题 3 字符"/>
    <w:basedOn w:val="22"/>
    <w:link w:val="5"/>
    <w:semiHidden/>
    <w:qFormat/>
    <w:uiPriority w:val="9"/>
    <w:rPr>
      <w:rFonts w:ascii="Arial" w:hAnsi="Arial" w:eastAsia="黑体" w:cs="Times New Roman (标题 CS)"/>
      <w:sz w:val="26"/>
      <w:szCs w:val="28"/>
    </w:rPr>
  </w:style>
  <w:style w:type="character" w:customStyle="1" w:styleId="37">
    <w:name w:val="标题 4 字符"/>
    <w:basedOn w:val="22"/>
    <w:link w:val="6"/>
    <w:qFormat/>
    <w:uiPriority w:val="9"/>
    <w:rPr>
      <w:rFonts w:ascii="Arial" w:hAnsi="Arial" w:eastAsia="黑体" w:cs="Times New Roman (标题 CS)"/>
      <w:color w:val="0F4761" w:themeColor="accent1" w:themeShade="BF"/>
      <w:sz w:val="26"/>
      <w:szCs w:val="28"/>
    </w:rPr>
  </w:style>
  <w:style w:type="character" w:customStyle="1" w:styleId="38">
    <w:name w:val="标题 5 字符"/>
    <w:basedOn w:val="22"/>
    <w:link w:val="7"/>
    <w:qFormat/>
    <w:uiPriority w:val="9"/>
    <w:rPr>
      <w:rFonts w:ascii="Arial" w:hAnsi="Arial" w:eastAsia="黑体" w:cs="Times New Roman (标题 CS)"/>
      <w:color w:val="0F4761" w:themeColor="accent1" w:themeShade="BF"/>
      <w:sz w:val="26"/>
      <w:szCs w:val="28"/>
    </w:rPr>
  </w:style>
  <w:style w:type="character" w:customStyle="1" w:styleId="39">
    <w:name w:val="标题 6 字符"/>
    <w:basedOn w:val="22"/>
    <w:link w:val="8"/>
    <w:qFormat/>
    <w:uiPriority w:val="9"/>
    <w:rPr>
      <w:rFonts w:ascii="Arial" w:hAnsi="Arial" w:eastAsia="黑体" w:cs="Times New Roman (标题 CS)"/>
      <w:color w:val="0F4761" w:themeColor="accent1" w:themeShade="BF"/>
      <w:sz w:val="26"/>
      <w:szCs w:val="28"/>
    </w:rPr>
  </w:style>
  <w:style w:type="character" w:customStyle="1" w:styleId="40">
    <w:name w:val="标题 7 字符"/>
    <w:basedOn w:val="22"/>
    <w:link w:val="9"/>
    <w:qFormat/>
    <w:uiPriority w:val="9"/>
    <w:rPr>
      <w:rFonts w:ascii="Arial" w:hAnsi="Arial" w:eastAsia="黑体" w:cs="Times New Roman (标题 CS)"/>
      <w:color w:val="0F4761" w:themeColor="accent1" w:themeShade="BF"/>
      <w:sz w:val="26"/>
      <w:szCs w:val="28"/>
    </w:rPr>
  </w:style>
  <w:style w:type="character" w:customStyle="1" w:styleId="41">
    <w:name w:val="标题 8 字符"/>
    <w:basedOn w:val="22"/>
    <w:link w:val="10"/>
    <w:qFormat/>
    <w:uiPriority w:val="9"/>
    <w:rPr>
      <w:rFonts w:ascii="Arial" w:hAnsi="Arial" w:eastAsia="黑体" w:cs="Times New Roman (标题 CS)"/>
      <w:color w:val="0F4761" w:themeColor="accent1" w:themeShade="BF"/>
      <w:sz w:val="26"/>
      <w:szCs w:val="28"/>
    </w:rPr>
  </w:style>
  <w:style w:type="character" w:customStyle="1" w:styleId="42">
    <w:name w:val="标题 9 字符"/>
    <w:basedOn w:val="22"/>
    <w:link w:val="11"/>
    <w:qFormat/>
    <w:uiPriority w:val="9"/>
    <w:rPr>
      <w:rFonts w:ascii="Arial" w:hAnsi="Arial" w:eastAsia="黑体" w:cs="Times New Roman (标题 CS)"/>
      <w:color w:val="0F4761" w:themeColor="accent1" w:themeShade="BF"/>
      <w:sz w:val="26"/>
      <w:szCs w:val="28"/>
    </w:rPr>
  </w:style>
  <w:style w:type="paragraph" w:customStyle="1" w:styleId="43">
    <w:name w:val="Footnote Block Text"/>
    <w:basedOn w:val="19"/>
    <w:next w:val="19"/>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5">
    <w:name w:val="Definition Term"/>
    <w:basedOn w:val="1"/>
    <w:next w:val="46"/>
    <w:qFormat/>
    <w:uiPriority w:val="0"/>
    <w:pPr>
      <w:keepNext/>
      <w:keepLines/>
    </w:pPr>
    <w:rPr>
      <w:b/>
    </w:rPr>
  </w:style>
  <w:style w:type="paragraph" w:customStyle="1" w:styleId="46">
    <w:name w:val="Definition"/>
    <w:basedOn w:val="1"/>
    <w:qFormat/>
    <w:uiPriority w:val="0"/>
  </w:style>
  <w:style w:type="paragraph" w:customStyle="1" w:styleId="47">
    <w:name w:val="Table Caption"/>
    <w:basedOn w:val="12"/>
    <w:qFormat/>
    <w:uiPriority w:val="0"/>
    <w:pPr>
      <w:keepNext/>
      <w:spacing w:after="0"/>
      <w:jc w:val="center"/>
    </w:pPr>
    <w:rPr>
      <w:i w:val="0"/>
      <w:sz w:val="20"/>
    </w:rPr>
  </w:style>
  <w:style w:type="paragraph" w:customStyle="1" w:styleId="48">
    <w:name w:val="Image Caption"/>
    <w:basedOn w:val="12"/>
    <w:qFormat/>
    <w:uiPriority w:val="0"/>
    <w:pPr>
      <w:spacing w:after="0"/>
      <w:jc w:val="center"/>
    </w:pPr>
    <w:rPr>
      <w:i w:val="0"/>
      <w:sz w:val="20"/>
    </w:rPr>
  </w:style>
  <w:style w:type="paragraph" w:customStyle="1" w:styleId="49">
    <w:name w:val="Figure"/>
    <w:basedOn w:val="1"/>
    <w:uiPriority w:val="0"/>
  </w:style>
  <w:style w:type="paragraph" w:customStyle="1" w:styleId="50">
    <w:name w:val="Captioned Figure"/>
    <w:basedOn w:val="49"/>
    <w:qFormat/>
    <w:uiPriority w:val="0"/>
    <w:pPr>
      <w:keepNext/>
    </w:pPr>
  </w:style>
  <w:style w:type="character" w:customStyle="1" w:styleId="51">
    <w:name w:val="Verbatim Char"/>
    <w:basedOn w:val="24"/>
    <w:link w:val="52"/>
    <w:qFormat/>
    <w:uiPriority w:val="0"/>
    <w:rPr>
      <w:rFonts w:ascii="Consolas" w:hAnsi="Consolas"/>
      <w:sz w:val="22"/>
    </w:rPr>
  </w:style>
  <w:style w:type="paragraph" w:customStyle="1" w:styleId="52">
    <w:name w:val="Source Code"/>
    <w:link w:val="51"/>
    <w:qFormat/>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53">
    <w:name w:val="Section Number"/>
    <w:basedOn w:val="24"/>
    <w:qFormat/>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rPr>
  </w:style>
  <w:style w:type="paragraph" w:styleId="55">
    <w:name w:val="List Paragraph"/>
    <w:basedOn w:val="3"/>
    <w:qFormat/>
    <w:uiPriority w:val="0"/>
    <w:pPr>
      <w:ind w:firstLine="420" w:firstLineChars="200"/>
    </w:pPr>
  </w:style>
  <w:style w:type="character" w:customStyle="1" w:styleId="56">
    <w:name w:val="页眉 字符"/>
    <w:basedOn w:val="22"/>
    <w:link w:val="17"/>
    <w:qFormat/>
    <w:uiPriority w:val="0"/>
    <w:rPr>
      <w:rFonts w:ascii="Arial" w:hAnsi="Arial" w:eastAsia="宋体" w:cs="Times New Roman (正文 CS 字体)"/>
      <w:sz w:val="18"/>
      <w:szCs w:val="18"/>
    </w:rPr>
  </w:style>
  <w:style w:type="character" w:customStyle="1" w:styleId="57">
    <w:name w:val="页脚 字符"/>
    <w:basedOn w:val="22"/>
    <w:link w:val="16"/>
    <w:qFormat/>
    <w:uiPriority w:val="0"/>
    <w:rPr>
      <w:rFonts w:ascii="Arial" w:hAnsi="Arial" w:eastAsia="宋体" w:cs="Times New Roman (正文 CS 字体)"/>
      <w:sz w:val="18"/>
      <w:szCs w:val="18"/>
    </w:rPr>
  </w:style>
  <w:style w:type="character" w:customStyle="1" w:styleId="58">
    <w:name w:val="KeywordTok"/>
    <w:basedOn w:val="51"/>
    <w:qFormat/>
    <w:uiPriority w:val="0"/>
    <w:rPr>
      <w:b/>
      <w:color w:val="007020"/>
    </w:rPr>
  </w:style>
  <w:style w:type="character" w:customStyle="1" w:styleId="59">
    <w:name w:val="DataTypeTok"/>
    <w:basedOn w:val="51"/>
    <w:qFormat/>
    <w:uiPriority w:val="0"/>
    <w:rPr>
      <w:color w:val="902000"/>
    </w:rPr>
  </w:style>
  <w:style w:type="character" w:customStyle="1" w:styleId="60">
    <w:name w:val="DecValTok"/>
    <w:basedOn w:val="51"/>
    <w:qFormat/>
    <w:uiPriority w:val="0"/>
    <w:rPr>
      <w:color w:val="40A070"/>
    </w:rPr>
  </w:style>
  <w:style w:type="character" w:customStyle="1" w:styleId="61">
    <w:name w:val="BaseNTok"/>
    <w:basedOn w:val="51"/>
    <w:qFormat/>
    <w:uiPriority w:val="0"/>
    <w:rPr>
      <w:color w:val="40A070"/>
    </w:rPr>
  </w:style>
  <w:style w:type="character" w:customStyle="1" w:styleId="62">
    <w:name w:val="FloatTok"/>
    <w:basedOn w:val="51"/>
    <w:qFormat/>
    <w:uiPriority w:val="0"/>
    <w:rPr>
      <w:color w:val="40A070"/>
    </w:rPr>
  </w:style>
  <w:style w:type="character" w:customStyle="1" w:styleId="63">
    <w:name w:val="ConstantTok"/>
    <w:basedOn w:val="51"/>
    <w:qFormat/>
    <w:uiPriority w:val="0"/>
    <w:rPr>
      <w:color w:val="880000"/>
    </w:rPr>
  </w:style>
  <w:style w:type="character" w:customStyle="1" w:styleId="64">
    <w:name w:val="CharTok"/>
    <w:basedOn w:val="51"/>
    <w:qFormat/>
    <w:uiPriority w:val="0"/>
    <w:rPr>
      <w:color w:val="4070A0"/>
    </w:rPr>
  </w:style>
  <w:style w:type="character" w:customStyle="1" w:styleId="65">
    <w:name w:val="SpecialCharTok"/>
    <w:basedOn w:val="51"/>
    <w:qFormat/>
    <w:uiPriority w:val="0"/>
    <w:rPr>
      <w:color w:val="4070A0"/>
    </w:rPr>
  </w:style>
  <w:style w:type="character" w:customStyle="1" w:styleId="66">
    <w:name w:val="StringTok"/>
    <w:basedOn w:val="51"/>
    <w:qFormat/>
    <w:uiPriority w:val="0"/>
    <w:rPr>
      <w:color w:val="4070A0"/>
    </w:rPr>
  </w:style>
  <w:style w:type="character" w:customStyle="1" w:styleId="67">
    <w:name w:val="VerbatimStringTok"/>
    <w:basedOn w:val="51"/>
    <w:qFormat/>
    <w:uiPriority w:val="0"/>
    <w:rPr>
      <w:color w:val="4070A0"/>
    </w:rPr>
  </w:style>
  <w:style w:type="character" w:customStyle="1" w:styleId="68">
    <w:name w:val="SpecialStringTok"/>
    <w:basedOn w:val="51"/>
    <w:qFormat/>
    <w:uiPriority w:val="0"/>
    <w:rPr>
      <w:color w:val="BB6688"/>
    </w:rPr>
  </w:style>
  <w:style w:type="character" w:customStyle="1" w:styleId="69">
    <w:name w:val="ImportTok"/>
    <w:basedOn w:val="51"/>
    <w:qFormat/>
    <w:uiPriority w:val="0"/>
    <w:rPr>
      <w:b/>
      <w:color w:val="008000"/>
    </w:rPr>
  </w:style>
  <w:style w:type="character" w:customStyle="1" w:styleId="70">
    <w:name w:val="CommentTok"/>
    <w:basedOn w:val="51"/>
    <w:qFormat/>
    <w:uiPriority w:val="0"/>
    <w:rPr>
      <w:i/>
      <w:color w:val="60A0B0"/>
    </w:rPr>
  </w:style>
  <w:style w:type="character" w:customStyle="1" w:styleId="71">
    <w:name w:val="DocumentationTok"/>
    <w:basedOn w:val="51"/>
    <w:qFormat/>
    <w:uiPriority w:val="0"/>
    <w:rPr>
      <w:i/>
      <w:color w:val="BA2121"/>
    </w:rPr>
  </w:style>
  <w:style w:type="character" w:customStyle="1" w:styleId="72">
    <w:name w:val="AnnotationTok"/>
    <w:basedOn w:val="51"/>
    <w:qFormat/>
    <w:uiPriority w:val="0"/>
    <w:rPr>
      <w:b/>
      <w:i/>
      <w:color w:val="60A0B0"/>
    </w:rPr>
  </w:style>
  <w:style w:type="character" w:customStyle="1" w:styleId="73">
    <w:name w:val="CommentVarTok"/>
    <w:basedOn w:val="51"/>
    <w:uiPriority w:val="0"/>
    <w:rPr>
      <w:b/>
      <w:i/>
      <w:color w:val="60A0B0"/>
    </w:rPr>
  </w:style>
  <w:style w:type="character" w:customStyle="1" w:styleId="74">
    <w:name w:val="OtherTok"/>
    <w:basedOn w:val="51"/>
    <w:qFormat/>
    <w:uiPriority w:val="0"/>
    <w:rPr>
      <w:color w:val="007020"/>
    </w:rPr>
  </w:style>
  <w:style w:type="character" w:customStyle="1" w:styleId="75">
    <w:name w:val="FunctionTok"/>
    <w:basedOn w:val="51"/>
    <w:qFormat/>
    <w:uiPriority w:val="0"/>
    <w:rPr>
      <w:color w:val="06287E"/>
    </w:rPr>
  </w:style>
  <w:style w:type="character" w:customStyle="1" w:styleId="76">
    <w:name w:val="VariableTok"/>
    <w:basedOn w:val="51"/>
    <w:qFormat/>
    <w:uiPriority w:val="0"/>
    <w:rPr>
      <w:color w:val="19177C"/>
    </w:rPr>
  </w:style>
  <w:style w:type="character" w:customStyle="1" w:styleId="77">
    <w:name w:val="ControlFlowTok"/>
    <w:basedOn w:val="51"/>
    <w:qFormat/>
    <w:uiPriority w:val="0"/>
    <w:rPr>
      <w:b/>
      <w:color w:val="007020"/>
    </w:rPr>
  </w:style>
  <w:style w:type="character" w:customStyle="1" w:styleId="78">
    <w:name w:val="OperatorTok"/>
    <w:basedOn w:val="51"/>
    <w:qFormat/>
    <w:uiPriority w:val="0"/>
    <w:rPr>
      <w:color w:val="666666"/>
    </w:rPr>
  </w:style>
  <w:style w:type="character" w:customStyle="1" w:styleId="79">
    <w:name w:val="BuiltInTok"/>
    <w:basedOn w:val="51"/>
    <w:qFormat/>
    <w:uiPriority w:val="0"/>
    <w:rPr>
      <w:color w:val="008000"/>
    </w:rPr>
  </w:style>
  <w:style w:type="character" w:customStyle="1" w:styleId="80">
    <w:name w:val="ExtensionTok"/>
    <w:basedOn w:val="51"/>
    <w:qFormat/>
    <w:uiPriority w:val="0"/>
  </w:style>
  <w:style w:type="character" w:customStyle="1" w:styleId="81">
    <w:name w:val="PreprocessorTok"/>
    <w:basedOn w:val="51"/>
    <w:qFormat/>
    <w:uiPriority w:val="0"/>
    <w:rPr>
      <w:color w:val="BC7A00"/>
    </w:rPr>
  </w:style>
  <w:style w:type="character" w:customStyle="1" w:styleId="82">
    <w:name w:val="AttributeTok"/>
    <w:basedOn w:val="51"/>
    <w:qFormat/>
    <w:uiPriority w:val="0"/>
    <w:rPr>
      <w:color w:val="7D9029"/>
    </w:rPr>
  </w:style>
  <w:style w:type="character" w:customStyle="1" w:styleId="83">
    <w:name w:val="RegionMarkerTok"/>
    <w:basedOn w:val="51"/>
    <w:qFormat/>
    <w:uiPriority w:val="0"/>
  </w:style>
  <w:style w:type="character" w:customStyle="1" w:styleId="84">
    <w:name w:val="InformationTok"/>
    <w:basedOn w:val="51"/>
    <w:qFormat/>
    <w:uiPriority w:val="0"/>
    <w:rPr>
      <w:b/>
      <w:i/>
      <w:color w:val="60A0B0"/>
    </w:rPr>
  </w:style>
  <w:style w:type="character" w:customStyle="1" w:styleId="85">
    <w:name w:val="WarningTok"/>
    <w:basedOn w:val="51"/>
    <w:qFormat/>
    <w:uiPriority w:val="0"/>
    <w:rPr>
      <w:b/>
      <w:i/>
      <w:color w:val="60A0B0"/>
    </w:rPr>
  </w:style>
  <w:style w:type="character" w:customStyle="1" w:styleId="86">
    <w:name w:val="AlertTok"/>
    <w:basedOn w:val="51"/>
    <w:qFormat/>
    <w:uiPriority w:val="0"/>
    <w:rPr>
      <w:b/>
      <w:color w:val="FF0000"/>
    </w:rPr>
  </w:style>
  <w:style w:type="character" w:customStyle="1" w:styleId="87">
    <w:name w:val="ErrorTok"/>
    <w:basedOn w:val="51"/>
    <w:qFormat/>
    <w:uiPriority w:val="0"/>
    <w:rPr>
      <w:b/>
      <w:color w:val="FF0000"/>
    </w:rPr>
  </w:style>
  <w:style w:type="character" w:customStyle="1" w:styleId="88">
    <w:name w:val="NormalTok"/>
    <w:basedOn w:val="5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4113</Words>
  <Characters>4909</Characters>
  <Lines>3</Lines>
  <Paragraphs>1</Paragraphs>
  <TotalTime>29</TotalTime>
  <ScaleCrop>false</ScaleCrop>
  <LinksUpToDate>false</LinksUpToDate>
  <CharactersWithSpaces>4994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2026-03-18T15:11:00Z</dcterms:created>
  <dc:creator>刘华斌 Egbert Lau</dc:creator>
  <cp:lastModifiedBy>刘华斌 Egbert Lau</cp:lastModifiedBy>
  <dcterms:modified xsi:type="dcterms:W3CDTF">2026-03-18T15:14:52Z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ntqnesudu6262glarp0-19d01632-4bb2-80b9-8000-0903dfdd373a-20260318151137","ReservedCode1":"","ContentPropagator":"001191110108MACG2KBH8F20000","PropagateID":"cntqnesudu6262glarp0-19d01632-4bb2-80b9-8000-0903dfdd373a-20260318151137","ReservedCode2":""}</vt:lpwstr>
  </property>
  <property fmtid="{D5CDD505-2E9C-101B-9397-08002B2CF9AE}" pid="3" name="KSOTemplateDocerSaveRecord">
    <vt:lpwstr>eyJoZGlkIjoiMTQ3YmVlMWE2NDU2NjNmOGRhZWQ3ZDY0YzNlODJmOTUiLCJ1c2VySWQiOiIyMjQ3NDQ4ODIifQ==</vt:lpwstr>
  </property>
  <property fmtid="{D5CDD505-2E9C-101B-9397-08002B2CF9AE}" pid="4" name="KSOProductBuildVer">
    <vt:lpwstr>2052-12.1.0.24657</vt:lpwstr>
  </property>
  <property fmtid="{D5CDD505-2E9C-101B-9397-08002B2CF9AE}" pid="5" name="ICV">
    <vt:lpwstr>B99C2B0083A94931859AF25668DA30ED_13</vt:lpwstr>
  </property>
</Properties>
</file>