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FB9A18">
      <w:r>
        <w:pict>
          <v:rect id="_x0000_i1026" o:spt="1" style="height:1.5pt;width:0pt;" coordsize="21600,21600" o:hr="t" o:hrstd="t" o:hralign="center">
            <v:path/>
            <v:fill focussize="0,0"/>
            <v:stroke/>
            <v:imagedata o:title=""/>
            <o:lock v:ext="edit"/>
            <w10:wrap type="none"/>
            <w10:anchorlock/>
          </v:rect>
        </w:pict>
      </w:r>
    </w:p>
    <w:p w14:paraId="0DE11785">
      <w:pPr>
        <w:pStyle w:val="2"/>
      </w:pPr>
      <w:bookmarkStart w:id="0" w:name="感知力训练体系基于具身认知与双系统理论的合伙人决策能力发展框架v2.0"/>
      <w:r>
        <w:t>感知力训练体系：基于具身认知与双系统理论的合伙人决策能力发展框架（V2.0）</w:t>
      </w:r>
    </w:p>
    <w:p w14:paraId="1E183882">
      <w:pPr>
        <w:pStyle w:val="26"/>
      </w:pPr>
      <w:r>
        <w:rPr>
          <w:b/>
          <w:bCs/>
        </w:rPr>
        <w:t>论文类型</w:t>
      </w:r>
      <w:r>
        <w:t>：理论建构与实践框架研究（Theory Construction &amp; Practical Framework）</w:t>
      </w:r>
      <w:r>
        <w:br w:type="textWrapping"/>
      </w:r>
      <w:r>
        <w:rPr>
          <w:b/>
          <w:bCs/>
        </w:rPr>
        <w:t>学术定位</w:t>
      </w:r>
      <w:r>
        <w:t>：跨学科应用研究（神经科学 × 组织行为学 × 认知心理学）</w:t>
      </w:r>
      <w:r>
        <w:br w:type="textWrapping"/>
      </w:r>
      <w:r>
        <w:rPr>
          <w:b/>
          <w:bCs/>
        </w:rPr>
        <w:t>版本声明</w:t>
      </w:r>
      <w:r>
        <w:t>：本版本已根据学术规范对原始文献进行溯源验证，并对不可考据的实务性参数进行方法论标注</w:t>
      </w:r>
    </w:p>
    <w:p w14:paraId="15211799">
      <w:r>
        <w:pict>
          <v:rect id="_x0000_i1027" o:spt="1" style="height:1.5pt;width:0pt;" coordsize="21600,21600" o:hr="t" o:hrstd="t" o:hralign="center">
            <v:path/>
            <v:fill focussize="0,0"/>
            <v:stroke/>
            <v:imagedata o:title=""/>
            <o:lock v:ext="edit"/>
            <w10:wrap type="none"/>
            <w10:anchorlock/>
          </v:rect>
        </w:pict>
      </w:r>
    </w:p>
    <w:p w14:paraId="6579DE72">
      <w:pPr>
        <w:pStyle w:val="4"/>
      </w:pPr>
      <w:bookmarkStart w:id="1" w:name="摘要structured-abstract"/>
      <w:r>
        <w:t>摘要（Structured Abstract）</w:t>
      </w:r>
    </w:p>
    <w:p w14:paraId="6697EB56">
      <w:pPr>
        <w:pStyle w:val="26"/>
      </w:pPr>
      <w:r>
        <w:rPr>
          <w:b/>
          <w:bCs/>
        </w:rPr>
        <w:t>Background</w:t>
      </w:r>
      <w:r>
        <w:br w:type="textWrapping"/>
      </w:r>
      <w:r>
        <w:t>企业创始人在合伙人选择与关系评估中面临高不确定性决策情境。传统依赖履历分析与尽职调查的”观察力”模式难以捕捉隐性适配信号。本研究基于具身认知（Embodied Cognition）、双系统决策理论（Dual-Process Theory）及预测性加工框架（Predictive Processing），重构”感知力”（Perceptual Capacity）作为整合型认知能力的理论内涵。</w:t>
      </w:r>
    </w:p>
    <w:p w14:paraId="13156040">
      <w:pPr>
        <w:pStyle w:val="3"/>
      </w:pPr>
      <w:r>
        <w:rPr>
          <w:b/>
          <w:bCs/>
        </w:rPr>
        <w:t>Methods</w:t>
      </w:r>
      <w:r>
        <w:br w:type="textWrapping"/>
      </w:r>
      <w:r>
        <w:t>采用理论演绎与循证整合方法：（1）系统检索1993-2025年间关于专家直觉、内感受意识（Interoceptive Awareness）与默认模式网络（DMN）的神经科学研究；（2）基于Polanyi隐性知识理论与Kahneman双系统理论构建概念框架；（3）设计三层次训练体系（觉察力-辨别力-整合力）并建立可验证的评估指标。</w:t>
      </w:r>
    </w:p>
    <w:p w14:paraId="1C307727">
      <w:pPr>
        <w:pStyle w:val="3"/>
      </w:pPr>
      <w:r>
        <w:rPr>
          <w:b/>
          <w:bCs/>
        </w:rPr>
        <w:t>Results</w:t>
      </w:r>
      <w:r>
        <w:br w:type="textWrapping"/>
      </w:r>
      <w:r>
        <w:t>1. 神经科学证据支持：8周正念训练可显著增强岛叶皮层（Insula）功能连接，提升内感受准确性；DMN在静息状态下的模式识别功能为直觉生成提供神经基础。</w:t>
      </w:r>
      <w:r>
        <w:br w:type="textWrapping"/>
      </w:r>
      <w:r>
        <w:t>2. 理论修正：将传统”躯体信号识别”扩展为多维度整合感知（身体-情绪-认知-价值-能量），避免单通道依赖的局限性。</w:t>
      </w:r>
      <w:r>
        <w:br w:type="textWrapping"/>
      </w:r>
      <w:r>
        <w:t>3. 训练体系有效性预估：基于Ericsson的刻意练习理论，经验压缩训练可在6-24个月内达到传统”十年法则”的模式库积累效果。</w:t>
      </w:r>
    </w:p>
    <w:p w14:paraId="0112577C">
      <w:pPr>
        <w:pStyle w:val="3"/>
      </w:pPr>
      <w:r>
        <w:rPr>
          <w:b/>
          <w:bCs/>
        </w:rPr>
        <w:t>Conclusion</w:t>
      </w:r>
      <w:r>
        <w:br w:type="textWrapping"/>
      </w:r>
      <w:r>
        <w:t>感知力是可训练的认知技能，其发展遵循”信号生成→信噪比优化→系统整合”的层级路径。本体系提供可操作的日常微练习（Daily Micro-practice）与压力测试方案，但需注意：具体评估阈值（如”准确率≥70%“）属方法论假设，需通过纵向实证研究验证。</w:t>
      </w:r>
    </w:p>
    <w:p w14:paraId="49F73D3E">
      <w:pPr>
        <w:pStyle w:val="3"/>
      </w:pPr>
      <w:r>
        <w:rPr>
          <w:b/>
          <w:bCs/>
        </w:rPr>
        <w:t>关键词</w:t>
      </w:r>
      <w:r>
        <w:t>：感知力（Perceptual Capacity）；内感受（Interoception）；双系统理论（Dual-Process Theory）；合伙人决策（Partner Selection）；具身认知（Embodied Cognition）；默认模式网络（DMN）</w:t>
      </w:r>
    </w:p>
    <w:p w14:paraId="143B2D89">
      <w:r>
        <w:pict>
          <v:rect id="_x0000_i1028" o:spt="1" style="height:1.5pt;width:0pt;" coordsize="21600,21600" o:hr="t" o:hrstd="t" o:hralign="center">
            <v:path/>
            <v:fill focussize="0,0"/>
            <v:stroke/>
            <v:imagedata o:title=""/>
            <o:lock v:ext="edit"/>
            <w10:wrap type="none"/>
            <w10:anchorlock/>
          </v:rect>
        </w:pict>
      </w:r>
    </w:p>
    <w:bookmarkEnd w:id="1"/>
    <w:p w14:paraId="7718AEF9">
      <w:pPr>
        <w:pStyle w:val="4"/>
      </w:pPr>
      <w:bookmarkStart w:id="2" w:name="文献索引与来源验证系统source-index-verification"/>
      <w:r>
        <w:t>1. 文献索引与来源验证系统（Source Index &amp; Verification）</w:t>
      </w:r>
    </w:p>
    <w:p w14:paraId="0DCC28AD">
      <w:pPr>
        <w:pStyle w:val="5"/>
      </w:pPr>
      <w:bookmarkStart w:id="3" w:name="理论来源与实证基础"/>
      <w:r>
        <w:t>1.1 理论来源与实证基础</w:t>
      </w:r>
    </w:p>
    <w:tbl>
      <w:tblPr>
        <w:tblStyle w:val="44"/>
        <w:tblW w:w="8959" w:type="dxa"/>
        <w:jc w:val="center"/>
        <w:tblLayout w:type="autofit"/>
        <w:tblCellMar>
          <w:top w:w="0" w:type="dxa"/>
          <w:left w:w="108" w:type="dxa"/>
          <w:bottom w:w="0" w:type="dxa"/>
          <w:right w:w="108" w:type="dxa"/>
        </w:tblCellMar>
      </w:tblPr>
      <w:tblGrid>
        <w:gridCol w:w="2161"/>
        <w:gridCol w:w="2216"/>
        <w:gridCol w:w="1366"/>
        <w:gridCol w:w="3216"/>
      </w:tblGrid>
      <w:tr w14:paraId="06D26B7C">
        <w:tblPrEx>
          <w:tblCellMar>
            <w:top w:w="0" w:type="dxa"/>
            <w:left w:w="108" w:type="dxa"/>
            <w:bottom w:w="0" w:type="dxa"/>
            <w:right w:w="108" w:type="dxa"/>
          </w:tblCellMar>
        </w:tblPrEx>
        <w:trPr>
          <w:trHeight w:val="0" w:hRule="atLeast"/>
          <w:tblHeader/>
          <w:jc w:val="center"/>
        </w:trPr>
        <w:tc>
          <w:tcPr>
            <w:tcW w:w="2161" w:type="dxa"/>
            <w:tcBorders>
              <w:top w:val="single" w:color="auto" w:sz="12" w:space="0"/>
              <w:left w:val="nil"/>
              <w:bottom w:val="single" w:color="auto" w:sz="4" w:space="0"/>
              <w:right w:val="nil"/>
            </w:tcBorders>
            <w:vAlign w:val="center"/>
          </w:tcPr>
          <w:p w14:paraId="782E641F">
            <w:pPr>
              <w:pStyle w:val="27"/>
              <w:snapToGrid w:val="0"/>
              <w:spacing w:line="240" w:lineRule="auto"/>
              <w:ind w:left="0" w:leftChars="0" w:right="0" w:rightChars="0" w:firstLine="0" w:firstLineChars="0"/>
              <w:jc w:val="center"/>
              <w:rPr>
                <w:b/>
              </w:rPr>
            </w:pPr>
            <w:r>
              <w:rPr>
                <w:b/>
              </w:rPr>
              <w:t>原文核心主张</w:t>
            </w:r>
          </w:p>
        </w:tc>
        <w:tc>
          <w:tcPr>
            <w:tcW w:w="2216" w:type="dxa"/>
            <w:tcBorders>
              <w:top w:val="single" w:color="auto" w:sz="12" w:space="0"/>
              <w:left w:val="nil"/>
              <w:bottom w:val="single" w:color="auto" w:sz="4" w:space="0"/>
              <w:right w:val="nil"/>
            </w:tcBorders>
            <w:vAlign w:val="center"/>
          </w:tcPr>
          <w:p w14:paraId="62C6EC78">
            <w:pPr>
              <w:pStyle w:val="27"/>
              <w:snapToGrid w:val="0"/>
              <w:spacing w:line="240" w:lineRule="auto"/>
              <w:ind w:left="0" w:leftChars="0" w:right="0" w:rightChars="0" w:firstLine="0" w:firstLineChars="0"/>
              <w:jc w:val="center"/>
              <w:rPr>
                <w:b/>
              </w:rPr>
            </w:pPr>
            <w:r>
              <w:rPr>
                <w:b/>
              </w:rPr>
              <w:t>溯源来源</w:t>
            </w:r>
          </w:p>
        </w:tc>
        <w:tc>
          <w:tcPr>
            <w:tcW w:w="1366" w:type="dxa"/>
            <w:tcBorders>
              <w:top w:val="single" w:color="auto" w:sz="12" w:space="0"/>
              <w:left w:val="nil"/>
              <w:bottom w:val="single" w:color="auto" w:sz="4" w:space="0"/>
              <w:right w:val="nil"/>
            </w:tcBorders>
            <w:vAlign w:val="center"/>
          </w:tcPr>
          <w:p w14:paraId="57D50F95">
            <w:pPr>
              <w:pStyle w:val="27"/>
              <w:snapToGrid w:val="0"/>
              <w:spacing w:line="240" w:lineRule="auto"/>
              <w:ind w:left="0" w:leftChars="0" w:right="0" w:rightChars="0" w:firstLine="0" w:firstLineChars="0"/>
              <w:jc w:val="center"/>
              <w:rPr>
                <w:b/>
              </w:rPr>
            </w:pPr>
            <w:r>
              <w:rPr>
                <w:b/>
              </w:rPr>
              <w:t>验证状态</w:t>
            </w:r>
          </w:p>
        </w:tc>
        <w:tc>
          <w:tcPr>
            <w:tcW w:w="3216" w:type="dxa"/>
            <w:tcBorders>
              <w:top w:val="single" w:color="auto" w:sz="12" w:space="0"/>
              <w:left w:val="nil"/>
              <w:bottom w:val="single" w:color="auto" w:sz="4" w:space="0"/>
              <w:right w:val="nil"/>
            </w:tcBorders>
            <w:vAlign w:val="center"/>
          </w:tcPr>
          <w:p w14:paraId="26BA3963">
            <w:pPr>
              <w:pStyle w:val="27"/>
              <w:snapToGrid w:val="0"/>
              <w:spacing w:line="240" w:lineRule="auto"/>
              <w:ind w:left="0" w:leftChars="0" w:right="0" w:rightChars="0" w:firstLine="0" w:firstLineChars="0"/>
              <w:jc w:val="center"/>
              <w:rPr>
                <w:b/>
              </w:rPr>
            </w:pPr>
            <w:r>
              <w:rPr>
                <w:b/>
              </w:rPr>
              <w:t>学术说明</w:t>
            </w:r>
          </w:p>
        </w:tc>
      </w:tr>
      <w:tr w14:paraId="5152DD29">
        <w:tblPrEx>
          <w:tblCellMar>
            <w:top w:w="0" w:type="dxa"/>
            <w:left w:w="108" w:type="dxa"/>
            <w:bottom w:w="0" w:type="dxa"/>
            <w:right w:w="108" w:type="dxa"/>
          </w:tblCellMar>
        </w:tblPrEx>
        <w:trPr>
          <w:trHeight w:val="0" w:hRule="atLeast"/>
          <w:jc w:val="center"/>
        </w:trPr>
        <w:tc>
          <w:tcPr>
            <w:tcW w:w="2161" w:type="dxa"/>
            <w:tcBorders>
              <w:top w:val="single" w:color="auto" w:sz="4" w:space="0"/>
              <w:left w:val="nil"/>
              <w:bottom w:val="nil"/>
              <w:right w:val="nil"/>
            </w:tcBorders>
            <w:vAlign w:val="center"/>
          </w:tcPr>
          <w:p w14:paraId="479CBD1B">
            <w:pPr>
              <w:pStyle w:val="27"/>
              <w:snapToGrid w:val="0"/>
              <w:spacing w:line="240" w:lineRule="auto"/>
              <w:ind w:left="0" w:leftChars="0" w:right="0" w:rightChars="0" w:firstLine="0" w:firstLineChars="0"/>
              <w:jc w:val="left"/>
            </w:pPr>
            <w:r>
              <w:rPr>
                <w:b/>
                <w:bCs/>
              </w:rPr>
              <w:t>8周正念训练改变岛叶皮层结构</w:t>
            </w:r>
          </w:p>
        </w:tc>
        <w:tc>
          <w:tcPr>
            <w:tcW w:w="2216" w:type="dxa"/>
            <w:tcBorders>
              <w:top w:val="single" w:color="auto" w:sz="4" w:space="0"/>
              <w:left w:val="nil"/>
              <w:bottom w:val="nil"/>
              <w:right w:val="nil"/>
            </w:tcBorders>
            <w:vAlign w:val="center"/>
          </w:tcPr>
          <w:p w14:paraId="18A61C70">
            <w:pPr>
              <w:pStyle w:val="27"/>
              <w:snapToGrid w:val="0"/>
              <w:spacing w:line="240" w:lineRule="auto"/>
              <w:ind w:left="0" w:leftChars="0" w:right="0" w:rightChars="0" w:firstLine="0" w:firstLineChars="0"/>
              <w:jc w:val="left"/>
            </w:pPr>
            <w:r>
              <w:t>Farb et al. (2013) ; Santarnecchi et al. (2016)</w:t>
            </w:r>
          </w:p>
        </w:tc>
        <w:tc>
          <w:tcPr>
            <w:tcW w:w="1366" w:type="dxa"/>
            <w:tcBorders>
              <w:top w:val="single" w:color="auto" w:sz="4" w:space="0"/>
              <w:left w:val="nil"/>
              <w:bottom w:val="nil"/>
              <w:right w:val="nil"/>
            </w:tcBorders>
            <w:vAlign w:val="center"/>
          </w:tcPr>
          <w:p w14:paraId="776820E4">
            <w:pPr>
              <w:pStyle w:val="27"/>
              <w:snapToGrid w:val="0"/>
              <w:spacing w:line="240" w:lineRule="auto"/>
              <w:ind w:left="0" w:leftChars="0" w:right="0" w:rightChars="0" w:firstLine="0" w:firstLineChars="0"/>
              <w:jc w:val="left"/>
            </w:pPr>
            <w:r>
              <w:rPr>
                <w:b/>
                <w:bCs/>
              </w:rPr>
              <w:t>已验证</w:t>
            </w:r>
          </w:p>
        </w:tc>
        <w:tc>
          <w:tcPr>
            <w:tcW w:w="3216" w:type="dxa"/>
            <w:tcBorders>
              <w:top w:val="single" w:color="auto" w:sz="4" w:space="0"/>
              <w:left w:val="nil"/>
              <w:bottom w:val="nil"/>
              <w:right w:val="nil"/>
            </w:tcBorders>
            <w:vAlign w:val="center"/>
          </w:tcPr>
          <w:p w14:paraId="05B147EC">
            <w:pPr>
              <w:pStyle w:val="27"/>
              <w:snapToGrid w:val="0"/>
              <w:spacing w:line="240" w:lineRule="auto"/>
              <w:ind w:left="0" w:leftChars="0" w:right="0" w:rightChars="0" w:firstLine="0" w:firstLineChars="0"/>
              <w:jc w:val="left"/>
            </w:pPr>
            <w:r>
              <w:t>右侧岛叶皮层厚度增加与内感受准确性提升显著相关，fMRI研究证实功能连接增强</w:t>
            </w:r>
          </w:p>
        </w:tc>
      </w:tr>
      <w:tr w14:paraId="23CC1B09">
        <w:tblPrEx>
          <w:tblCellMar>
            <w:top w:w="0" w:type="dxa"/>
            <w:left w:w="108" w:type="dxa"/>
            <w:bottom w:w="0" w:type="dxa"/>
            <w:right w:w="108" w:type="dxa"/>
          </w:tblCellMar>
        </w:tblPrEx>
        <w:trPr>
          <w:trHeight w:val="0" w:hRule="atLeast"/>
          <w:jc w:val="center"/>
        </w:trPr>
        <w:tc>
          <w:tcPr>
            <w:tcW w:w="2161" w:type="dxa"/>
            <w:tcBorders>
              <w:top w:val="nil"/>
              <w:left w:val="nil"/>
              <w:bottom w:val="nil"/>
              <w:right w:val="nil"/>
            </w:tcBorders>
            <w:vAlign w:val="center"/>
          </w:tcPr>
          <w:p w14:paraId="0762E2AA">
            <w:pPr>
              <w:pStyle w:val="27"/>
              <w:snapToGrid w:val="0"/>
              <w:spacing w:line="240" w:lineRule="auto"/>
              <w:ind w:left="0" w:leftChars="0" w:right="0" w:rightChars="0" w:firstLine="0" w:firstLineChars="0"/>
              <w:jc w:val="left"/>
            </w:pPr>
            <w:r>
              <w:rPr>
                <w:b/>
                <w:bCs/>
              </w:rPr>
              <w:t>默认模式网络（DMN）参与直觉生成</w:t>
            </w:r>
          </w:p>
        </w:tc>
        <w:tc>
          <w:tcPr>
            <w:tcW w:w="2216" w:type="dxa"/>
            <w:tcBorders>
              <w:top w:val="nil"/>
              <w:left w:val="nil"/>
              <w:bottom w:val="nil"/>
              <w:right w:val="nil"/>
            </w:tcBorders>
            <w:vAlign w:val="center"/>
          </w:tcPr>
          <w:p w14:paraId="23E9D79B">
            <w:pPr>
              <w:pStyle w:val="27"/>
              <w:snapToGrid w:val="0"/>
              <w:spacing w:line="240" w:lineRule="auto"/>
              <w:ind w:left="0" w:leftChars="0" w:right="0" w:rightChars="0" w:firstLine="0" w:firstLineChars="0"/>
              <w:jc w:val="left"/>
            </w:pPr>
            <w:r>
              <w:t>Fox et al. (2015); Raichle (2015)</w:t>
            </w:r>
          </w:p>
        </w:tc>
        <w:tc>
          <w:tcPr>
            <w:tcW w:w="1366" w:type="dxa"/>
            <w:tcBorders>
              <w:top w:val="nil"/>
              <w:left w:val="nil"/>
              <w:bottom w:val="nil"/>
              <w:right w:val="nil"/>
            </w:tcBorders>
            <w:vAlign w:val="center"/>
          </w:tcPr>
          <w:p w14:paraId="42E5B6FB">
            <w:pPr>
              <w:pStyle w:val="27"/>
              <w:snapToGrid w:val="0"/>
              <w:spacing w:line="240" w:lineRule="auto"/>
              <w:ind w:left="0" w:leftChars="0" w:right="0" w:rightChars="0" w:firstLine="0" w:firstLineChars="0"/>
              <w:jc w:val="left"/>
            </w:pPr>
            <w:r>
              <w:rPr>
                <w:b/>
                <w:bCs/>
              </w:rPr>
              <w:t>已验证</w:t>
            </w:r>
          </w:p>
        </w:tc>
        <w:tc>
          <w:tcPr>
            <w:tcW w:w="3216" w:type="dxa"/>
            <w:tcBorders>
              <w:top w:val="nil"/>
              <w:left w:val="nil"/>
              <w:bottom w:val="nil"/>
              <w:right w:val="nil"/>
            </w:tcBorders>
            <w:vAlign w:val="center"/>
          </w:tcPr>
          <w:p w14:paraId="5E65EE8F">
            <w:pPr>
              <w:pStyle w:val="27"/>
              <w:snapToGrid w:val="0"/>
              <w:spacing w:line="240" w:lineRule="auto"/>
              <w:ind w:left="0" w:leftChars="0" w:right="0" w:rightChars="0" w:firstLine="0" w:firstLineChars="0"/>
              <w:jc w:val="left"/>
            </w:pPr>
            <w:r>
              <w:t>DMN在静息状态下参与自我参照加工与未来情境模拟，与模式识别相关</w:t>
            </w:r>
          </w:p>
        </w:tc>
      </w:tr>
      <w:tr w14:paraId="116B5E67">
        <w:tblPrEx>
          <w:tblCellMar>
            <w:top w:w="0" w:type="dxa"/>
            <w:left w:w="108" w:type="dxa"/>
            <w:bottom w:w="0" w:type="dxa"/>
            <w:right w:w="108" w:type="dxa"/>
          </w:tblCellMar>
        </w:tblPrEx>
        <w:trPr>
          <w:trHeight w:val="0" w:hRule="atLeast"/>
          <w:jc w:val="center"/>
        </w:trPr>
        <w:tc>
          <w:tcPr>
            <w:tcW w:w="2161" w:type="dxa"/>
            <w:tcBorders>
              <w:top w:val="nil"/>
              <w:left w:val="nil"/>
              <w:bottom w:val="nil"/>
              <w:right w:val="nil"/>
            </w:tcBorders>
            <w:vAlign w:val="center"/>
          </w:tcPr>
          <w:p w14:paraId="0B4B1064">
            <w:pPr>
              <w:pStyle w:val="27"/>
              <w:snapToGrid w:val="0"/>
              <w:spacing w:line="240" w:lineRule="auto"/>
              <w:ind w:left="0" w:leftChars="0" w:right="0" w:rightChars="0" w:firstLine="0" w:firstLineChars="0"/>
              <w:jc w:val="left"/>
            </w:pPr>
            <w:r>
              <w:rPr>
                <w:b/>
                <w:bCs/>
              </w:rPr>
              <w:t>双系统理论（系统1/系统2）</w:t>
            </w:r>
          </w:p>
        </w:tc>
        <w:tc>
          <w:tcPr>
            <w:tcW w:w="2216" w:type="dxa"/>
            <w:tcBorders>
              <w:top w:val="nil"/>
              <w:left w:val="nil"/>
              <w:bottom w:val="nil"/>
              <w:right w:val="nil"/>
            </w:tcBorders>
            <w:vAlign w:val="center"/>
          </w:tcPr>
          <w:p w14:paraId="28D83048">
            <w:pPr>
              <w:pStyle w:val="27"/>
              <w:snapToGrid w:val="0"/>
              <w:spacing w:line="240" w:lineRule="auto"/>
              <w:ind w:left="0" w:leftChars="0" w:right="0" w:rightChars="0" w:firstLine="0" w:firstLineChars="0"/>
              <w:jc w:val="left"/>
            </w:pPr>
            <w:r>
              <w:t>Kahneman (2011); Stanovich (1999)</w:t>
            </w:r>
          </w:p>
        </w:tc>
        <w:tc>
          <w:tcPr>
            <w:tcW w:w="1366" w:type="dxa"/>
            <w:tcBorders>
              <w:top w:val="nil"/>
              <w:left w:val="nil"/>
              <w:bottom w:val="nil"/>
              <w:right w:val="nil"/>
            </w:tcBorders>
            <w:vAlign w:val="center"/>
          </w:tcPr>
          <w:p w14:paraId="29DB05EF">
            <w:pPr>
              <w:pStyle w:val="27"/>
              <w:snapToGrid w:val="0"/>
              <w:spacing w:line="240" w:lineRule="auto"/>
              <w:ind w:left="0" w:leftChars="0" w:right="0" w:rightChars="0" w:firstLine="0" w:firstLineChars="0"/>
              <w:jc w:val="left"/>
            </w:pPr>
            <w:r>
              <w:rPr>
                <w:b/>
                <w:bCs/>
              </w:rPr>
              <w:t>已验证</w:t>
            </w:r>
          </w:p>
        </w:tc>
        <w:tc>
          <w:tcPr>
            <w:tcW w:w="3216" w:type="dxa"/>
            <w:tcBorders>
              <w:top w:val="nil"/>
              <w:left w:val="nil"/>
              <w:bottom w:val="nil"/>
              <w:right w:val="nil"/>
            </w:tcBorders>
            <w:vAlign w:val="center"/>
          </w:tcPr>
          <w:p w14:paraId="775CCB61">
            <w:pPr>
              <w:pStyle w:val="27"/>
              <w:snapToGrid w:val="0"/>
              <w:spacing w:line="240" w:lineRule="auto"/>
              <w:ind w:left="0" w:leftChars="0" w:right="0" w:rightChars="0" w:firstLine="0" w:firstLineChars="0"/>
              <w:jc w:val="left"/>
            </w:pPr>
            <w:r>
              <w:t>系统1（快速、自动）与系统2（缓慢、分析）的区分已获广泛神经科学支持</w:t>
            </w:r>
          </w:p>
        </w:tc>
      </w:tr>
      <w:tr w14:paraId="23CEFC13">
        <w:tblPrEx>
          <w:tblCellMar>
            <w:top w:w="0" w:type="dxa"/>
            <w:left w:w="108" w:type="dxa"/>
            <w:bottom w:w="0" w:type="dxa"/>
            <w:right w:w="108" w:type="dxa"/>
          </w:tblCellMar>
        </w:tblPrEx>
        <w:trPr>
          <w:trHeight w:val="0" w:hRule="atLeast"/>
          <w:jc w:val="center"/>
        </w:trPr>
        <w:tc>
          <w:tcPr>
            <w:tcW w:w="2161" w:type="dxa"/>
            <w:tcBorders>
              <w:top w:val="nil"/>
              <w:left w:val="nil"/>
              <w:bottom w:val="nil"/>
              <w:right w:val="nil"/>
            </w:tcBorders>
            <w:vAlign w:val="center"/>
          </w:tcPr>
          <w:p w14:paraId="74B3B54D">
            <w:pPr>
              <w:pStyle w:val="27"/>
              <w:snapToGrid w:val="0"/>
              <w:spacing w:line="240" w:lineRule="auto"/>
              <w:ind w:left="0" w:leftChars="0" w:right="0" w:rightChars="0" w:firstLine="0" w:firstLineChars="0"/>
              <w:jc w:val="left"/>
            </w:pPr>
            <w:r>
              <w:rPr>
                <w:b/>
                <w:bCs/>
              </w:rPr>
              <w:t>隐性知识（Tacit Knowledge）</w:t>
            </w:r>
          </w:p>
        </w:tc>
        <w:tc>
          <w:tcPr>
            <w:tcW w:w="2216" w:type="dxa"/>
            <w:tcBorders>
              <w:top w:val="nil"/>
              <w:left w:val="nil"/>
              <w:bottom w:val="nil"/>
              <w:right w:val="nil"/>
            </w:tcBorders>
            <w:vAlign w:val="center"/>
          </w:tcPr>
          <w:p w14:paraId="3A9B13BA">
            <w:pPr>
              <w:pStyle w:val="27"/>
              <w:snapToGrid w:val="0"/>
              <w:spacing w:line="240" w:lineRule="auto"/>
              <w:ind w:left="0" w:leftChars="0" w:right="0" w:rightChars="0" w:firstLine="0" w:firstLineChars="0"/>
              <w:jc w:val="left"/>
            </w:pPr>
            <w:r>
              <w:t>Polanyi (1958; 1966)</w:t>
            </w:r>
          </w:p>
        </w:tc>
        <w:tc>
          <w:tcPr>
            <w:tcW w:w="1366" w:type="dxa"/>
            <w:tcBorders>
              <w:top w:val="nil"/>
              <w:left w:val="nil"/>
              <w:bottom w:val="nil"/>
              <w:right w:val="nil"/>
            </w:tcBorders>
            <w:vAlign w:val="center"/>
          </w:tcPr>
          <w:p w14:paraId="7C5713FA">
            <w:pPr>
              <w:pStyle w:val="27"/>
              <w:snapToGrid w:val="0"/>
              <w:spacing w:line="240" w:lineRule="auto"/>
              <w:ind w:left="0" w:leftChars="0" w:right="0" w:rightChars="0" w:firstLine="0" w:firstLineChars="0"/>
              <w:jc w:val="left"/>
            </w:pPr>
            <w:r>
              <w:rPr>
                <w:b/>
                <w:bCs/>
              </w:rPr>
              <w:t>已验证</w:t>
            </w:r>
          </w:p>
        </w:tc>
        <w:tc>
          <w:tcPr>
            <w:tcW w:w="3216" w:type="dxa"/>
            <w:tcBorders>
              <w:top w:val="nil"/>
              <w:left w:val="nil"/>
              <w:bottom w:val="nil"/>
              <w:right w:val="nil"/>
            </w:tcBorders>
            <w:vAlign w:val="center"/>
          </w:tcPr>
          <w:p w14:paraId="5E67E93D">
            <w:pPr>
              <w:pStyle w:val="27"/>
              <w:snapToGrid w:val="0"/>
              <w:spacing w:line="240" w:lineRule="auto"/>
              <w:ind w:left="0" w:leftChars="0" w:right="0" w:rightChars="0" w:firstLine="0" w:firstLineChars="0"/>
              <w:jc w:val="left"/>
            </w:pPr>
            <w:r>
              <w:t>“我们知道的比能说出的更多”成为专家直觉研究的哲学基础</w:t>
            </w:r>
          </w:p>
        </w:tc>
      </w:tr>
      <w:tr w14:paraId="77C6FEB8">
        <w:tblPrEx>
          <w:tblCellMar>
            <w:top w:w="0" w:type="dxa"/>
            <w:left w:w="108" w:type="dxa"/>
            <w:bottom w:w="0" w:type="dxa"/>
            <w:right w:w="108" w:type="dxa"/>
          </w:tblCellMar>
        </w:tblPrEx>
        <w:trPr>
          <w:trHeight w:val="0" w:hRule="atLeast"/>
          <w:jc w:val="center"/>
        </w:trPr>
        <w:tc>
          <w:tcPr>
            <w:tcW w:w="2161" w:type="dxa"/>
            <w:tcBorders>
              <w:top w:val="nil"/>
              <w:left w:val="nil"/>
              <w:bottom w:val="nil"/>
              <w:right w:val="nil"/>
            </w:tcBorders>
            <w:vAlign w:val="center"/>
          </w:tcPr>
          <w:p w14:paraId="2966ABB5">
            <w:pPr>
              <w:pStyle w:val="27"/>
              <w:snapToGrid w:val="0"/>
              <w:spacing w:line="240" w:lineRule="auto"/>
              <w:ind w:left="0" w:leftChars="0" w:right="0" w:rightChars="0" w:firstLine="0" w:firstLineChars="0"/>
              <w:jc w:val="left"/>
            </w:pPr>
            <w:r>
              <w:rPr>
                <w:b/>
                <w:bCs/>
              </w:rPr>
              <w:t>10,000小时/十年法则</w:t>
            </w:r>
          </w:p>
        </w:tc>
        <w:tc>
          <w:tcPr>
            <w:tcW w:w="2216" w:type="dxa"/>
            <w:tcBorders>
              <w:top w:val="nil"/>
              <w:left w:val="nil"/>
              <w:bottom w:val="nil"/>
              <w:right w:val="nil"/>
            </w:tcBorders>
            <w:vAlign w:val="center"/>
          </w:tcPr>
          <w:p w14:paraId="1742A33A">
            <w:pPr>
              <w:pStyle w:val="27"/>
              <w:snapToGrid w:val="0"/>
              <w:spacing w:line="240" w:lineRule="auto"/>
              <w:ind w:left="0" w:leftChars="0" w:right="0" w:rightChars="0" w:firstLine="0" w:firstLineChars="0"/>
              <w:jc w:val="left"/>
            </w:pPr>
            <w:r>
              <w:t>Ericsson et al. (1993)</w:t>
            </w:r>
          </w:p>
        </w:tc>
        <w:tc>
          <w:tcPr>
            <w:tcW w:w="1366" w:type="dxa"/>
            <w:tcBorders>
              <w:top w:val="nil"/>
              <w:left w:val="nil"/>
              <w:bottom w:val="nil"/>
              <w:right w:val="nil"/>
            </w:tcBorders>
            <w:vAlign w:val="center"/>
          </w:tcPr>
          <w:p w14:paraId="0AF973F6">
            <w:pPr>
              <w:pStyle w:val="27"/>
              <w:snapToGrid w:val="0"/>
              <w:spacing w:line="240" w:lineRule="auto"/>
              <w:ind w:left="0" w:leftChars="0" w:right="0" w:rightChars="0" w:firstLine="0" w:firstLineChars="0"/>
              <w:jc w:val="left"/>
            </w:pPr>
            <w:r>
              <w:rPr>
                <w:b/>
                <w:bCs/>
              </w:rPr>
              <w:t>部分验证</w:t>
            </w:r>
          </w:p>
        </w:tc>
        <w:tc>
          <w:tcPr>
            <w:tcW w:w="3216" w:type="dxa"/>
            <w:tcBorders>
              <w:top w:val="nil"/>
              <w:left w:val="nil"/>
              <w:bottom w:val="nil"/>
              <w:right w:val="nil"/>
            </w:tcBorders>
            <w:vAlign w:val="center"/>
          </w:tcPr>
          <w:p w14:paraId="0E5B6D2D">
            <w:pPr>
              <w:pStyle w:val="27"/>
              <w:snapToGrid w:val="0"/>
              <w:spacing w:line="240" w:lineRule="auto"/>
              <w:ind w:left="0" w:leftChars="0" w:right="0" w:rightChars="0" w:firstLine="0" w:firstLineChars="0"/>
              <w:jc w:val="left"/>
            </w:pPr>
            <w:r>
              <w:t>原文为”约10年或10,000小时刻意练习的平均值”，非严格阈值；个体差异显著</w:t>
            </w:r>
          </w:p>
        </w:tc>
      </w:tr>
      <w:tr w14:paraId="226E9200">
        <w:tblPrEx>
          <w:tblCellMar>
            <w:top w:w="0" w:type="dxa"/>
            <w:left w:w="108" w:type="dxa"/>
            <w:bottom w:w="0" w:type="dxa"/>
            <w:right w:w="108" w:type="dxa"/>
          </w:tblCellMar>
        </w:tblPrEx>
        <w:trPr>
          <w:trHeight w:val="0" w:hRule="atLeast"/>
          <w:jc w:val="center"/>
        </w:trPr>
        <w:tc>
          <w:tcPr>
            <w:tcW w:w="2161" w:type="dxa"/>
            <w:tcBorders>
              <w:top w:val="nil"/>
              <w:left w:val="nil"/>
              <w:bottom w:val="nil"/>
              <w:right w:val="nil"/>
            </w:tcBorders>
            <w:vAlign w:val="center"/>
          </w:tcPr>
          <w:p w14:paraId="51744686">
            <w:pPr>
              <w:pStyle w:val="27"/>
              <w:snapToGrid w:val="0"/>
              <w:spacing w:line="240" w:lineRule="auto"/>
              <w:ind w:left="0" w:leftChars="0" w:right="0" w:rightChars="0" w:firstLine="0" w:firstLineChars="0"/>
              <w:jc w:val="left"/>
            </w:pPr>
            <w:r>
              <w:rPr>
                <w:b/>
                <w:bCs/>
              </w:rPr>
              <w:t>具身认知与姿态影响</w:t>
            </w:r>
          </w:p>
        </w:tc>
        <w:tc>
          <w:tcPr>
            <w:tcW w:w="2216" w:type="dxa"/>
            <w:tcBorders>
              <w:top w:val="nil"/>
              <w:left w:val="nil"/>
              <w:bottom w:val="nil"/>
              <w:right w:val="nil"/>
            </w:tcBorders>
            <w:vAlign w:val="center"/>
          </w:tcPr>
          <w:p w14:paraId="4680BA30">
            <w:pPr>
              <w:pStyle w:val="27"/>
              <w:snapToGrid w:val="0"/>
              <w:spacing w:line="240" w:lineRule="auto"/>
              <w:ind w:left="0" w:leftChars="0" w:right="0" w:rightChars="0" w:firstLine="0" w:firstLineChars="0"/>
              <w:jc w:val="left"/>
            </w:pPr>
            <w:r>
              <w:t>Carney, Cuddy &amp; Yap (2010)</w:t>
            </w:r>
          </w:p>
        </w:tc>
        <w:tc>
          <w:tcPr>
            <w:tcW w:w="1366" w:type="dxa"/>
            <w:tcBorders>
              <w:top w:val="nil"/>
              <w:left w:val="nil"/>
              <w:bottom w:val="nil"/>
              <w:right w:val="nil"/>
            </w:tcBorders>
            <w:vAlign w:val="center"/>
          </w:tcPr>
          <w:p w14:paraId="37505A37">
            <w:pPr>
              <w:pStyle w:val="27"/>
              <w:snapToGrid w:val="0"/>
              <w:spacing w:line="240" w:lineRule="auto"/>
              <w:ind w:left="0" w:leftChars="0" w:right="0" w:rightChars="0" w:firstLine="0" w:firstLineChars="0"/>
              <w:jc w:val="left"/>
            </w:pPr>
            <w:r>
              <w:rPr>
                <w:b/>
                <w:bCs/>
              </w:rPr>
              <w:t>争议/存疑</w:t>
            </w:r>
          </w:p>
        </w:tc>
        <w:tc>
          <w:tcPr>
            <w:tcW w:w="3216" w:type="dxa"/>
            <w:tcBorders>
              <w:top w:val="nil"/>
              <w:left w:val="nil"/>
              <w:bottom w:val="nil"/>
              <w:right w:val="nil"/>
            </w:tcBorders>
            <w:vAlign w:val="center"/>
          </w:tcPr>
          <w:p w14:paraId="66F69A8B">
            <w:pPr>
              <w:pStyle w:val="27"/>
              <w:snapToGrid w:val="0"/>
              <w:spacing w:line="240" w:lineRule="auto"/>
              <w:ind w:left="0" w:leftChars="0" w:right="0" w:rightChars="0" w:firstLine="0" w:firstLineChars="0"/>
              <w:jc w:val="left"/>
            </w:pPr>
            <w:r>
              <w:t>强力姿势（Power Posing）效应后续复制研究（Ranehill et al., 2015; Simmons &amp; Simonsohn, 2017）未能验证原始效应，存在出版偏倚风险</w:t>
            </w:r>
          </w:p>
        </w:tc>
      </w:tr>
      <w:tr w14:paraId="269FB9C3">
        <w:tblPrEx>
          <w:tblCellMar>
            <w:top w:w="0" w:type="dxa"/>
            <w:left w:w="108" w:type="dxa"/>
            <w:bottom w:w="0" w:type="dxa"/>
            <w:right w:w="108" w:type="dxa"/>
          </w:tblCellMar>
        </w:tblPrEx>
        <w:trPr>
          <w:trHeight w:val="0" w:hRule="atLeast"/>
          <w:jc w:val="center"/>
        </w:trPr>
        <w:tc>
          <w:tcPr>
            <w:tcW w:w="2161" w:type="dxa"/>
            <w:tcBorders>
              <w:top w:val="nil"/>
              <w:left w:val="nil"/>
              <w:bottom w:val="nil"/>
              <w:right w:val="nil"/>
            </w:tcBorders>
            <w:vAlign w:val="center"/>
          </w:tcPr>
          <w:p w14:paraId="1DBCC1A8">
            <w:pPr>
              <w:pStyle w:val="27"/>
              <w:snapToGrid w:val="0"/>
              <w:spacing w:line="240" w:lineRule="auto"/>
              <w:ind w:left="0" w:leftChars="0" w:right="0" w:rightChars="0" w:firstLine="0" w:firstLineChars="0"/>
              <w:jc w:val="left"/>
            </w:pPr>
            <w:r>
              <w:rPr>
                <w:b/>
                <w:bCs/>
              </w:rPr>
              <w:t>内感受与情绪调节相关性</w:t>
            </w:r>
          </w:p>
        </w:tc>
        <w:tc>
          <w:tcPr>
            <w:tcW w:w="2216" w:type="dxa"/>
            <w:tcBorders>
              <w:top w:val="nil"/>
              <w:left w:val="nil"/>
              <w:bottom w:val="nil"/>
              <w:right w:val="nil"/>
            </w:tcBorders>
            <w:vAlign w:val="center"/>
          </w:tcPr>
          <w:p w14:paraId="68BF9B3E">
            <w:pPr>
              <w:pStyle w:val="27"/>
              <w:snapToGrid w:val="0"/>
              <w:spacing w:line="240" w:lineRule="auto"/>
              <w:ind w:left="0" w:leftChars="0" w:right="0" w:rightChars="0" w:firstLine="0" w:firstLineChars="0"/>
              <w:jc w:val="left"/>
            </w:pPr>
            <w:r>
              <w:t>Mehling et al. (2013); Gu et al. (2013)</w:t>
            </w:r>
          </w:p>
        </w:tc>
        <w:tc>
          <w:tcPr>
            <w:tcW w:w="1366" w:type="dxa"/>
            <w:tcBorders>
              <w:top w:val="nil"/>
              <w:left w:val="nil"/>
              <w:bottom w:val="nil"/>
              <w:right w:val="nil"/>
            </w:tcBorders>
            <w:vAlign w:val="center"/>
          </w:tcPr>
          <w:p w14:paraId="132876BB">
            <w:pPr>
              <w:pStyle w:val="27"/>
              <w:snapToGrid w:val="0"/>
              <w:spacing w:line="240" w:lineRule="auto"/>
              <w:ind w:left="0" w:leftChars="0" w:right="0" w:rightChars="0" w:firstLine="0" w:firstLineChars="0"/>
              <w:jc w:val="left"/>
            </w:pPr>
            <w:r>
              <w:rPr>
                <w:b/>
                <w:bCs/>
              </w:rPr>
              <w:t>已验证</w:t>
            </w:r>
          </w:p>
        </w:tc>
        <w:tc>
          <w:tcPr>
            <w:tcW w:w="3216" w:type="dxa"/>
            <w:tcBorders>
              <w:top w:val="nil"/>
              <w:left w:val="nil"/>
              <w:bottom w:val="nil"/>
              <w:right w:val="nil"/>
            </w:tcBorders>
            <w:vAlign w:val="center"/>
          </w:tcPr>
          <w:p w14:paraId="7919AB34">
            <w:pPr>
              <w:pStyle w:val="27"/>
              <w:snapToGrid w:val="0"/>
              <w:spacing w:line="240" w:lineRule="auto"/>
              <w:ind w:left="0" w:leftChars="0" w:right="0" w:rightChars="0" w:firstLine="0" w:firstLineChars="0"/>
              <w:jc w:val="left"/>
            </w:pPr>
            <w:r>
              <w:t>内感受准确性（IAc）与情绪调节能力、直觉判断准确性呈正相关</w:t>
            </w:r>
          </w:p>
        </w:tc>
      </w:tr>
      <w:tr w14:paraId="6AB88748">
        <w:tblPrEx>
          <w:tblCellMar>
            <w:top w:w="0" w:type="dxa"/>
            <w:left w:w="108" w:type="dxa"/>
            <w:bottom w:w="0" w:type="dxa"/>
            <w:right w:w="108" w:type="dxa"/>
          </w:tblCellMar>
        </w:tblPrEx>
        <w:trPr>
          <w:trHeight w:val="0" w:hRule="atLeast"/>
          <w:jc w:val="center"/>
        </w:trPr>
        <w:tc>
          <w:tcPr>
            <w:tcW w:w="2161" w:type="dxa"/>
            <w:tcBorders>
              <w:top w:val="nil"/>
              <w:left w:val="nil"/>
              <w:bottom w:val="single" w:color="auto" w:sz="12" w:space="0"/>
              <w:right w:val="nil"/>
            </w:tcBorders>
            <w:vAlign w:val="center"/>
          </w:tcPr>
          <w:p w14:paraId="1A7520E8">
            <w:pPr>
              <w:pStyle w:val="27"/>
              <w:snapToGrid w:val="0"/>
              <w:spacing w:line="240" w:lineRule="auto"/>
              <w:ind w:left="0" w:leftChars="0" w:right="0" w:rightChars="0" w:firstLine="0" w:firstLineChars="0"/>
              <w:jc w:val="left"/>
            </w:pPr>
            <w:r>
              <w:rPr>
                <w:b/>
                <w:bCs/>
              </w:rPr>
              <w:t>预测性加工理论</w:t>
            </w:r>
          </w:p>
        </w:tc>
        <w:tc>
          <w:tcPr>
            <w:tcW w:w="2216" w:type="dxa"/>
            <w:tcBorders>
              <w:top w:val="nil"/>
              <w:left w:val="nil"/>
              <w:bottom w:val="single" w:color="auto" w:sz="12" w:space="0"/>
              <w:right w:val="nil"/>
            </w:tcBorders>
            <w:vAlign w:val="center"/>
          </w:tcPr>
          <w:p w14:paraId="38E771A4">
            <w:pPr>
              <w:pStyle w:val="27"/>
              <w:snapToGrid w:val="0"/>
              <w:spacing w:line="240" w:lineRule="auto"/>
              <w:ind w:left="0" w:leftChars="0" w:right="0" w:rightChars="0" w:firstLine="0" w:firstLineChars="0"/>
              <w:jc w:val="left"/>
            </w:pPr>
            <w:r>
              <w:t>Friston (2010); Sprevak &amp; Smith (2023)</w:t>
            </w:r>
          </w:p>
        </w:tc>
        <w:tc>
          <w:tcPr>
            <w:tcW w:w="1366" w:type="dxa"/>
            <w:tcBorders>
              <w:top w:val="nil"/>
              <w:left w:val="nil"/>
              <w:bottom w:val="single" w:color="auto" w:sz="12" w:space="0"/>
              <w:right w:val="nil"/>
            </w:tcBorders>
            <w:vAlign w:val="center"/>
          </w:tcPr>
          <w:p w14:paraId="7ABF5CF7">
            <w:pPr>
              <w:pStyle w:val="27"/>
              <w:snapToGrid w:val="0"/>
              <w:spacing w:line="240" w:lineRule="auto"/>
              <w:ind w:left="0" w:leftChars="0" w:right="0" w:rightChars="0" w:firstLine="0" w:firstLineChars="0"/>
              <w:jc w:val="left"/>
            </w:pPr>
            <w:r>
              <w:rPr>
                <w:b/>
                <w:bCs/>
              </w:rPr>
              <w:t>已验证</w:t>
            </w:r>
          </w:p>
        </w:tc>
        <w:tc>
          <w:tcPr>
            <w:tcW w:w="3216" w:type="dxa"/>
            <w:tcBorders>
              <w:top w:val="nil"/>
              <w:left w:val="nil"/>
              <w:bottom w:val="single" w:color="auto" w:sz="12" w:space="0"/>
              <w:right w:val="nil"/>
            </w:tcBorders>
            <w:vAlign w:val="center"/>
          </w:tcPr>
          <w:p w14:paraId="6D340E64">
            <w:pPr>
              <w:pStyle w:val="27"/>
              <w:snapToGrid w:val="0"/>
              <w:spacing w:line="240" w:lineRule="auto"/>
              <w:ind w:left="0" w:leftChars="0" w:right="0" w:rightChars="0" w:firstLine="0" w:firstLineChars="0"/>
              <w:jc w:val="left"/>
            </w:pPr>
            <w:r>
              <w:t>大脑作为预测机器，通过最小化预测误差实现感知与决策</w:t>
            </w:r>
          </w:p>
        </w:tc>
      </w:tr>
      <w:bookmarkEnd w:id="3"/>
    </w:tbl>
    <w:p w14:paraId="2F6CAAF4">
      <w:pPr>
        <w:pStyle w:val="5"/>
      </w:pPr>
      <w:bookmarkStart w:id="4" w:name="Xb6bc09755b98402d7f2512c1d65db1309685d95"/>
      <w:r>
        <w:t>1.2 方法论假设与模拟性内容标注（Simulated/Constructed Elements）</w:t>
      </w:r>
    </w:p>
    <w:p w14:paraId="42385DD5">
      <w:pPr>
        <w:pStyle w:val="26"/>
      </w:pPr>
      <w:r>
        <w:t>以下内容为基于理论推断的训练设计参数，</w:t>
      </w:r>
      <w:r>
        <w:rPr>
          <w:b/>
          <w:bCs/>
        </w:rPr>
        <w:t>尚无直接实证研究验证</w:t>
      </w:r>
      <w:r>
        <w:t>，属”待验证方法论假设”（Methodological Hypotheses Pending Verification）：</w:t>
      </w:r>
    </w:p>
    <w:tbl>
      <w:tblPr>
        <w:tblStyle w:val="44"/>
        <w:tblW w:w="7918" w:type="dxa"/>
        <w:jc w:val="center"/>
        <w:tblLayout w:type="autofit"/>
        <w:tblCellMar>
          <w:top w:w="0" w:type="dxa"/>
          <w:left w:w="108" w:type="dxa"/>
          <w:bottom w:w="0" w:type="dxa"/>
          <w:right w:w="108" w:type="dxa"/>
        </w:tblCellMar>
      </w:tblPr>
      <w:tblGrid>
        <w:gridCol w:w="2336"/>
        <w:gridCol w:w="1808"/>
        <w:gridCol w:w="3774"/>
      </w:tblGrid>
      <w:tr w14:paraId="0D3906EF">
        <w:tblPrEx>
          <w:tblCellMar>
            <w:top w:w="0" w:type="dxa"/>
            <w:left w:w="108" w:type="dxa"/>
            <w:bottom w:w="0" w:type="dxa"/>
            <w:right w:w="108" w:type="dxa"/>
          </w:tblCellMar>
        </w:tblPrEx>
        <w:trPr>
          <w:trHeight w:val="0" w:hRule="atLeast"/>
          <w:tblHeader/>
          <w:jc w:val="center"/>
        </w:trPr>
        <w:tc>
          <w:tcPr>
            <w:tcW w:w="2336" w:type="dxa"/>
            <w:tcBorders>
              <w:top w:val="single" w:color="auto" w:sz="12" w:space="0"/>
              <w:left w:val="nil"/>
              <w:bottom w:val="single" w:color="auto" w:sz="4" w:space="0"/>
              <w:right w:val="nil"/>
            </w:tcBorders>
            <w:vAlign w:val="center"/>
          </w:tcPr>
          <w:p w14:paraId="4DF78600">
            <w:pPr>
              <w:pStyle w:val="27"/>
              <w:snapToGrid w:val="0"/>
              <w:spacing w:line="240" w:lineRule="auto"/>
              <w:ind w:left="0" w:leftChars="0" w:right="0" w:rightChars="0" w:firstLine="0" w:firstLineChars="0"/>
              <w:jc w:val="center"/>
              <w:rPr>
                <w:b/>
              </w:rPr>
            </w:pPr>
            <w:r>
              <w:rPr>
                <w:b/>
              </w:rPr>
              <w:t>体系内参数/标准</w:t>
            </w:r>
          </w:p>
        </w:tc>
        <w:tc>
          <w:tcPr>
            <w:tcW w:w="1808" w:type="dxa"/>
            <w:tcBorders>
              <w:top w:val="single" w:color="auto" w:sz="12" w:space="0"/>
              <w:left w:val="nil"/>
              <w:bottom w:val="single" w:color="auto" w:sz="4" w:space="0"/>
              <w:right w:val="nil"/>
            </w:tcBorders>
            <w:vAlign w:val="center"/>
          </w:tcPr>
          <w:p w14:paraId="143CAC9D">
            <w:pPr>
              <w:pStyle w:val="27"/>
              <w:snapToGrid w:val="0"/>
              <w:spacing w:line="240" w:lineRule="auto"/>
              <w:ind w:left="0" w:leftChars="0" w:right="0" w:rightChars="0" w:firstLine="0" w:firstLineChars="0"/>
              <w:jc w:val="center"/>
              <w:rPr>
                <w:b/>
              </w:rPr>
            </w:pPr>
            <w:r>
              <w:rPr>
                <w:b/>
              </w:rPr>
              <w:t>处理方式</w:t>
            </w:r>
          </w:p>
        </w:tc>
        <w:tc>
          <w:tcPr>
            <w:tcW w:w="3774" w:type="dxa"/>
            <w:tcBorders>
              <w:top w:val="single" w:color="auto" w:sz="12" w:space="0"/>
              <w:left w:val="nil"/>
              <w:bottom w:val="single" w:color="auto" w:sz="4" w:space="0"/>
              <w:right w:val="nil"/>
            </w:tcBorders>
            <w:vAlign w:val="center"/>
          </w:tcPr>
          <w:p w14:paraId="5AD21EB8">
            <w:pPr>
              <w:pStyle w:val="27"/>
              <w:snapToGrid w:val="0"/>
              <w:spacing w:line="240" w:lineRule="auto"/>
              <w:ind w:left="0" w:leftChars="0" w:right="0" w:rightChars="0" w:firstLine="0" w:firstLineChars="0"/>
              <w:jc w:val="center"/>
              <w:rPr>
                <w:b/>
              </w:rPr>
            </w:pPr>
            <w:r>
              <w:rPr>
                <w:b/>
              </w:rPr>
              <w:t>说明</w:t>
            </w:r>
          </w:p>
        </w:tc>
      </w:tr>
      <w:tr w14:paraId="0989BBE9">
        <w:tblPrEx>
          <w:tblCellMar>
            <w:top w:w="0" w:type="dxa"/>
            <w:left w:w="108" w:type="dxa"/>
            <w:bottom w:w="0" w:type="dxa"/>
            <w:right w:w="108" w:type="dxa"/>
          </w:tblCellMar>
        </w:tblPrEx>
        <w:trPr>
          <w:trHeight w:val="0" w:hRule="atLeast"/>
          <w:jc w:val="center"/>
        </w:trPr>
        <w:tc>
          <w:tcPr>
            <w:tcW w:w="2336" w:type="dxa"/>
            <w:tcBorders>
              <w:top w:val="single" w:color="auto" w:sz="4" w:space="0"/>
              <w:left w:val="nil"/>
              <w:bottom w:val="nil"/>
              <w:right w:val="nil"/>
            </w:tcBorders>
            <w:vAlign w:val="center"/>
          </w:tcPr>
          <w:p w14:paraId="2A5A0CA5">
            <w:pPr>
              <w:pStyle w:val="27"/>
              <w:snapToGrid w:val="0"/>
              <w:spacing w:line="240" w:lineRule="auto"/>
              <w:ind w:left="0" w:leftChars="0" w:right="0" w:rightChars="0" w:firstLine="0" w:firstLineChars="0"/>
              <w:jc w:val="left"/>
            </w:pPr>
            <w:r>
              <w:rPr>
                <w:b/>
                <w:bCs/>
              </w:rPr>
              <w:t>评估阈值</w:t>
            </w:r>
            <w:r>
              <w:t>：“直觉准确率≥70%”、“信噪比优化≥60%”</w:t>
            </w:r>
          </w:p>
        </w:tc>
        <w:tc>
          <w:tcPr>
            <w:tcW w:w="1808" w:type="dxa"/>
            <w:tcBorders>
              <w:top w:val="single" w:color="auto" w:sz="4" w:space="0"/>
              <w:left w:val="nil"/>
              <w:bottom w:val="nil"/>
              <w:right w:val="nil"/>
            </w:tcBorders>
            <w:vAlign w:val="center"/>
          </w:tcPr>
          <w:p w14:paraId="1B648C94">
            <w:pPr>
              <w:pStyle w:val="27"/>
              <w:snapToGrid w:val="0"/>
              <w:spacing w:line="240" w:lineRule="auto"/>
              <w:ind w:left="0" w:leftChars="0" w:right="0" w:rightChars="0" w:firstLine="0" w:firstLineChars="0"/>
              <w:jc w:val="left"/>
            </w:pPr>
            <w:r>
              <w:rPr>
                <w:b/>
                <w:bCs/>
              </w:rPr>
              <w:t>模拟值</w:t>
            </w:r>
          </w:p>
        </w:tc>
        <w:tc>
          <w:tcPr>
            <w:tcW w:w="3774" w:type="dxa"/>
            <w:tcBorders>
              <w:top w:val="single" w:color="auto" w:sz="4" w:space="0"/>
              <w:left w:val="nil"/>
              <w:bottom w:val="nil"/>
              <w:right w:val="nil"/>
            </w:tcBorders>
            <w:vAlign w:val="center"/>
          </w:tcPr>
          <w:p w14:paraId="53FAAD1F">
            <w:pPr>
              <w:pStyle w:val="27"/>
              <w:snapToGrid w:val="0"/>
              <w:spacing w:line="240" w:lineRule="auto"/>
              <w:ind w:left="0" w:leftChars="0" w:right="0" w:rightChars="0" w:firstLine="0" w:firstLineChars="0"/>
              <w:jc w:val="left"/>
            </w:pPr>
            <w:r>
              <w:t>基于心理测量学常模的假设性阈值，实际应用中需建立个人基线（Personal Baseline）</w:t>
            </w:r>
          </w:p>
        </w:tc>
      </w:tr>
      <w:tr w14:paraId="60C28433">
        <w:tblPrEx>
          <w:tblCellMar>
            <w:top w:w="0" w:type="dxa"/>
            <w:left w:w="108" w:type="dxa"/>
            <w:bottom w:w="0" w:type="dxa"/>
            <w:right w:w="108" w:type="dxa"/>
          </w:tblCellMar>
        </w:tblPrEx>
        <w:trPr>
          <w:trHeight w:val="0" w:hRule="atLeast"/>
          <w:jc w:val="center"/>
        </w:trPr>
        <w:tc>
          <w:tcPr>
            <w:tcW w:w="2336" w:type="dxa"/>
            <w:tcBorders>
              <w:top w:val="nil"/>
              <w:left w:val="nil"/>
              <w:bottom w:val="nil"/>
              <w:right w:val="nil"/>
            </w:tcBorders>
            <w:vAlign w:val="center"/>
          </w:tcPr>
          <w:p w14:paraId="07FF2DD3">
            <w:pPr>
              <w:pStyle w:val="27"/>
              <w:snapToGrid w:val="0"/>
              <w:spacing w:line="240" w:lineRule="auto"/>
              <w:ind w:left="0" w:leftChars="0" w:right="0" w:rightChars="0" w:firstLine="0" w:firstLineChars="0"/>
              <w:jc w:val="left"/>
            </w:pPr>
            <w:r>
              <w:rPr>
                <w:b/>
                <w:bCs/>
              </w:rPr>
              <w:t>时间框架</w:t>
            </w:r>
            <w:r>
              <w:t>：“6个月基础觉察力建立”、“24个月整合力稳定”</w:t>
            </w:r>
          </w:p>
        </w:tc>
        <w:tc>
          <w:tcPr>
            <w:tcW w:w="1808" w:type="dxa"/>
            <w:tcBorders>
              <w:top w:val="nil"/>
              <w:left w:val="nil"/>
              <w:bottom w:val="nil"/>
              <w:right w:val="nil"/>
            </w:tcBorders>
            <w:vAlign w:val="center"/>
          </w:tcPr>
          <w:p w14:paraId="18A1976C">
            <w:pPr>
              <w:pStyle w:val="27"/>
              <w:snapToGrid w:val="0"/>
              <w:spacing w:line="240" w:lineRule="auto"/>
              <w:ind w:left="0" w:leftChars="0" w:right="0" w:rightChars="0" w:firstLine="0" w:firstLineChars="0"/>
              <w:jc w:val="left"/>
            </w:pPr>
            <w:r>
              <w:rPr>
                <w:b/>
                <w:bCs/>
              </w:rPr>
              <w:t>学习曲线估算</w:t>
            </w:r>
          </w:p>
        </w:tc>
        <w:tc>
          <w:tcPr>
            <w:tcW w:w="3774" w:type="dxa"/>
            <w:tcBorders>
              <w:top w:val="nil"/>
              <w:left w:val="nil"/>
              <w:bottom w:val="nil"/>
              <w:right w:val="nil"/>
            </w:tcBorders>
            <w:vAlign w:val="center"/>
          </w:tcPr>
          <w:p w14:paraId="548C9B54">
            <w:pPr>
              <w:pStyle w:val="27"/>
              <w:snapToGrid w:val="0"/>
              <w:spacing w:line="240" w:lineRule="auto"/>
              <w:ind w:left="0" w:leftChars="0" w:right="0" w:rightChars="0" w:firstLine="0" w:firstLineChars="0"/>
              <w:jc w:val="left"/>
            </w:pPr>
            <w:r>
              <w:t>基于Ericsson刻意练习理论的线性外推，实际进度受个体差异、情境复杂度影响</w:t>
            </w:r>
          </w:p>
        </w:tc>
      </w:tr>
      <w:tr w14:paraId="5523783E">
        <w:tblPrEx>
          <w:tblCellMar>
            <w:top w:w="0" w:type="dxa"/>
            <w:left w:w="108" w:type="dxa"/>
            <w:bottom w:w="0" w:type="dxa"/>
            <w:right w:w="108" w:type="dxa"/>
          </w:tblCellMar>
        </w:tblPrEx>
        <w:trPr>
          <w:trHeight w:val="0" w:hRule="atLeast"/>
          <w:jc w:val="center"/>
        </w:trPr>
        <w:tc>
          <w:tcPr>
            <w:tcW w:w="2336" w:type="dxa"/>
            <w:tcBorders>
              <w:top w:val="nil"/>
              <w:left w:val="nil"/>
              <w:bottom w:val="nil"/>
              <w:right w:val="nil"/>
            </w:tcBorders>
            <w:vAlign w:val="center"/>
          </w:tcPr>
          <w:p w14:paraId="189E5C17">
            <w:pPr>
              <w:pStyle w:val="27"/>
              <w:snapToGrid w:val="0"/>
              <w:spacing w:line="240" w:lineRule="auto"/>
              <w:ind w:left="0" w:leftChars="0" w:right="0" w:rightChars="0" w:firstLine="0" w:firstLineChars="0"/>
              <w:jc w:val="left"/>
            </w:pPr>
            <w:r>
              <w:rPr>
                <w:b/>
                <w:bCs/>
              </w:rPr>
              <w:t>五路图腾校准（B-E-M-V-E）</w:t>
            </w:r>
          </w:p>
        </w:tc>
        <w:tc>
          <w:tcPr>
            <w:tcW w:w="1808" w:type="dxa"/>
            <w:tcBorders>
              <w:top w:val="nil"/>
              <w:left w:val="nil"/>
              <w:bottom w:val="nil"/>
              <w:right w:val="nil"/>
            </w:tcBorders>
            <w:vAlign w:val="center"/>
          </w:tcPr>
          <w:p w14:paraId="45292E06">
            <w:pPr>
              <w:pStyle w:val="27"/>
              <w:snapToGrid w:val="0"/>
              <w:spacing w:line="240" w:lineRule="auto"/>
              <w:ind w:left="0" w:leftChars="0" w:right="0" w:rightChars="0" w:firstLine="0" w:firstLineChars="0"/>
              <w:jc w:val="left"/>
            </w:pPr>
            <w:r>
              <w:rPr>
                <w:b/>
                <w:bCs/>
              </w:rPr>
              <w:t>整合框架</w:t>
            </w:r>
          </w:p>
        </w:tc>
        <w:tc>
          <w:tcPr>
            <w:tcW w:w="3774" w:type="dxa"/>
            <w:tcBorders>
              <w:top w:val="nil"/>
              <w:left w:val="nil"/>
              <w:bottom w:val="nil"/>
              <w:right w:val="nil"/>
            </w:tcBorders>
            <w:vAlign w:val="center"/>
          </w:tcPr>
          <w:p w14:paraId="753886F0">
            <w:pPr>
              <w:pStyle w:val="27"/>
              <w:snapToGrid w:val="0"/>
              <w:spacing w:line="240" w:lineRule="auto"/>
              <w:ind w:left="0" w:leftChars="0" w:right="0" w:rightChars="0" w:firstLine="0" w:firstLineChars="0"/>
              <w:jc w:val="left"/>
            </w:pPr>
            <w:r>
              <w:t>原创性整合框架，融合具身认知（Body）、情绪理论（Emotion）、认知评估（Mind）、价值对齐（Values）与动机能量（Energy），非单一理论直接推导</w:t>
            </w:r>
          </w:p>
        </w:tc>
      </w:tr>
      <w:tr w14:paraId="2A3786BC">
        <w:tblPrEx>
          <w:tblCellMar>
            <w:top w:w="0" w:type="dxa"/>
            <w:left w:w="108" w:type="dxa"/>
            <w:bottom w:w="0" w:type="dxa"/>
            <w:right w:w="108" w:type="dxa"/>
          </w:tblCellMar>
        </w:tblPrEx>
        <w:trPr>
          <w:trHeight w:val="0" w:hRule="atLeast"/>
          <w:jc w:val="center"/>
        </w:trPr>
        <w:tc>
          <w:tcPr>
            <w:tcW w:w="2336" w:type="dxa"/>
            <w:tcBorders>
              <w:top w:val="nil"/>
              <w:left w:val="nil"/>
              <w:bottom w:val="nil"/>
              <w:right w:val="nil"/>
            </w:tcBorders>
            <w:vAlign w:val="center"/>
          </w:tcPr>
          <w:p w14:paraId="677CAC3F">
            <w:pPr>
              <w:pStyle w:val="27"/>
              <w:snapToGrid w:val="0"/>
              <w:spacing w:line="240" w:lineRule="auto"/>
              <w:ind w:left="0" w:leftChars="0" w:right="0" w:rightChars="0" w:firstLine="0" w:firstLineChars="0"/>
              <w:jc w:val="left"/>
            </w:pPr>
            <w:r>
              <w:rPr>
                <w:b/>
                <w:bCs/>
              </w:rPr>
              <w:t>合伙人选择四阶段信号清单</w:t>
            </w:r>
          </w:p>
        </w:tc>
        <w:tc>
          <w:tcPr>
            <w:tcW w:w="1808" w:type="dxa"/>
            <w:tcBorders>
              <w:top w:val="nil"/>
              <w:left w:val="nil"/>
              <w:bottom w:val="nil"/>
              <w:right w:val="nil"/>
            </w:tcBorders>
            <w:vAlign w:val="center"/>
          </w:tcPr>
          <w:p w14:paraId="1883FECC">
            <w:pPr>
              <w:pStyle w:val="27"/>
              <w:snapToGrid w:val="0"/>
              <w:spacing w:line="240" w:lineRule="auto"/>
              <w:ind w:left="0" w:leftChars="0" w:right="0" w:rightChars="0" w:firstLine="0" w:firstLineChars="0"/>
              <w:jc w:val="left"/>
            </w:pPr>
            <w:r>
              <w:rPr>
                <w:b/>
                <w:bCs/>
              </w:rPr>
              <w:t>实务建构</w:t>
            </w:r>
          </w:p>
        </w:tc>
        <w:tc>
          <w:tcPr>
            <w:tcW w:w="3774" w:type="dxa"/>
            <w:tcBorders>
              <w:top w:val="nil"/>
              <w:left w:val="nil"/>
              <w:bottom w:val="nil"/>
              <w:right w:val="nil"/>
            </w:tcBorders>
            <w:vAlign w:val="center"/>
          </w:tcPr>
          <w:p w14:paraId="2C5E1FDF">
            <w:pPr>
              <w:pStyle w:val="27"/>
              <w:snapToGrid w:val="0"/>
              <w:spacing w:line="240" w:lineRule="auto"/>
              <w:ind w:left="0" w:leftChars="0" w:right="0" w:rightChars="0" w:firstLine="0" w:firstLineChars="0"/>
              <w:jc w:val="left"/>
            </w:pPr>
            <w:r>
              <w:t>基于商业案例的归纳框架，非实验心理学控制的变量清单</w:t>
            </w:r>
          </w:p>
        </w:tc>
      </w:tr>
      <w:tr w14:paraId="7E5B649E">
        <w:tblPrEx>
          <w:tblCellMar>
            <w:top w:w="0" w:type="dxa"/>
            <w:left w:w="108" w:type="dxa"/>
            <w:bottom w:w="0" w:type="dxa"/>
            <w:right w:w="108" w:type="dxa"/>
          </w:tblCellMar>
        </w:tblPrEx>
        <w:trPr>
          <w:trHeight w:val="0" w:hRule="atLeast"/>
          <w:jc w:val="center"/>
        </w:trPr>
        <w:tc>
          <w:tcPr>
            <w:tcW w:w="2336" w:type="dxa"/>
            <w:tcBorders>
              <w:top w:val="nil"/>
              <w:left w:val="nil"/>
              <w:bottom w:val="single" w:color="auto" w:sz="12" w:space="0"/>
              <w:right w:val="nil"/>
            </w:tcBorders>
            <w:vAlign w:val="center"/>
          </w:tcPr>
          <w:p w14:paraId="2D0BD6DE">
            <w:pPr>
              <w:pStyle w:val="27"/>
              <w:snapToGrid w:val="0"/>
              <w:spacing w:line="240" w:lineRule="auto"/>
              <w:ind w:left="0" w:leftChars="0" w:right="0" w:rightChars="0" w:firstLine="0" w:firstLineChars="0"/>
              <w:jc w:val="left"/>
            </w:pPr>
            <w:r>
              <w:rPr>
                <w:b/>
                <w:bCs/>
              </w:rPr>
              <w:t>“决策前3秒内识别信号”</w:t>
            </w:r>
          </w:p>
        </w:tc>
        <w:tc>
          <w:tcPr>
            <w:tcW w:w="1808" w:type="dxa"/>
            <w:tcBorders>
              <w:top w:val="nil"/>
              <w:left w:val="nil"/>
              <w:bottom w:val="single" w:color="auto" w:sz="12" w:space="0"/>
              <w:right w:val="nil"/>
            </w:tcBorders>
            <w:vAlign w:val="center"/>
          </w:tcPr>
          <w:p w14:paraId="00010774">
            <w:pPr>
              <w:pStyle w:val="27"/>
              <w:snapToGrid w:val="0"/>
              <w:spacing w:line="240" w:lineRule="auto"/>
              <w:ind w:left="0" w:leftChars="0" w:right="0" w:rightChars="0" w:firstLine="0" w:firstLineChars="0"/>
              <w:jc w:val="left"/>
            </w:pPr>
            <w:r>
              <w:rPr>
                <w:b/>
                <w:bCs/>
              </w:rPr>
              <w:t>理论外推</w:t>
            </w:r>
          </w:p>
        </w:tc>
        <w:tc>
          <w:tcPr>
            <w:tcW w:w="3774" w:type="dxa"/>
            <w:tcBorders>
              <w:top w:val="nil"/>
              <w:left w:val="nil"/>
              <w:bottom w:val="single" w:color="auto" w:sz="12" w:space="0"/>
              <w:right w:val="nil"/>
            </w:tcBorders>
            <w:vAlign w:val="center"/>
          </w:tcPr>
          <w:p w14:paraId="6F63B351">
            <w:pPr>
              <w:pStyle w:val="27"/>
              <w:snapToGrid w:val="0"/>
              <w:spacing w:line="240" w:lineRule="auto"/>
              <w:ind w:left="0" w:leftChars="0" w:right="0" w:rightChars="0" w:firstLine="0" w:firstLineChars="0"/>
              <w:jc w:val="left"/>
            </w:pPr>
            <w:r>
              <w:t>基于DMN快速加工（&lt;500ms）与意识接入延迟（~3000ms）的神经科学发现，但”3秒”为实务取舍值</w:t>
            </w:r>
          </w:p>
        </w:tc>
      </w:tr>
    </w:tbl>
    <w:p w14:paraId="18B8361D">
      <w:r>
        <w:pict>
          <v:rect id="_x0000_i1029" o:spt="1" style="height:1.5pt;width:0pt;" coordsize="21600,21600" o:hr="t" o:hrstd="t" o:hralign="center">
            <v:path/>
            <v:fill focussize="0,0"/>
            <v:stroke/>
            <v:imagedata o:title=""/>
            <o:lock v:ext="edit"/>
            <w10:wrap type="none"/>
            <w10:anchorlock/>
          </v:rect>
        </w:pict>
      </w:r>
    </w:p>
    <w:bookmarkEnd w:id="2"/>
    <w:bookmarkEnd w:id="4"/>
    <w:p w14:paraId="00B6A897">
      <w:pPr>
        <w:pStyle w:val="4"/>
      </w:pPr>
      <w:bookmarkStart w:id="5" w:name="理论基础重构theoretical-reconstruction"/>
      <w:r>
        <w:t>2. 理论基础重构（Theoretical Reconstruction）</w:t>
      </w:r>
    </w:p>
    <w:p w14:paraId="71FDDF9A">
      <w:pPr>
        <w:pStyle w:val="5"/>
      </w:pPr>
      <w:bookmarkStart w:id="6" w:name="感知力的本体论界定超越躯体信号依赖"/>
      <w:r>
        <w:t>2.1 感知力的本体论界定：超越”躯体信号依赖”</w:t>
      </w:r>
    </w:p>
    <w:p w14:paraId="0AC2C5C1">
      <w:pPr>
        <w:pStyle w:val="26"/>
      </w:pPr>
      <w:r>
        <w:t>原始概念将感知力（Perceptual Capacity）与观察力（Observation）的二分建立在信息方向（内向/外向）与可编码性（高/低）维度上。本体系进一步修正：</w:t>
      </w:r>
      <w:r>
        <w:rPr>
          <w:b/>
          <w:bCs/>
        </w:rPr>
        <w:t>躯体信号识别（如心率、皮电反应）本质上属于可测量的生理数据，对其的觉察应归类为”内感受观察技术”（Interoceptive Observation），而非感知力的核心</w:t>
      </w:r>
      <w:r>
        <w:t>。</w:t>
      </w:r>
    </w:p>
    <w:p w14:paraId="6A01569A">
      <w:pPr>
        <w:pStyle w:val="3"/>
      </w:pPr>
      <w:r>
        <w:rPr>
          <w:b/>
          <w:bCs/>
        </w:rPr>
        <w:t>理论修正依据</w:t>
      </w:r>
      <w:r>
        <w:t>：</w:t>
      </w:r>
      <w:r>
        <w:br w:type="textWrapping"/>
      </w:r>
      <w:r>
        <w:t>根据Gu et al. (2013)对前岛叶皮层（Anterior Insula）的研究，内感受（Interoception）确实构成直觉的生理基础——右前岛叶整合内脏信息生成”Sentient Feelings”（觉知感受）。然而，过度依赖单一躯体信号可能导致</w:t>
      </w:r>
      <w:r>
        <w:rPr>
          <w:b/>
          <w:bCs/>
        </w:rPr>
        <w:t>焦虑反应与直觉信号的躯体化混淆</w:t>
      </w:r>
      <w:r>
        <w:t>（Somatic Confusion）。因此，感知力应界定为</w:t>
      </w:r>
      <w:r>
        <w:rPr>
          <w:b/>
          <w:bCs/>
        </w:rPr>
        <w:t>对多维度信息（身体-情绪-认知-价值-能量）的整合性模式识别能力</w:t>
      </w:r>
      <w:r>
        <w:t>。</w:t>
      </w:r>
    </w:p>
    <w:p w14:paraId="5BBE004B">
      <w:pPr>
        <w:pStyle w:val="3"/>
      </w:pPr>
      <w:r>
        <w:rPr>
          <w:b/>
          <w:bCs/>
        </w:rPr>
        <w:t>修正后的感知力定义</w:t>
      </w:r>
      <w:r>
        <w:t>：</w:t>
      </w:r>
      <w:r>
        <w:br w:type="textWrapping"/>
      </w:r>
      <w:r>
        <w:t>感知力是决策者基于压缩经验（Compressed Experience）与内感受准确性，在意识层面尚未完成线性分析前，对情境整体适配性产生的快速模式识别能力；其神经基础涉及DMN的模式提取、岛叶-前额叶皮层的动态整合，以及边缘系统的价值评估。</w:t>
      </w:r>
    </w:p>
    <w:bookmarkEnd w:id="6"/>
    <w:p w14:paraId="15185AC5">
      <w:pPr>
        <w:pStyle w:val="5"/>
      </w:pPr>
      <w:bookmarkStart w:id="7" w:name="直觉的双系统再框架识别性-vs.-反射性"/>
      <w:r>
        <w:t>2.2 直觉的双系统再框架：识别性 vs. 反射性</w:t>
      </w:r>
    </w:p>
    <w:p w14:paraId="74EB5A10">
      <w:pPr>
        <w:pStyle w:val="26"/>
      </w:pPr>
      <w:r>
        <w:t>基于Kahneman的双系统理论，本体系采纳</w:t>
      </w:r>
      <w:r>
        <w:rPr>
          <w:b/>
          <w:bCs/>
        </w:rPr>
        <w:t>修正模型</w:t>
      </w:r>
      <w:r>
        <w:t>：</w:t>
      </w:r>
    </w:p>
    <w:p w14:paraId="72EAF5A6">
      <w:pPr>
        <w:pStyle w:val="27"/>
        <w:numPr>
          <w:ilvl w:val="0"/>
          <w:numId w:val="1"/>
        </w:numPr>
      </w:pPr>
      <w:r>
        <w:rPr>
          <w:b/>
          <w:bCs/>
        </w:rPr>
        <w:t>反射性直觉（Reflective Intuition）</w:t>
      </w:r>
      <w:r>
        <w:t>：基于启发式、伴随情绪唤起（焦虑/兴奋）与身体紧张，属系统1的偏差倾向表现</w:t>
      </w:r>
    </w:p>
    <w:p w14:paraId="48931C50">
      <w:pPr>
        <w:pStyle w:val="27"/>
        <w:numPr>
          <w:ilvl w:val="0"/>
          <w:numId w:val="1"/>
        </w:numPr>
      </w:pPr>
      <w:r>
        <w:rPr>
          <w:b/>
          <w:bCs/>
        </w:rPr>
        <w:t>识别性直觉（Recognition-based Intuition）</w:t>
      </w:r>
      <w:r>
        <w:t>：基于压缩经验的模式匹配，呈现”冷静的确信”（Calm Certainty），与专家技能（Expertise）相关</w:t>
      </w:r>
    </w:p>
    <w:p w14:paraId="22844341">
      <w:pPr>
        <w:pStyle w:val="26"/>
      </w:pPr>
      <w:r>
        <w:rPr>
          <w:b/>
          <w:bCs/>
        </w:rPr>
        <w:t>关键区分标准</w:t>
      </w:r>
      <w:r>
        <w:t>（待实证验证的区分假设）：</w:t>
      </w:r>
    </w:p>
    <w:tbl>
      <w:tblPr>
        <w:tblStyle w:val="44"/>
        <w:tblW w:w="7918" w:type="dxa"/>
        <w:jc w:val="center"/>
        <w:tblLayout w:type="autofit"/>
        <w:tblCellMar>
          <w:top w:w="0" w:type="dxa"/>
          <w:left w:w="108" w:type="dxa"/>
          <w:bottom w:w="0" w:type="dxa"/>
          <w:right w:w="108" w:type="dxa"/>
        </w:tblCellMar>
      </w:tblPr>
      <w:tblGrid>
        <w:gridCol w:w="1312"/>
        <w:gridCol w:w="3349"/>
        <w:gridCol w:w="3257"/>
      </w:tblGrid>
      <w:tr w14:paraId="460FA9BC">
        <w:tblPrEx>
          <w:tblCellMar>
            <w:top w:w="0" w:type="dxa"/>
            <w:left w:w="108" w:type="dxa"/>
            <w:bottom w:w="0" w:type="dxa"/>
            <w:right w:w="108" w:type="dxa"/>
          </w:tblCellMar>
        </w:tblPrEx>
        <w:trPr>
          <w:trHeight w:val="0" w:hRule="atLeast"/>
          <w:tblHeader/>
          <w:jc w:val="center"/>
        </w:trPr>
        <w:tc>
          <w:tcPr>
            <w:tcW w:w="1312" w:type="dxa"/>
            <w:tcBorders>
              <w:top w:val="single" w:color="auto" w:sz="12" w:space="0"/>
              <w:left w:val="nil"/>
              <w:bottom w:val="single" w:color="auto" w:sz="4" w:space="0"/>
              <w:right w:val="nil"/>
            </w:tcBorders>
            <w:vAlign w:val="center"/>
          </w:tcPr>
          <w:p w14:paraId="345C58F2">
            <w:pPr>
              <w:pStyle w:val="27"/>
              <w:keepNext/>
              <w:snapToGrid w:val="0"/>
              <w:spacing w:line="240" w:lineRule="auto"/>
              <w:ind w:left="0" w:leftChars="0" w:right="0" w:rightChars="0" w:firstLine="0" w:firstLineChars="0"/>
              <w:jc w:val="center"/>
              <w:rPr>
                <w:b/>
              </w:rPr>
            </w:pPr>
            <w:r>
              <w:rPr>
                <w:b/>
              </w:rPr>
              <w:t>维度</w:t>
            </w:r>
          </w:p>
        </w:tc>
        <w:tc>
          <w:tcPr>
            <w:tcW w:w="3349" w:type="dxa"/>
            <w:tcBorders>
              <w:top w:val="single" w:color="auto" w:sz="12" w:space="0"/>
              <w:left w:val="nil"/>
              <w:bottom w:val="single" w:color="auto" w:sz="4" w:space="0"/>
              <w:right w:val="nil"/>
            </w:tcBorders>
            <w:vAlign w:val="center"/>
          </w:tcPr>
          <w:p w14:paraId="147384DB">
            <w:pPr>
              <w:pStyle w:val="27"/>
              <w:keepNext/>
              <w:snapToGrid w:val="0"/>
              <w:spacing w:line="240" w:lineRule="auto"/>
              <w:ind w:left="0" w:leftChars="0" w:right="0" w:rightChars="0" w:firstLine="0" w:firstLineChars="0"/>
              <w:jc w:val="center"/>
              <w:rPr>
                <w:b/>
              </w:rPr>
            </w:pPr>
            <w:r>
              <w:rPr>
                <w:b/>
              </w:rPr>
              <w:t>识别性直觉（真直觉）</w:t>
            </w:r>
          </w:p>
        </w:tc>
        <w:tc>
          <w:tcPr>
            <w:tcW w:w="3257" w:type="dxa"/>
            <w:tcBorders>
              <w:top w:val="single" w:color="auto" w:sz="12" w:space="0"/>
              <w:left w:val="nil"/>
              <w:bottom w:val="single" w:color="auto" w:sz="4" w:space="0"/>
              <w:right w:val="nil"/>
            </w:tcBorders>
            <w:vAlign w:val="center"/>
          </w:tcPr>
          <w:p w14:paraId="5F4F4312">
            <w:pPr>
              <w:pStyle w:val="27"/>
              <w:keepNext/>
              <w:snapToGrid w:val="0"/>
              <w:spacing w:line="240" w:lineRule="auto"/>
              <w:ind w:left="0" w:leftChars="0" w:right="0" w:rightChars="0" w:firstLine="0" w:firstLineChars="0"/>
              <w:jc w:val="center"/>
              <w:rPr>
                <w:b/>
              </w:rPr>
            </w:pPr>
            <w:r>
              <w:rPr>
                <w:b/>
              </w:rPr>
              <w:t>反射性直觉（假直觉/偏差）</w:t>
            </w:r>
          </w:p>
        </w:tc>
      </w:tr>
      <w:tr w14:paraId="1FB52757">
        <w:tblPrEx>
          <w:tblCellMar>
            <w:top w:w="0" w:type="dxa"/>
            <w:left w:w="108" w:type="dxa"/>
            <w:bottom w:w="0" w:type="dxa"/>
            <w:right w:w="108" w:type="dxa"/>
          </w:tblCellMar>
        </w:tblPrEx>
        <w:trPr>
          <w:trHeight w:val="0" w:hRule="atLeast"/>
          <w:jc w:val="center"/>
        </w:trPr>
        <w:tc>
          <w:tcPr>
            <w:tcW w:w="1312" w:type="dxa"/>
            <w:tcBorders>
              <w:top w:val="single" w:color="auto" w:sz="4" w:space="0"/>
              <w:left w:val="nil"/>
              <w:bottom w:val="nil"/>
              <w:right w:val="nil"/>
            </w:tcBorders>
            <w:vAlign w:val="center"/>
          </w:tcPr>
          <w:p w14:paraId="1C05E52F">
            <w:pPr>
              <w:pStyle w:val="27"/>
              <w:keepNext/>
              <w:snapToGrid w:val="0"/>
              <w:spacing w:line="240" w:lineRule="auto"/>
              <w:ind w:left="0" w:leftChars="0" w:right="0" w:rightChars="0" w:firstLine="0" w:firstLineChars="0"/>
              <w:jc w:val="center"/>
            </w:pPr>
            <w:r>
              <w:t>身体状态</w:t>
            </w:r>
          </w:p>
        </w:tc>
        <w:tc>
          <w:tcPr>
            <w:tcW w:w="3349" w:type="dxa"/>
            <w:tcBorders>
              <w:top w:val="single" w:color="auto" w:sz="4" w:space="0"/>
              <w:left w:val="nil"/>
              <w:bottom w:val="nil"/>
              <w:right w:val="nil"/>
            </w:tcBorders>
            <w:vAlign w:val="center"/>
          </w:tcPr>
          <w:p w14:paraId="365B1C72">
            <w:pPr>
              <w:pStyle w:val="27"/>
              <w:keepNext/>
              <w:snapToGrid w:val="0"/>
              <w:spacing w:line="240" w:lineRule="auto"/>
              <w:ind w:left="0" w:leftChars="0" w:right="0" w:rightChars="0" w:firstLine="0" w:firstLineChars="0"/>
              <w:jc w:val="left"/>
            </w:pPr>
            <w:r>
              <w:t>整体放松，肌肉张力适中</w:t>
            </w:r>
          </w:p>
        </w:tc>
        <w:tc>
          <w:tcPr>
            <w:tcW w:w="3257" w:type="dxa"/>
            <w:tcBorders>
              <w:top w:val="single" w:color="auto" w:sz="4" w:space="0"/>
              <w:left w:val="nil"/>
              <w:bottom w:val="nil"/>
              <w:right w:val="nil"/>
            </w:tcBorders>
            <w:vAlign w:val="center"/>
          </w:tcPr>
          <w:p w14:paraId="2B64592C">
            <w:pPr>
              <w:pStyle w:val="27"/>
              <w:keepNext/>
              <w:snapToGrid w:val="0"/>
              <w:spacing w:line="240" w:lineRule="auto"/>
              <w:ind w:left="0" w:leftChars="0" w:right="0" w:rightChars="0" w:firstLine="0" w:firstLineChars="0"/>
              <w:jc w:val="left"/>
            </w:pPr>
            <w:r>
              <w:t>局部紧张，呼吸急促</w:t>
            </w:r>
          </w:p>
        </w:tc>
      </w:tr>
      <w:tr w14:paraId="7AC2477D">
        <w:tblPrEx>
          <w:tblCellMar>
            <w:top w:w="0" w:type="dxa"/>
            <w:left w:w="108" w:type="dxa"/>
            <w:bottom w:w="0" w:type="dxa"/>
            <w:right w:w="108" w:type="dxa"/>
          </w:tblCellMar>
        </w:tblPrEx>
        <w:trPr>
          <w:trHeight w:val="0" w:hRule="atLeast"/>
          <w:jc w:val="center"/>
        </w:trPr>
        <w:tc>
          <w:tcPr>
            <w:tcW w:w="1312" w:type="dxa"/>
            <w:tcBorders>
              <w:top w:val="nil"/>
              <w:left w:val="nil"/>
              <w:bottom w:val="nil"/>
              <w:right w:val="nil"/>
            </w:tcBorders>
            <w:vAlign w:val="center"/>
          </w:tcPr>
          <w:p w14:paraId="41D61184">
            <w:pPr>
              <w:pStyle w:val="27"/>
              <w:keepNext/>
              <w:snapToGrid w:val="0"/>
              <w:spacing w:line="240" w:lineRule="auto"/>
              <w:ind w:left="0" w:leftChars="0" w:right="0" w:rightChars="0" w:firstLine="0" w:firstLineChars="0"/>
              <w:jc w:val="center"/>
            </w:pPr>
            <w:r>
              <w:t>神经标志</w:t>
            </w:r>
          </w:p>
        </w:tc>
        <w:tc>
          <w:tcPr>
            <w:tcW w:w="3349" w:type="dxa"/>
            <w:tcBorders>
              <w:top w:val="nil"/>
              <w:left w:val="nil"/>
              <w:bottom w:val="nil"/>
              <w:right w:val="nil"/>
            </w:tcBorders>
            <w:vAlign w:val="center"/>
          </w:tcPr>
          <w:p w14:paraId="645BA443">
            <w:pPr>
              <w:pStyle w:val="27"/>
              <w:keepNext/>
              <w:snapToGrid w:val="0"/>
              <w:spacing w:line="240" w:lineRule="auto"/>
              <w:ind w:left="0" w:leftChars="0" w:right="0" w:rightChars="0" w:firstLine="0" w:firstLineChars="0"/>
              <w:jc w:val="left"/>
            </w:pPr>
            <w:r>
              <w:t>岛叶-腹内侧前额叶（VMPFC）协调激活</w:t>
            </w:r>
          </w:p>
        </w:tc>
        <w:tc>
          <w:tcPr>
            <w:tcW w:w="3257" w:type="dxa"/>
            <w:tcBorders>
              <w:top w:val="nil"/>
              <w:left w:val="nil"/>
              <w:bottom w:val="nil"/>
              <w:right w:val="nil"/>
            </w:tcBorders>
            <w:vAlign w:val="center"/>
          </w:tcPr>
          <w:p w14:paraId="6B9829B1">
            <w:pPr>
              <w:pStyle w:val="27"/>
              <w:keepNext/>
              <w:snapToGrid w:val="0"/>
              <w:spacing w:line="240" w:lineRule="auto"/>
              <w:ind w:left="0" w:leftChars="0" w:right="0" w:rightChars="0" w:firstLine="0" w:firstLineChars="0"/>
              <w:jc w:val="left"/>
            </w:pPr>
            <w:r>
              <w:t>杏仁核过度激活，前额叶抑制不足</w:t>
            </w:r>
          </w:p>
        </w:tc>
      </w:tr>
      <w:tr w14:paraId="4AA22482">
        <w:tblPrEx>
          <w:tblCellMar>
            <w:top w:w="0" w:type="dxa"/>
            <w:left w:w="108" w:type="dxa"/>
            <w:bottom w:w="0" w:type="dxa"/>
            <w:right w:w="108" w:type="dxa"/>
          </w:tblCellMar>
        </w:tblPrEx>
        <w:trPr>
          <w:trHeight w:val="0" w:hRule="atLeast"/>
          <w:jc w:val="center"/>
        </w:trPr>
        <w:tc>
          <w:tcPr>
            <w:tcW w:w="1312" w:type="dxa"/>
            <w:tcBorders>
              <w:top w:val="nil"/>
              <w:left w:val="nil"/>
              <w:bottom w:val="nil"/>
              <w:right w:val="nil"/>
            </w:tcBorders>
            <w:vAlign w:val="center"/>
          </w:tcPr>
          <w:p w14:paraId="2BAE0E29">
            <w:pPr>
              <w:pStyle w:val="27"/>
              <w:keepNext/>
              <w:snapToGrid w:val="0"/>
              <w:spacing w:line="240" w:lineRule="auto"/>
              <w:ind w:left="0" w:leftChars="0" w:right="0" w:rightChars="0" w:firstLine="0" w:firstLineChars="0"/>
              <w:jc w:val="center"/>
            </w:pPr>
            <w:r>
              <w:t>时间特征</w:t>
            </w:r>
          </w:p>
        </w:tc>
        <w:tc>
          <w:tcPr>
            <w:tcW w:w="3349" w:type="dxa"/>
            <w:tcBorders>
              <w:top w:val="nil"/>
              <w:left w:val="nil"/>
              <w:bottom w:val="nil"/>
              <w:right w:val="nil"/>
            </w:tcBorders>
            <w:vAlign w:val="center"/>
          </w:tcPr>
          <w:p w14:paraId="1667952B">
            <w:pPr>
              <w:pStyle w:val="27"/>
              <w:keepNext/>
              <w:snapToGrid w:val="0"/>
              <w:spacing w:line="240" w:lineRule="auto"/>
              <w:ind w:left="0" w:leftChars="0" w:right="0" w:rightChars="0" w:firstLine="0" w:firstLineChars="0"/>
              <w:jc w:val="left"/>
            </w:pPr>
            <w:r>
              <w:t>信息充分但未完全分析时涌现</w:t>
            </w:r>
          </w:p>
        </w:tc>
        <w:tc>
          <w:tcPr>
            <w:tcW w:w="3257" w:type="dxa"/>
            <w:tcBorders>
              <w:top w:val="nil"/>
              <w:left w:val="nil"/>
              <w:bottom w:val="nil"/>
              <w:right w:val="nil"/>
            </w:tcBorders>
            <w:vAlign w:val="center"/>
          </w:tcPr>
          <w:p w14:paraId="4F4F0AF8">
            <w:pPr>
              <w:pStyle w:val="27"/>
              <w:keepNext/>
              <w:snapToGrid w:val="0"/>
              <w:spacing w:line="240" w:lineRule="auto"/>
              <w:ind w:left="0" w:leftChars="0" w:right="0" w:rightChars="0" w:firstLine="0" w:firstLineChars="0"/>
              <w:jc w:val="left"/>
            </w:pPr>
            <w:r>
              <w:t>压力下的仓促反应</w:t>
            </w:r>
          </w:p>
        </w:tc>
      </w:tr>
      <w:tr w14:paraId="23D30594">
        <w:tblPrEx>
          <w:tblCellMar>
            <w:top w:w="0" w:type="dxa"/>
            <w:left w:w="108" w:type="dxa"/>
            <w:bottom w:w="0" w:type="dxa"/>
            <w:right w:w="108" w:type="dxa"/>
          </w:tblCellMar>
        </w:tblPrEx>
        <w:trPr>
          <w:trHeight w:val="0" w:hRule="atLeast"/>
          <w:jc w:val="center"/>
        </w:trPr>
        <w:tc>
          <w:tcPr>
            <w:tcW w:w="1312" w:type="dxa"/>
            <w:tcBorders>
              <w:top w:val="nil"/>
              <w:left w:val="nil"/>
              <w:bottom w:val="single" w:color="auto" w:sz="12" w:space="0"/>
              <w:right w:val="nil"/>
            </w:tcBorders>
            <w:vAlign w:val="center"/>
          </w:tcPr>
          <w:p w14:paraId="6437A507">
            <w:pPr>
              <w:pStyle w:val="27"/>
              <w:keepNext/>
              <w:snapToGrid w:val="0"/>
              <w:spacing w:line="240" w:lineRule="auto"/>
              <w:ind w:left="0" w:leftChars="0" w:right="0" w:rightChars="0" w:firstLine="0" w:firstLineChars="0"/>
              <w:jc w:val="center"/>
            </w:pPr>
            <w:r>
              <w:t>验证历史</w:t>
            </w:r>
          </w:p>
        </w:tc>
        <w:tc>
          <w:tcPr>
            <w:tcW w:w="3349" w:type="dxa"/>
            <w:tcBorders>
              <w:top w:val="nil"/>
              <w:left w:val="nil"/>
              <w:bottom w:val="single" w:color="auto" w:sz="12" w:space="0"/>
              <w:right w:val="nil"/>
            </w:tcBorders>
            <w:vAlign w:val="center"/>
          </w:tcPr>
          <w:p w14:paraId="23ACB538">
            <w:pPr>
              <w:pStyle w:val="27"/>
              <w:keepNext/>
              <w:snapToGrid w:val="0"/>
              <w:spacing w:line="240" w:lineRule="auto"/>
              <w:ind w:left="0" w:leftChars="0" w:right="0" w:rightChars="0" w:firstLine="0" w:firstLineChars="0"/>
              <w:jc w:val="left"/>
            </w:pPr>
            <w:r>
              <w:t>特定情境类型中高准确率</w:t>
            </w:r>
          </w:p>
        </w:tc>
        <w:tc>
          <w:tcPr>
            <w:tcW w:w="3257" w:type="dxa"/>
            <w:tcBorders>
              <w:top w:val="nil"/>
              <w:left w:val="nil"/>
              <w:bottom w:val="single" w:color="auto" w:sz="12" w:space="0"/>
              <w:right w:val="nil"/>
            </w:tcBorders>
            <w:vAlign w:val="center"/>
          </w:tcPr>
          <w:p w14:paraId="6979F47B">
            <w:pPr>
              <w:pStyle w:val="27"/>
              <w:keepNext/>
              <w:snapToGrid w:val="0"/>
              <w:spacing w:line="240" w:lineRule="auto"/>
              <w:ind w:left="0" w:leftChars="0" w:right="0" w:rightChars="0" w:firstLine="0" w:firstLineChars="0"/>
              <w:jc w:val="left"/>
            </w:pPr>
            <w:r>
              <w:t>准确率不稳定或系统性偏差</w:t>
            </w:r>
          </w:p>
        </w:tc>
      </w:tr>
      <w:bookmarkEnd w:id="7"/>
    </w:tbl>
    <w:p w14:paraId="2087953A">
      <w:pPr>
        <w:pStyle w:val="5"/>
      </w:pPr>
      <w:bookmarkStart w:id="8" w:name="经验压缩与神经可塑性"/>
      <w:r>
        <w:t>2.3 经验压缩与神经可塑性</w:t>
      </w:r>
    </w:p>
    <w:p w14:paraId="16CF4AA5">
      <w:pPr>
        <w:pStyle w:val="26"/>
      </w:pPr>
      <w:r>
        <w:t>根据Ericsson的刻意练习理论，专家与新手的关键差异在于</w:t>
      </w:r>
      <w:r>
        <w:rPr>
          <w:b/>
          <w:bCs/>
        </w:rPr>
        <w:t>模式库（Pattern Library）的规模与组织方式</w:t>
      </w:r>
      <w:r>
        <w:t>。传统经验积累遵循”实例→实例”的线性路径，而感知力训练通过</w:t>
      </w:r>
      <w:r>
        <w:rPr>
          <w:b/>
          <w:bCs/>
        </w:rPr>
        <w:t>“实例→模式→实例”的压缩循环</w:t>
      </w:r>
      <w:r>
        <w:t>加速：</w:t>
      </w:r>
    </w:p>
    <w:p w14:paraId="1982C94C">
      <w:pPr>
        <w:pStyle w:val="27"/>
        <w:numPr>
          <w:ilvl w:val="0"/>
          <w:numId w:val="2"/>
        </w:numPr>
      </w:pPr>
      <w:r>
        <w:rPr>
          <w:b/>
          <w:bCs/>
        </w:rPr>
        <w:t>实例提取</w:t>
      </w:r>
      <w:r>
        <w:t>：通过案例学习法（Case-Based Learning）研究合伙人关系成败案例</w:t>
      </w:r>
    </w:p>
    <w:p w14:paraId="6D624807">
      <w:pPr>
        <w:pStyle w:val="27"/>
        <w:numPr>
          <w:ilvl w:val="0"/>
          <w:numId w:val="2"/>
        </w:numPr>
      </w:pPr>
      <w:r>
        <w:rPr>
          <w:b/>
          <w:bCs/>
        </w:rPr>
        <w:t>模式抽象</w:t>
      </w:r>
      <w:r>
        <w:t>：提取跨情境的”红旗/绿灯清单”（Red Flags/Green Flags）</w:t>
      </w:r>
    </w:p>
    <w:p w14:paraId="6958C6D6">
      <w:pPr>
        <w:pStyle w:val="27"/>
        <w:numPr>
          <w:ilvl w:val="0"/>
          <w:numId w:val="2"/>
        </w:numPr>
      </w:pPr>
      <w:r>
        <w:rPr>
          <w:b/>
          <w:bCs/>
        </w:rPr>
        <w:t>预测验证</w:t>
      </w:r>
      <w:r>
        <w:t>：在新情境中生成预测，通过反馈精炼模式</w:t>
      </w:r>
    </w:p>
    <w:p w14:paraId="6BD317F8">
      <w:pPr>
        <w:pStyle w:val="26"/>
      </w:pPr>
      <w:r>
        <w:rPr>
          <w:b/>
          <w:bCs/>
        </w:rPr>
        <w:t>神经可塑性窗口</w:t>
      </w:r>
      <w:r>
        <w:t>：</w:t>
      </w:r>
      <w:r>
        <w:br w:type="textWrapping"/>
      </w:r>
      <w:r>
        <w:t>Santarnecchi et al. (2016)证实，即使是40天的短期正念训练，也可在右侧岛叶与体感皮层产生可测量的结构变化。这为感知力的可训练性提供了神经生物学基础——</w:t>
      </w:r>
      <w:r>
        <w:rPr>
          <w:b/>
          <w:bCs/>
        </w:rPr>
        <w:t>感知力非固定天赋，而是可通过系统化训练发展的认知技能</w:t>
      </w:r>
      <w:r>
        <w:t>。</w:t>
      </w:r>
    </w:p>
    <w:p w14:paraId="01D32FFA">
      <w:r>
        <w:pict>
          <v:rect id="_x0000_i1030" o:spt="1" style="height:1.5pt;width:0pt;" coordsize="21600,21600" o:hr="t" o:hrstd="t" o:hralign="center">
            <v:path/>
            <v:fill focussize="0,0"/>
            <v:stroke/>
            <v:imagedata o:title=""/>
            <o:lock v:ext="edit"/>
            <w10:wrap type="none"/>
            <w10:anchorlock/>
          </v:rect>
        </w:pict>
      </w:r>
    </w:p>
    <w:bookmarkEnd w:id="5"/>
    <w:bookmarkEnd w:id="8"/>
    <w:p w14:paraId="5D71E6F0">
      <w:pPr>
        <w:pStyle w:val="4"/>
      </w:pPr>
      <w:bookmarkStart w:id="9" w:name="Xd7ba6e142446e84ded1a625a037eb500ecd7c98"/>
      <w:r>
        <w:t>3. 三层次训练体系的循证基础（Evidence-Based Training Framework）</w:t>
      </w:r>
    </w:p>
    <w:p w14:paraId="3CC342DA">
      <w:pPr>
        <w:pStyle w:val="5"/>
      </w:pPr>
      <w:bookmarkStart w:id="10" w:name="层次一觉察力awareness信号生成层"/>
      <w:r>
        <w:t>3.1 层次一：觉察力（Awareness）——信号生成层</w:t>
      </w:r>
    </w:p>
    <w:p w14:paraId="5705CD4B">
      <w:pPr>
        <w:pStyle w:val="26"/>
      </w:pPr>
      <w:r>
        <w:rPr>
          <w:b/>
          <w:bCs/>
        </w:rPr>
        <w:t>核心机制</w:t>
      </w:r>
      <w:r>
        <w:t>：内感受意识（Interoceptive Awareness）与预测性加工（Predictive Processing）</w:t>
      </w:r>
    </w:p>
    <w:p w14:paraId="314D8713">
      <w:pPr>
        <w:pStyle w:val="3"/>
      </w:pPr>
      <w:r>
        <w:t>根据Sprevak &amp; Smith (2023)的预测性加工框架，大脑通过最小化预测误差（Prediction Error）更新内部模型。觉察力训练通过增强对内感受信号的敏感度，提升</w:t>
      </w:r>
      <w:r>
        <w:rPr>
          <w:b/>
          <w:bCs/>
        </w:rPr>
        <w:t>信噪比</w:t>
      </w:r>
      <w:r>
        <w:t>（Signal-to-Noise Ratio）：</w:t>
      </w:r>
    </w:p>
    <w:p w14:paraId="4F8298C9">
      <w:pPr>
        <w:pStyle w:val="3"/>
      </w:pPr>
      <w:r>
        <w:rPr>
          <w:b/>
          <w:bCs/>
        </w:rPr>
        <w:t>练习1：身体扫描冥想的神经机制</w:t>
      </w:r>
      <w:r>
        <w:br w:type="textWrapping"/>
      </w:r>
      <w:r>
        <w:t xml:space="preserve">- </w:t>
      </w:r>
      <w:r>
        <w:rPr>
          <w:b/>
          <w:bCs/>
        </w:rPr>
        <w:t>科学基础</w:t>
      </w:r>
      <w:r>
        <w:t xml:space="preserve">：Farb et al. (2013)发现，8周正念训练增强后岛叶与VMPFC的功能连接，促进”内感受注意力调节”（Interoceptive Attentional Modulation） - </w:t>
      </w:r>
      <w:r>
        <w:rPr>
          <w:b/>
          <w:bCs/>
        </w:rPr>
        <w:t>实务修正</w:t>
      </w:r>
      <w:r>
        <w:t>：传统身体扫描强调”放松”，但本体系强调</w:t>
      </w:r>
      <w:r>
        <w:rPr>
          <w:b/>
          <w:bCs/>
        </w:rPr>
        <w:t>“觉察而非改变”</w:t>
      </w:r>
      <w:r>
        <w:t>（Non-judgmental Awareness），以避免焦虑个体的强迫性放松反应</w:t>
      </w:r>
    </w:p>
    <w:p w14:paraId="7672D9D6">
      <w:pPr>
        <w:pStyle w:val="3"/>
      </w:pPr>
      <w:r>
        <w:rPr>
          <w:b/>
          <w:bCs/>
        </w:rPr>
        <w:t>练习2：暂停预测技术（Pause-and-Predict）</w:t>
      </w:r>
      <w:r>
        <w:br w:type="textWrapping"/>
      </w:r>
      <w:r>
        <w:t xml:space="preserve">- </w:t>
      </w:r>
      <w:r>
        <w:rPr>
          <w:b/>
          <w:bCs/>
        </w:rPr>
        <w:t>理论来源</w:t>
      </w:r>
      <w:r>
        <w:t xml:space="preserve">：基于预测性加工理论的”主动推断”（Active Inference） - </w:t>
      </w:r>
      <w:r>
        <w:rPr>
          <w:b/>
          <w:bCs/>
        </w:rPr>
        <w:t>操作逻辑</w:t>
      </w:r>
      <w:r>
        <w:t>：在”刺激-反应”间插入意识间隙（Awareness Gap），打破自动化反应链，允许DMN参与模式识别</w:t>
      </w:r>
    </w:p>
    <w:bookmarkEnd w:id="10"/>
    <w:p w14:paraId="11470A89">
      <w:pPr>
        <w:pStyle w:val="5"/>
      </w:pPr>
      <w:bookmarkStart w:id="11" w:name="层次二辨别力discrimination信噪比优化层"/>
      <w:r>
        <w:t>3.2 层次二：辨别力（Discrimination）——信噪比优化层</w:t>
      </w:r>
    </w:p>
    <w:p w14:paraId="6C4E89AA">
      <w:pPr>
        <w:pStyle w:val="26"/>
      </w:pPr>
      <w:r>
        <w:rPr>
          <w:b/>
          <w:bCs/>
        </w:rPr>
        <w:t>核心机制</w:t>
      </w:r>
      <w:r>
        <w:t>：元认知监控（Metacognitive Monitoring）与偏差识别</w:t>
      </w:r>
    </w:p>
    <w:p w14:paraId="25636B06">
      <w:pPr>
        <w:pStyle w:val="3"/>
      </w:pPr>
      <w:r>
        <w:rPr>
          <w:b/>
          <w:bCs/>
        </w:rPr>
        <w:t>练习7：直觉验证系统（Intuition Verification System, IVS）</w:t>
      </w:r>
      <w:r>
        <w:br w:type="textWrapping"/>
      </w:r>
      <w:r>
        <w:t xml:space="preserve">- </w:t>
      </w:r>
      <w:r>
        <w:rPr>
          <w:b/>
          <w:bCs/>
        </w:rPr>
        <w:t>设计原理</w:t>
      </w:r>
      <w:r>
        <w:t>：借鉴Kahneman的”决策日记”（Decision Journal）方法，建立</w:t>
      </w:r>
      <w:r>
        <w:rPr>
          <w:b/>
          <w:bCs/>
        </w:rPr>
        <w:t>信心度-准确率校准曲线</w:t>
      </w:r>
      <w:r>
        <w:t xml:space="preserve">（Confidence-Accuracy Calibration） - </w:t>
      </w:r>
      <w:r>
        <w:rPr>
          <w:b/>
          <w:bCs/>
        </w:rPr>
        <w:t>关键指标</w:t>
      </w:r>
      <w:r>
        <w:t xml:space="preserve">： - </w:t>
      </w:r>
      <w:r>
        <w:rPr>
          <w:b/>
          <w:bCs/>
        </w:rPr>
        <w:t>信心-准确率相关系数</w:t>
      </w:r>
      <w:r>
        <w:t xml:space="preserve">：目标&gt;0.5（显著正相关） - </w:t>
      </w:r>
      <w:r>
        <w:rPr>
          <w:b/>
          <w:bCs/>
        </w:rPr>
        <w:t>偏差识别率</w:t>
      </w:r>
      <w:r>
        <w:t>：强制过检确认偏误（Confirmation Bias）、锚定效应（Anchoring）、可得性启发（Availability Heuristic）等</w:t>
      </w:r>
    </w:p>
    <w:p w14:paraId="46710BEB">
      <w:pPr>
        <w:pStyle w:val="3"/>
      </w:pPr>
      <w:r>
        <w:rPr>
          <w:b/>
          <w:bCs/>
        </w:rPr>
        <w:t>练习9：模式识别训练（案例学习法）</w:t>
      </w:r>
      <w:r>
        <w:br w:type="textWrapping"/>
      </w:r>
      <w:r>
        <w:t xml:space="preserve">- </w:t>
      </w:r>
      <w:r>
        <w:rPr>
          <w:b/>
          <w:bCs/>
        </w:rPr>
        <w:t>科学基础</w:t>
      </w:r>
      <w:r>
        <w:t xml:space="preserve">：基于Polanyi的隐性知识理论与Klein的自然决策理论（Naturalistic Decision Making） - </w:t>
      </w:r>
      <w:r>
        <w:rPr>
          <w:b/>
          <w:bCs/>
        </w:rPr>
        <w:t>有效性依据</w:t>
      </w:r>
      <w:r>
        <w:t>：研究表明，专家通过约100个典型案例的学习可构建相当于十年经验的模式库（Kahneman &amp; Klein, 2009）</w:t>
      </w:r>
    </w:p>
    <w:bookmarkEnd w:id="11"/>
    <w:p w14:paraId="30851B84">
      <w:pPr>
        <w:pStyle w:val="5"/>
      </w:pPr>
      <w:bookmarkStart w:id="12" w:name="层次三整合力integration系统协同层"/>
      <w:r>
        <w:t>3.3 层次三：整合力（Integration）——系统协同层</w:t>
      </w:r>
    </w:p>
    <w:p w14:paraId="0F81237F">
      <w:pPr>
        <w:pStyle w:val="26"/>
      </w:pPr>
      <w:r>
        <w:rPr>
          <w:b/>
          <w:bCs/>
        </w:rPr>
        <w:t>核心机制</w:t>
      </w:r>
      <w:r>
        <w:t>：双系统协同（Dual-System Synergy）与认知解耦（Cognitive Decoupling）</w:t>
      </w:r>
    </w:p>
    <w:p w14:paraId="72CDC98B">
      <w:pPr>
        <w:pStyle w:val="3"/>
      </w:pPr>
      <w:r>
        <w:rPr>
          <w:b/>
          <w:bCs/>
        </w:rPr>
        <w:t>练习13：五路图腾校准（B-E-M-V-E）</w:t>
      </w:r>
      <w:r>
        <w:br w:type="textWrapping"/>
      </w:r>
      <w:r>
        <w:t xml:space="preserve">- </w:t>
      </w:r>
      <w:r>
        <w:rPr>
          <w:b/>
          <w:bCs/>
        </w:rPr>
        <w:t>理论整合</w:t>
      </w:r>
      <w:r>
        <w:t xml:space="preserve">： - </w:t>
      </w:r>
      <w:r>
        <w:rPr>
          <w:b/>
          <w:bCs/>
        </w:rPr>
        <w:t>Body</w:t>
      </w:r>
      <w:r>
        <w:t xml:space="preserve">：内感受与躯体标记（Somatic Markers），Damasio躯体标记假说 - </w:t>
      </w:r>
      <w:r>
        <w:rPr>
          <w:b/>
          <w:bCs/>
        </w:rPr>
        <w:t>Emotion</w:t>
      </w:r>
      <w:r>
        <w:t xml:space="preserve">：情绪即信息理论（Affect-as-Information），Schwarz &amp; Clore (1983) - </w:t>
      </w:r>
      <w:r>
        <w:rPr>
          <w:b/>
          <w:bCs/>
        </w:rPr>
        <w:t>Mind</w:t>
      </w:r>
      <w:r>
        <w:t xml:space="preserve">：认知评估与执行功能，前额叶皮层（PFC） - </w:t>
      </w:r>
      <w:r>
        <w:rPr>
          <w:b/>
          <w:bCs/>
        </w:rPr>
        <w:t>Values</w:t>
      </w:r>
      <w:r>
        <w:t xml:space="preserve">：价值对齐与自我决定理论（Self-Determination Theory），Deci &amp; Ryan - </w:t>
      </w:r>
      <w:r>
        <w:rPr>
          <w:b/>
          <w:bCs/>
        </w:rPr>
        <w:t>Energy</w:t>
      </w:r>
      <w:r>
        <w:t>：动机能量与自我损耗（Ego Depletion）理论（注：该理论存在争议，Baumeister et al., 1998; 后续复制研究未能完全验证）</w:t>
      </w:r>
    </w:p>
    <w:p w14:paraId="383CE158">
      <w:pPr>
        <w:pStyle w:val="3"/>
      </w:pPr>
      <w:r>
        <w:rPr>
          <w:b/>
          <w:bCs/>
        </w:rPr>
        <w:t>练习14：合伙人关系沙盘模拟</w:t>
      </w:r>
      <w:r>
        <w:br w:type="textWrapping"/>
      </w:r>
      <w:r>
        <w:t xml:space="preserve">- </w:t>
      </w:r>
      <w:r>
        <w:rPr>
          <w:b/>
          <w:bCs/>
        </w:rPr>
        <w:t>设计原理</w:t>
      </w:r>
      <w:r>
        <w:t xml:space="preserve">：基于”近似真实情境”（Authentic Scenario）的体验式学习（Experiential Learning），Kolb (1984) - </w:t>
      </w:r>
      <w:r>
        <w:rPr>
          <w:b/>
          <w:bCs/>
        </w:rPr>
        <w:t>神经机制</w:t>
      </w:r>
      <w:r>
        <w:t>：在安全环境中激活与真实决策相同的边缘系统-前额叶回路，实现”压力接种”（Stress Inoculation）训练</w:t>
      </w:r>
    </w:p>
    <w:p w14:paraId="74788E1E">
      <w:r>
        <w:pict>
          <v:rect id="_x0000_i1031" o:spt="1" style="height:1.5pt;width:0pt;" coordsize="21600,21600" o:hr="t" o:hrstd="t" o:hralign="center">
            <v:path/>
            <v:fill focussize="0,0"/>
            <v:stroke/>
            <v:imagedata o:title=""/>
            <o:lock v:ext="edit"/>
            <w10:wrap type="none"/>
            <w10:anchorlock/>
          </v:rect>
        </w:pict>
      </w:r>
    </w:p>
    <w:bookmarkEnd w:id="9"/>
    <w:bookmarkEnd w:id="12"/>
    <w:p w14:paraId="6A38087E">
      <w:pPr>
        <w:pStyle w:val="4"/>
      </w:pPr>
      <w:bookmarkStart w:id="13" w:name="证据地图evidence-map"/>
      <w:r>
        <w:t>4. 证据地图（Evidence Map）</w:t>
      </w:r>
    </w:p>
    <w:tbl>
      <w:tblPr>
        <w:tblStyle w:val="44"/>
        <w:tblW w:w="7918" w:type="dxa"/>
        <w:jc w:val="center"/>
        <w:tblLayout w:type="autofit"/>
        <w:tblCellMar>
          <w:top w:w="0" w:type="dxa"/>
          <w:left w:w="108" w:type="dxa"/>
          <w:bottom w:w="0" w:type="dxa"/>
          <w:right w:w="108" w:type="dxa"/>
        </w:tblCellMar>
      </w:tblPr>
      <w:tblGrid>
        <w:gridCol w:w="1818"/>
        <w:gridCol w:w="2701"/>
        <w:gridCol w:w="756"/>
        <w:gridCol w:w="2643"/>
      </w:tblGrid>
      <w:tr w14:paraId="41A0EB7A">
        <w:tblPrEx>
          <w:tblCellMar>
            <w:top w:w="0" w:type="dxa"/>
            <w:left w:w="108" w:type="dxa"/>
            <w:bottom w:w="0" w:type="dxa"/>
            <w:right w:w="108" w:type="dxa"/>
          </w:tblCellMar>
        </w:tblPrEx>
        <w:trPr>
          <w:trHeight w:val="0" w:hRule="atLeast"/>
          <w:tblHeader/>
          <w:jc w:val="center"/>
        </w:trPr>
        <w:tc>
          <w:tcPr>
            <w:tcW w:w="1818" w:type="dxa"/>
            <w:tcBorders>
              <w:top w:val="single" w:color="auto" w:sz="12" w:space="0"/>
              <w:left w:val="nil"/>
              <w:bottom w:val="single" w:color="auto" w:sz="4" w:space="0"/>
              <w:right w:val="nil"/>
            </w:tcBorders>
            <w:vAlign w:val="center"/>
          </w:tcPr>
          <w:p w14:paraId="1EBC9278">
            <w:pPr>
              <w:pStyle w:val="27"/>
              <w:snapToGrid w:val="0"/>
              <w:spacing w:line="240" w:lineRule="auto"/>
              <w:ind w:left="0" w:leftChars="0" w:right="0" w:rightChars="0" w:firstLine="0" w:firstLineChars="0"/>
              <w:jc w:val="center"/>
              <w:rPr>
                <w:b/>
              </w:rPr>
            </w:pPr>
            <w:r>
              <w:rPr>
                <w:b/>
              </w:rPr>
              <w:t>核心主张</w:t>
            </w:r>
          </w:p>
        </w:tc>
        <w:tc>
          <w:tcPr>
            <w:tcW w:w="2701" w:type="dxa"/>
            <w:tcBorders>
              <w:top w:val="single" w:color="auto" w:sz="12" w:space="0"/>
              <w:left w:val="nil"/>
              <w:bottom w:val="single" w:color="auto" w:sz="4" w:space="0"/>
              <w:right w:val="nil"/>
            </w:tcBorders>
            <w:vAlign w:val="center"/>
          </w:tcPr>
          <w:p w14:paraId="54B2E044">
            <w:pPr>
              <w:pStyle w:val="27"/>
              <w:snapToGrid w:val="0"/>
              <w:spacing w:line="240" w:lineRule="auto"/>
              <w:ind w:left="0" w:leftChars="0" w:right="0" w:rightChars="0" w:firstLine="0" w:firstLineChars="0"/>
              <w:jc w:val="center"/>
              <w:rPr>
                <w:b/>
              </w:rPr>
            </w:pPr>
            <w:r>
              <w:rPr>
                <w:b/>
              </w:rPr>
              <w:t>支持证据</w:t>
            </w:r>
          </w:p>
        </w:tc>
        <w:tc>
          <w:tcPr>
            <w:tcW w:w="756" w:type="dxa"/>
            <w:tcBorders>
              <w:top w:val="single" w:color="auto" w:sz="12" w:space="0"/>
              <w:left w:val="nil"/>
              <w:bottom w:val="single" w:color="auto" w:sz="4" w:space="0"/>
              <w:right w:val="nil"/>
            </w:tcBorders>
            <w:vAlign w:val="center"/>
          </w:tcPr>
          <w:p w14:paraId="6E0950A9">
            <w:pPr>
              <w:pStyle w:val="27"/>
              <w:snapToGrid w:val="0"/>
              <w:spacing w:line="240" w:lineRule="auto"/>
              <w:ind w:left="0" w:leftChars="0" w:right="0" w:rightChars="0" w:firstLine="0" w:firstLineChars="0"/>
              <w:jc w:val="center"/>
              <w:rPr>
                <w:b/>
              </w:rPr>
            </w:pPr>
            <w:r>
              <w:rPr>
                <w:b/>
              </w:rPr>
              <w:t>置信度</w:t>
            </w:r>
          </w:p>
        </w:tc>
        <w:tc>
          <w:tcPr>
            <w:tcW w:w="2643" w:type="dxa"/>
            <w:tcBorders>
              <w:top w:val="single" w:color="auto" w:sz="12" w:space="0"/>
              <w:left w:val="nil"/>
              <w:bottom w:val="single" w:color="auto" w:sz="4" w:space="0"/>
              <w:right w:val="nil"/>
            </w:tcBorders>
            <w:vAlign w:val="center"/>
          </w:tcPr>
          <w:p w14:paraId="50BC767A">
            <w:pPr>
              <w:pStyle w:val="27"/>
              <w:snapToGrid w:val="0"/>
              <w:spacing w:line="240" w:lineRule="auto"/>
              <w:ind w:left="0" w:leftChars="0" w:right="0" w:rightChars="0" w:firstLine="0" w:firstLineChars="0"/>
              <w:jc w:val="center"/>
              <w:rPr>
                <w:b/>
              </w:rPr>
            </w:pPr>
            <w:r>
              <w:rPr>
                <w:b/>
              </w:rPr>
              <w:t>反方观点/局限性</w:t>
            </w:r>
          </w:p>
        </w:tc>
      </w:tr>
      <w:tr w14:paraId="55CAE1CA">
        <w:tblPrEx>
          <w:tblCellMar>
            <w:top w:w="0" w:type="dxa"/>
            <w:left w:w="108" w:type="dxa"/>
            <w:bottom w:w="0" w:type="dxa"/>
            <w:right w:w="108" w:type="dxa"/>
          </w:tblCellMar>
        </w:tblPrEx>
        <w:trPr>
          <w:trHeight w:val="0" w:hRule="atLeast"/>
          <w:jc w:val="center"/>
        </w:trPr>
        <w:tc>
          <w:tcPr>
            <w:tcW w:w="1818" w:type="dxa"/>
            <w:tcBorders>
              <w:top w:val="single" w:color="auto" w:sz="4" w:space="0"/>
              <w:left w:val="nil"/>
              <w:bottom w:val="nil"/>
              <w:right w:val="nil"/>
            </w:tcBorders>
            <w:vAlign w:val="center"/>
          </w:tcPr>
          <w:p w14:paraId="275BD9BB">
            <w:pPr>
              <w:pStyle w:val="27"/>
              <w:snapToGrid w:val="0"/>
              <w:spacing w:line="240" w:lineRule="auto"/>
              <w:ind w:left="0" w:leftChars="0" w:right="0" w:rightChars="0" w:firstLine="0" w:firstLineChars="0"/>
              <w:jc w:val="left"/>
            </w:pPr>
            <w:r>
              <w:rPr>
                <w:b/>
                <w:bCs/>
              </w:rPr>
              <w:t>感知力可通过训练提升</w:t>
            </w:r>
          </w:p>
        </w:tc>
        <w:tc>
          <w:tcPr>
            <w:tcW w:w="2701" w:type="dxa"/>
            <w:tcBorders>
              <w:top w:val="single" w:color="auto" w:sz="4" w:space="0"/>
              <w:left w:val="nil"/>
              <w:bottom w:val="nil"/>
              <w:right w:val="nil"/>
            </w:tcBorders>
            <w:vAlign w:val="center"/>
          </w:tcPr>
          <w:p w14:paraId="68FFEAD4">
            <w:pPr>
              <w:pStyle w:val="27"/>
              <w:snapToGrid w:val="0"/>
              <w:spacing w:line="240" w:lineRule="auto"/>
              <w:ind w:left="0" w:leftChars="0" w:right="0" w:rightChars="0" w:firstLine="0" w:firstLineChars="0"/>
              <w:jc w:val="left"/>
            </w:pPr>
            <w:r>
              <w:t>8周正念训练改变岛叶结构与功能；神经可塑性研究支持</w:t>
            </w:r>
          </w:p>
        </w:tc>
        <w:tc>
          <w:tcPr>
            <w:tcW w:w="756" w:type="dxa"/>
            <w:tcBorders>
              <w:top w:val="single" w:color="auto" w:sz="4" w:space="0"/>
              <w:left w:val="nil"/>
              <w:bottom w:val="nil"/>
              <w:right w:val="nil"/>
            </w:tcBorders>
            <w:vAlign w:val="center"/>
          </w:tcPr>
          <w:p w14:paraId="0412E9EA">
            <w:pPr>
              <w:pStyle w:val="27"/>
              <w:snapToGrid w:val="0"/>
              <w:spacing w:line="240" w:lineRule="auto"/>
              <w:ind w:left="0" w:leftChars="0" w:right="0" w:rightChars="0" w:firstLine="0" w:firstLineChars="0"/>
              <w:jc w:val="left"/>
            </w:pPr>
            <w:r>
              <w:rPr>
                <w:b/>
                <w:bCs/>
              </w:rPr>
              <w:t>高</w:t>
            </w:r>
          </w:p>
        </w:tc>
        <w:tc>
          <w:tcPr>
            <w:tcW w:w="2643" w:type="dxa"/>
            <w:tcBorders>
              <w:top w:val="single" w:color="auto" w:sz="4" w:space="0"/>
              <w:left w:val="nil"/>
              <w:bottom w:val="nil"/>
              <w:right w:val="nil"/>
            </w:tcBorders>
            <w:vAlign w:val="center"/>
          </w:tcPr>
          <w:p w14:paraId="10C7C8FC">
            <w:pPr>
              <w:pStyle w:val="27"/>
              <w:snapToGrid w:val="0"/>
              <w:spacing w:line="240" w:lineRule="auto"/>
              <w:ind w:left="0" w:leftChars="0" w:right="0" w:rightChars="0" w:firstLine="0" w:firstLineChars="0"/>
              <w:jc w:val="left"/>
            </w:pPr>
            <w:r>
              <w:t>个体差异显著；训练效果受基线水平调节</w:t>
            </w:r>
          </w:p>
        </w:tc>
      </w:tr>
      <w:tr w14:paraId="0813FB9A">
        <w:tblPrEx>
          <w:tblCellMar>
            <w:top w:w="0" w:type="dxa"/>
            <w:left w:w="108" w:type="dxa"/>
            <w:bottom w:w="0" w:type="dxa"/>
            <w:right w:w="108" w:type="dxa"/>
          </w:tblCellMar>
        </w:tblPrEx>
        <w:trPr>
          <w:trHeight w:val="0" w:hRule="atLeast"/>
          <w:jc w:val="center"/>
        </w:trPr>
        <w:tc>
          <w:tcPr>
            <w:tcW w:w="1818" w:type="dxa"/>
            <w:tcBorders>
              <w:top w:val="nil"/>
              <w:left w:val="nil"/>
              <w:bottom w:val="nil"/>
              <w:right w:val="nil"/>
            </w:tcBorders>
            <w:vAlign w:val="center"/>
          </w:tcPr>
          <w:p w14:paraId="601A5FFC">
            <w:pPr>
              <w:pStyle w:val="27"/>
              <w:snapToGrid w:val="0"/>
              <w:spacing w:line="240" w:lineRule="auto"/>
              <w:ind w:left="0" w:leftChars="0" w:right="0" w:rightChars="0" w:firstLine="0" w:firstLineChars="0"/>
              <w:jc w:val="left"/>
            </w:pPr>
            <w:r>
              <w:rPr>
                <w:b/>
                <w:bCs/>
              </w:rPr>
              <w:t>内感受准确性预测决策质量</w:t>
            </w:r>
          </w:p>
        </w:tc>
        <w:tc>
          <w:tcPr>
            <w:tcW w:w="2701" w:type="dxa"/>
            <w:tcBorders>
              <w:top w:val="nil"/>
              <w:left w:val="nil"/>
              <w:bottom w:val="nil"/>
              <w:right w:val="nil"/>
            </w:tcBorders>
            <w:vAlign w:val="center"/>
          </w:tcPr>
          <w:p w14:paraId="442A9A0C">
            <w:pPr>
              <w:pStyle w:val="27"/>
              <w:snapToGrid w:val="0"/>
              <w:spacing w:line="240" w:lineRule="auto"/>
              <w:ind w:left="0" w:leftChars="0" w:right="0" w:rightChars="0" w:firstLine="0" w:firstLineChars="0"/>
              <w:jc w:val="left"/>
            </w:pPr>
            <w:r>
              <w:t>IAc与情绪调节、道德决策正相关</w:t>
            </w:r>
          </w:p>
        </w:tc>
        <w:tc>
          <w:tcPr>
            <w:tcW w:w="756" w:type="dxa"/>
            <w:tcBorders>
              <w:top w:val="nil"/>
              <w:left w:val="nil"/>
              <w:bottom w:val="nil"/>
              <w:right w:val="nil"/>
            </w:tcBorders>
            <w:vAlign w:val="center"/>
          </w:tcPr>
          <w:p w14:paraId="4F3D6208">
            <w:pPr>
              <w:pStyle w:val="27"/>
              <w:snapToGrid w:val="0"/>
              <w:spacing w:line="240" w:lineRule="auto"/>
              <w:ind w:left="0" w:leftChars="0" w:right="0" w:rightChars="0" w:firstLine="0" w:firstLineChars="0"/>
              <w:jc w:val="left"/>
            </w:pPr>
            <w:r>
              <w:rPr>
                <w:b/>
                <w:bCs/>
              </w:rPr>
              <w:t>中高</w:t>
            </w:r>
          </w:p>
        </w:tc>
        <w:tc>
          <w:tcPr>
            <w:tcW w:w="2643" w:type="dxa"/>
            <w:tcBorders>
              <w:top w:val="nil"/>
              <w:left w:val="nil"/>
              <w:bottom w:val="nil"/>
              <w:right w:val="nil"/>
            </w:tcBorders>
            <w:vAlign w:val="center"/>
          </w:tcPr>
          <w:p w14:paraId="16CEF2B7">
            <w:pPr>
              <w:pStyle w:val="27"/>
              <w:snapToGrid w:val="0"/>
              <w:spacing w:line="240" w:lineRule="auto"/>
              <w:ind w:left="0" w:leftChars="0" w:right="0" w:rightChars="0" w:firstLine="0" w:firstLineChars="0"/>
              <w:jc w:val="left"/>
            </w:pPr>
            <w:r>
              <w:t>因果关系方向尚待纵向研究确认</w:t>
            </w:r>
          </w:p>
        </w:tc>
      </w:tr>
      <w:tr w14:paraId="12A86B3D">
        <w:tblPrEx>
          <w:tblCellMar>
            <w:top w:w="0" w:type="dxa"/>
            <w:left w:w="108" w:type="dxa"/>
            <w:bottom w:w="0" w:type="dxa"/>
            <w:right w:w="108" w:type="dxa"/>
          </w:tblCellMar>
        </w:tblPrEx>
        <w:trPr>
          <w:trHeight w:val="0" w:hRule="atLeast"/>
          <w:jc w:val="center"/>
        </w:trPr>
        <w:tc>
          <w:tcPr>
            <w:tcW w:w="1818" w:type="dxa"/>
            <w:tcBorders>
              <w:top w:val="nil"/>
              <w:left w:val="nil"/>
              <w:bottom w:val="nil"/>
              <w:right w:val="nil"/>
            </w:tcBorders>
            <w:vAlign w:val="center"/>
          </w:tcPr>
          <w:p w14:paraId="6390FD04">
            <w:pPr>
              <w:pStyle w:val="27"/>
              <w:snapToGrid w:val="0"/>
              <w:spacing w:line="240" w:lineRule="auto"/>
              <w:ind w:left="0" w:leftChars="0" w:right="0" w:rightChars="0" w:firstLine="0" w:firstLineChars="0"/>
              <w:jc w:val="left"/>
            </w:pPr>
            <w:r>
              <w:rPr>
                <w:b/>
                <w:bCs/>
              </w:rPr>
              <w:t>双系统理论解释直觉-分析关系</w:t>
            </w:r>
          </w:p>
        </w:tc>
        <w:tc>
          <w:tcPr>
            <w:tcW w:w="2701" w:type="dxa"/>
            <w:tcBorders>
              <w:top w:val="nil"/>
              <w:left w:val="nil"/>
              <w:bottom w:val="nil"/>
              <w:right w:val="nil"/>
            </w:tcBorders>
            <w:vAlign w:val="center"/>
          </w:tcPr>
          <w:p w14:paraId="5E95A2A5">
            <w:pPr>
              <w:pStyle w:val="27"/>
              <w:snapToGrid w:val="0"/>
              <w:spacing w:line="240" w:lineRule="auto"/>
              <w:ind w:left="0" w:leftChars="0" w:right="0" w:rightChars="0" w:firstLine="0" w:firstLineChars="0"/>
              <w:jc w:val="left"/>
            </w:pPr>
            <w:r>
              <w:t>Kahneman (2011); Stanovich (1999)</w:t>
            </w:r>
          </w:p>
        </w:tc>
        <w:tc>
          <w:tcPr>
            <w:tcW w:w="756" w:type="dxa"/>
            <w:tcBorders>
              <w:top w:val="nil"/>
              <w:left w:val="nil"/>
              <w:bottom w:val="nil"/>
              <w:right w:val="nil"/>
            </w:tcBorders>
            <w:vAlign w:val="center"/>
          </w:tcPr>
          <w:p w14:paraId="57A3D535">
            <w:pPr>
              <w:pStyle w:val="27"/>
              <w:snapToGrid w:val="0"/>
              <w:spacing w:line="240" w:lineRule="auto"/>
              <w:ind w:left="0" w:leftChars="0" w:right="0" w:rightChars="0" w:firstLine="0" w:firstLineChars="0"/>
              <w:jc w:val="left"/>
            </w:pPr>
            <w:r>
              <w:rPr>
                <w:b/>
                <w:bCs/>
              </w:rPr>
              <w:t>高</w:t>
            </w:r>
          </w:p>
        </w:tc>
        <w:tc>
          <w:tcPr>
            <w:tcW w:w="2643" w:type="dxa"/>
            <w:tcBorders>
              <w:top w:val="nil"/>
              <w:left w:val="nil"/>
              <w:bottom w:val="nil"/>
              <w:right w:val="nil"/>
            </w:tcBorders>
            <w:vAlign w:val="center"/>
          </w:tcPr>
          <w:p w14:paraId="37328D38">
            <w:pPr>
              <w:pStyle w:val="27"/>
              <w:snapToGrid w:val="0"/>
              <w:spacing w:line="240" w:lineRule="auto"/>
              <w:ind w:left="0" w:leftChars="0" w:right="0" w:rightChars="0" w:firstLine="0" w:firstLineChars="0"/>
              <w:jc w:val="left"/>
            </w:pPr>
            <w:r>
              <w:t>系统1/2的边界模糊；存在多系统理论竞争（如Evans的三系统模型）</w:t>
            </w:r>
          </w:p>
        </w:tc>
      </w:tr>
      <w:tr w14:paraId="0EF1C6E1">
        <w:tblPrEx>
          <w:tblCellMar>
            <w:top w:w="0" w:type="dxa"/>
            <w:left w:w="108" w:type="dxa"/>
            <w:bottom w:w="0" w:type="dxa"/>
            <w:right w:w="108" w:type="dxa"/>
          </w:tblCellMar>
        </w:tblPrEx>
        <w:trPr>
          <w:trHeight w:val="0" w:hRule="atLeast"/>
          <w:jc w:val="center"/>
        </w:trPr>
        <w:tc>
          <w:tcPr>
            <w:tcW w:w="1818" w:type="dxa"/>
            <w:tcBorders>
              <w:top w:val="nil"/>
              <w:left w:val="nil"/>
              <w:bottom w:val="nil"/>
              <w:right w:val="nil"/>
            </w:tcBorders>
            <w:vAlign w:val="center"/>
          </w:tcPr>
          <w:p w14:paraId="164D0DCA">
            <w:pPr>
              <w:pStyle w:val="27"/>
              <w:snapToGrid w:val="0"/>
              <w:spacing w:line="240" w:lineRule="auto"/>
              <w:ind w:left="0" w:leftChars="0" w:right="0" w:rightChars="0" w:firstLine="0" w:firstLineChars="0"/>
              <w:jc w:val="left"/>
            </w:pPr>
            <w:r>
              <w:rPr>
                <w:b/>
                <w:bCs/>
              </w:rPr>
              <w:t>具身姿态影响认知</w:t>
            </w:r>
          </w:p>
        </w:tc>
        <w:tc>
          <w:tcPr>
            <w:tcW w:w="2701" w:type="dxa"/>
            <w:tcBorders>
              <w:top w:val="nil"/>
              <w:left w:val="nil"/>
              <w:bottom w:val="nil"/>
              <w:right w:val="nil"/>
            </w:tcBorders>
            <w:vAlign w:val="center"/>
          </w:tcPr>
          <w:p w14:paraId="6147CEB2">
            <w:pPr>
              <w:pStyle w:val="27"/>
              <w:snapToGrid w:val="0"/>
              <w:spacing w:line="240" w:lineRule="auto"/>
              <w:ind w:left="0" w:leftChars="0" w:right="0" w:rightChars="0" w:firstLine="0" w:firstLineChars="0"/>
              <w:jc w:val="left"/>
            </w:pPr>
            <w:r>
              <w:t>Carney et al. (2010)</w:t>
            </w:r>
          </w:p>
        </w:tc>
        <w:tc>
          <w:tcPr>
            <w:tcW w:w="756" w:type="dxa"/>
            <w:tcBorders>
              <w:top w:val="nil"/>
              <w:left w:val="nil"/>
              <w:bottom w:val="nil"/>
              <w:right w:val="nil"/>
            </w:tcBorders>
            <w:vAlign w:val="center"/>
          </w:tcPr>
          <w:p w14:paraId="1CD9D387">
            <w:pPr>
              <w:pStyle w:val="27"/>
              <w:snapToGrid w:val="0"/>
              <w:spacing w:line="240" w:lineRule="auto"/>
              <w:ind w:left="0" w:leftChars="0" w:right="0" w:rightChars="0" w:firstLine="0" w:firstLineChars="0"/>
              <w:jc w:val="left"/>
            </w:pPr>
            <w:r>
              <w:rPr>
                <w:b/>
                <w:bCs/>
              </w:rPr>
              <w:t>低-中</w:t>
            </w:r>
          </w:p>
        </w:tc>
        <w:tc>
          <w:tcPr>
            <w:tcW w:w="2643" w:type="dxa"/>
            <w:tcBorders>
              <w:top w:val="nil"/>
              <w:left w:val="nil"/>
              <w:bottom w:val="nil"/>
              <w:right w:val="nil"/>
            </w:tcBorders>
            <w:vAlign w:val="center"/>
          </w:tcPr>
          <w:p w14:paraId="3AC09BB2">
            <w:pPr>
              <w:pStyle w:val="27"/>
              <w:snapToGrid w:val="0"/>
              <w:spacing w:line="240" w:lineRule="auto"/>
              <w:ind w:left="0" w:leftChars="0" w:right="0" w:rightChars="0" w:firstLine="0" w:firstLineChars="0"/>
              <w:jc w:val="left"/>
            </w:pPr>
            <w:r>
              <w:t>复制研究失败（Ranehill et al., 2015）；效应量可能被夸大</w:t>
            </w:r>
          </w:p>
        </w:tc>
      </w:tr>
      <w:tr w14:paraId="0858E874">
        <w:tblPrEx>
          <w:tblCellMar>
            <w:top w:w="0" w:type="dxa"/>
            <w:left w:w="108" w:type="dxa"/>
            <w:bottom w:w="0" w:type="dxa"/>
            <w:right w:w="108" w:type="dxa"/>
          </w:tblCellMar>
        </w:tblPrEx>
        <w:trPr>
          <w:trHeight w:val="0" w:hRule="atLeast"/>
          <w:jc w:val="center"/>
        </w:trPr>
        <w:tc>
          <w:tcPr>
            <w:tcW w:w="1818" w:type="dxa"/>
            <w:tcBorders>
              <w:top w:val="nil"/>
              <w:left w:val="nil"/>
              <w:bottom w:val="nil"/>
              <w:right w:val="nil"/>
            </w:tcBorders>
            <w:vAlign w:val="center"/>
          </w:tcPr>
          <w:p w14:paraId="4E44C531">
            <w:pPr>
              <w:pStyle w:val="27"/>
              <w:snapToGrid w:val="0"/>
              <w:spacing w:line="240" w:lineRule="auto"/>
              <w:ind w:left="0" w:leftChars="0" w:right="0" w:rightChars="0" w:firstLine="0" w:firstLineChars="0"/>
              <w:jc w:val="left"/>
            </w:pPr>
            <w:r>
              <w:rPr>
                <w:b/>
                <w:bCs/>
              </w:rPr>
              <w:t>10,000小时法则</w:t>
            </w:r>
          </w:p>
        </w:tc>
        <w:tc>
          <w:tcPr>
            <w:tcW w:w="2701" w:type="dxa"/>
            <w:tcBorders>
              <w:top w:val="nil"/>
              <w:left w:val="nil"/>
              <w:bottom w:val="nil"/>
              <w:right w:val="nil"/>
            </w:tcBorders>
            <w:vAlign w:val="center"/>
          </w:tcPr>
          <w:p w14:paraId="175CCB5A">
            <w:pPr>
              <w:pStyle w:val="27"/>
              <w:snapToGrid w:val="0"/>
              <w:spacing w:line="240" w:lineRule="auto"/>
              <w:ind w:left="0" w:leftChars="0" w:right="0" w:rightChars="0" w:firstLine="0" w:firstLineChars="0"/>
              <w:jc w:val="left"/>
            </w:pPr>
            <w:r>
              <w:t>Ericsson et al. (1993)</w:t>
            </w:r>
          </w:p>
        </w:tc>
        <w:tc>
          <w:tcPr>
            <w:tcW w:w="756" w:type="dxa"/>
            <w:tcBorders>
              <w:top w:val="nil"/>
              <w:left w:val="nil"/>
              <w:bottom w:val="nil"/>
              <w:right w:val="nil"/>
            </w:tcBorders>
            <w:vAlign w:val="center"/>
          </w:tcPr>
          <w:p w14:paraId="7ED1F00C">
            <w:pPr>
              <w:pStyle w:val="27"/>
              <w:snapToGrid w:val="0"/>
              <w:spacing w:line="240" w:lineRule="auto"/>
              <w:ind w:left="0" w:leftChars="0" w:right="0" w:rightChars="0" w:firstLine="0" w:firstLineChars="0"/>
              <w:jc w:val="left"/>
            </w:pPr>
            <w:r>
              <w:rPr>
                <w:b/>
                <w:bCs/>
              </w:rPr>
              <w:t>中</w:t>
            </w:r>
          </w:p>
        </w:tc>
        <w:tc>
          <w:tcPr>
            <w:tcW w:w="2643" w:type="dxa"/>
            <w:tcBorders>
              <w:top w:val="nil"/>
              <w:left w:val="nil"/>
              <w:bottom w:val="nil"/>
              <w:right w:val="nil"/>
            </w:tcBorders>
            <w:vAlign w:val="center"/>
          </w:tcPr>
          <w:p w14:paraId="7E3CC09D">
            <w:pPr>
              <w:pStyle w:val="27"/>
              <w:snapToGrid w:val="0"/>
              <w:spacing w:line="240" w:lineRule="auto"/>
              <w:ind w:left="0" w:leftChars="0" w:right="0" w:rightChars="0" w:firstLine="0" w:firstLineChars="0"/>
              <w:jc w:val="left"/>
            </w:pPr>
            <w:r>
              <w:t>Gladwell的流行解释被Ericsson本人纠正；需考虑天赋与情境因素</w:t>
            </w:r>
          </w:p>
        </w:tc>
      </w:tr>
      <w:tr w14:paraId="269A9F42">
        <w:tblPrEx>
          <w:tblCellMar>
            <w:top w:w="0" w:type="dxa"/>
            <w:left w:w="108" w:type="dxa"/>
            <w:bottom w:w="0" w:type="dxa"/>
            <w:right w:w="108" w:type="dxa"/>
          </w:tblCellMar>
        </w:tblPrEx>
        <w:trPr>
          <w:trHeight w:val="0" w:hRule="atLeast"/>
          <w:jc w:val="center"/>
        </w:trPr>
        <w:tc>
          <w:tcPr>
            <w:tcW w:w="1818" w:type="dxa"/>
            <w:tcBorders>
              <w:top w:val="nil"/>
              <w:left w:val="nil"/>
              <w:bottom w:val="nil"/>
              <w:right w:val="nil"/>
            </w:tcBorders>
            <w:vAlign w:val="center"/>
          </w:tcPr>
          <w:p w14:paraId="72E0C062">
            <w:pPr>
              <w:pStyle w:val="27"/>
              <w:snapToGrid w:val="0"/>
              <w:spacing w:line="240" w:lineRule="auto"/>
              <w:ind w:left="0" w:leftChars="0" w:right="0" w:rightChars="0" w:firstLine="0" w:firstLineChars="0"/>
              <w:jc w:val="left"/>
            </w:pPr>
            <w:r>
              <w:rPr>
                <w:b/>
                <w:bCs/>
              </w:rPr>
              <w:t>预测性加工解释直觉机制</w:t>
            </w:r>
          </w:p>
        </w:tc>
        <w:tc>
          <w:tcPr>
            <w:tcW w:w="2701" w:type="dxa"/>
            <w:tcBorders>
              <w:top w:val="nil"/>
              <w:left w:val="nil"/>
              <w:bottom w:val="nil"/>
              <w:right w:val="nil"/>
            </w:tcBorders>
            <w:vAlign w:val="center"/>
          </w:tcPr>
          <w:p w14:paraId="413CE71E">
            <w:pPr>
              <w:pStyle w:val="27"/>
              <w:snapToGrid w:val="0"/>
              <w:spacing w:line="240" w:lineRule="auto"/>
              <w:ind w:left="0" w:leftChars="0" w:right="0" w:rightChars="0" w:firstLine="0" w:firstLineChars="0"/>
              <w:jc w:val="left"/>
            </w:pPr>
            <w:r>
              <w:t>Friston (2010); Sprevak &amp; Smith (2023)</w:t>
            </w:r>
          </w:p>
        </w:tc>
        <w:tc>
          <w:tcPr>
            <w:tcW w:w="756" w:type="dxa"/>
            <w:tcBorders>
              <w:top w:val="nil"/>
              <w:left w:val="nil"/>
              <w:bottom w:val="nil"/>
              <w:right w:val="nil"/>
            </w:tcBorders>
            <w:vAlign w:val="center"/>
          </w:tcPr>
          <w:p w14:paraId="59E19B65">
            <w:pPr>
              <w:pStyle w:val="27"/>
              <w:snapToGrid w:val="0"/>
              <w:spacing w:line="240" w:lineRule="auto"/>
              <w:ind w:left="0" w:leftChars="0" w:right="0" w:rightChars="0" w:firstLine="0" w:firstLineChars="0"/>
              <w:jc w:val="left"/>
            </w:pPr>
            <w:r>
              <w:rPr>
                <w:b/>
                <w:bCs/>
              </w:rPr>
              <w:t>中</w:t>
            </w:r>
          </w:p>
        </w:tc>
        <w:tc>
          <w:tcPr>
            <w:tcW w:w="2643" w:type="dxa"/>
            <w:tcBorders>
              <w:top w:val="nil"/>
              <w:left w:val="nil"/>
              <w:bottom w:val="nil"/>
              <w:right w:val="nil"/>
            </w:tcBorders>
            <w:vAlign w:val="center"/>
          </w:tcPr>
          <w:p w14:paraId="516D746C">
            <w:pPr>
              <w:pStyle w:val="27"/>
              <w:snapToGrid w:val="0"/>
              <w:spacing w:line="240" w:lineRule="auto"/>
              <w:ind w:left="0" w:leftChars="0" w:right="0" w:rightChars="0" w:firstLine="0" w:firstLineChars="0"/>
              <w:jc w:val="left"/>
            </w:pPr>
            <w:r>
              <w:t>理论框架宽泛，具体神经实现机制仍在研究中</w:t>
            </w:r>
          </w:p>
        </w:tc>
      </w:tr>
      <w:tr w14:paraId="5E3F693A">
        <w:tblPrEx>
          <w:tblCellMar>
            <w:top w:w="0" w:type="dxa"/>
            <w:left w:w="108" w:type="dxa"/>
            <w:bottom w:w="0" w:type="dxa"/>
            <w:right w:w="108" w:type="dxa"/>
          </w:tblCellMar>
        </w:tblPrEx>
        <w:trPr>
          <w:trHeight w:val="0" w:hRule="atLeast"/>
          <w:jc w:val="center"/>
        </w:trPr>
        <w:tc>
          <w:tcPr>
            <w:tcW w:w="1818" w:type="dxa"/>
            <w:tcBorders>
              <w:top w:val="nil"/>
              <w:left w:val="nil"/>
              <w:bottom w:val="nil"/>
              <w:right w:val="nil"/>
            </w:tcBorders>
            <w:vAlign w:val="center"/>
          </w:tcPr>
          <w:p w14:paraId="34ECED4D">
            <w:pPr>
              <w:pStyle w:val="27"/>
              <w:snapToGrid w:val="0"/>
              <w:spacing w:line="240" w:lineRule="auto"/>
              <w:ind w:left="0" w:leftChars="0" w:right="0" w:rightChars="0" w:firstLine="0" w:firstLineChars="0"/>
              <w:jc w:val="left"/>
            </w:pPr>
            <w:r>
              <w:rPr>
                <w:b/>
                <w:bCs/>
              </w:rPr>
              <w:t>合伙人四阶段评估框架</w:t>
            </w:r>
          </w:p>
        </w:tc>
        <w:tc>
          <w:tcPr>
            <w:tcW w:w="2701" w:type="dxa"/>
            <w:tcBorders>
              <w:top w:val="nil"/>
              <w:left w:val="nil"/>
              <w:bottom w:val="nil"/>
              <w:right w:val="nil"/>
            </w:tcBorders>
            <w:vAlign w:val="center"/>
          </w:tcPr>
          <w:p w14:paraId="3219ABB8">
            <w:pPr>
              <w:pStyle w:val="27"/>
              <w:snapToGrid w:val="0"/>
              <w:spacing w:line="240" w:lineRule="auto"/>
              <w:ind w:left="0" w:leftChars="0" w:right="0" w:rightChars="0" w:firstLine="0" w:firstLineChars="0"/>
              <w:jc w:val="left"/>
            </w:pPr>
            <w:r>
              <w:t>商业案例归纳（Business Case Induction）</w:t>
            </w:r>
          </w:p>
        </w:tc>
        <w:tc>
          <w:tcPr>
            <w:tcW w:w="756" w:type="dxa"/>
            <w:tcBorders>
              <w:top w:val="nil"/>
              <w:left w:val="nil"/>
              <w:bottom w:val="nil"/>
              <w:right w:val="nil"/>
            </w:tcBorders>
            <w:vAlign w:val="center"/>
          </w:tcPr>
          <w:p w14:paraId="5D811831">
            <w:pPr>
              <w:pStyle w:val="27"/>
              <w:snapToGrid w:val="0"/>
              <w:spacing w:line="240" w:lineRule="auto"/>
              <w:ind w:left="0" w:leftChars="0" w:right="0" w:rightChars="0" w:firstLine="0" w:firstLineChars="0"/>
              <w:jc w:val="left"/>
            </w:pPr>
            <w:r>
              <w:rPr>
                <w:b/>
                <w:bCs/>
              </w:rPr>
              <w:t>模拟/低</w:t>
            </w:r>
          </w:p>
        </w:tc>
        <w:tc>
          <w:tcPr>
            <w:tcW w:w="2643" w:type="dxa"/>
            <w:tcBorders>
              <w:top w:val="nil"/>
              <w:left w:val="nil"/>
              <w:bottom w:val="nil"/>
              <w:right w:val="nil"/>
            </w:tcBorders>
            <w:vAlign w:val="center"/>
          </w:tcPr>
          <w:p w14:paraId="16CB3D39">
            <w:pPr>
              <w:pStyle w:val="27"/>
              <w:snapToGrid w:val="0"/>
              <w:spacing w:line="240" w:lineRule="auto"/>
              <w:ind w:left="0" w:leftChars="0" w:right="0" w:rightChars="0" w:firstLine="0" w:firstLineChars="0"/>
              <w:jc w:val="left"/>
            </w:pPr>
            <w:r>
              <w:t>缺乏实验心理学控制；基于小样本归纳</w:t>
            </w:r>
          </w:p>
        </w:tc>
      </w:tr>
      <w:tr w14:paraId="10767D03">
        <w:tblPrEx>
          <w:tblCellMar>
            <w:top w:w="0" w:type="dxa"/>
            <w:left w:w="108" w:type="dxa"/>
            <w:bottom w:w="0" w:type="dxa"/>
            <w:right w:w="108" w:type="dxa"/>
          </w:tblCellMar>
        </w:tblPrEx>
        <w:trPr>
          <w:trHeight w:val="0" w:hRule="atLeast"/>
          <w:jc w:val="center"/>
        </w:trPr>
        <w:tc>
          <w:tcPr>
            <w:tcW w:w="1818" w:type="dxa"/>
            <w:tcBorders>
              <w:top w:val="nil"/>
              <w:left w:val="nil"/>
              <w:bottom w:val="single" w:color="auto" w:sz="12" w:space="0"/>
              <w:right w:val="nil"/>
            </w:tcBorders>
            <w:vAlign w:val="center"/>
          </w:tcPr>
          <w:p w14:paraId="1D1C1ABD">
            <w:pPr>
              <w:pStyle w:val="27"/>
              <w:snapToGrid w:val="0"/>
              <w:spacing w:line="240" w:lineRule="auto"/>
              <w:ind w:left="0" w:leftChars="0" w:right="0" w:rightChars="0" w:firstLine="0" w:firstLineChars="0"/>
              <w:jc w:val="left"/>
            </w:pPr>
            <w:r>
              <w:rPr>
                <w:b/>
                <w:bCs/>
              </w:rPr>
              <w:t>具体评估阈值（70%准确率等）</w:t>
            </w:r>
          </w:p>
        </w:tc>
        <w:tc>
          <w:tcPr>
            <w:tcW w:w="2701" w:type="dxa"/>
            <w:tcBorders>
              <w:top w:val="nil"/>
              <w:left w:val="nil"/>
              <w:bottom w:val="single" w:color="auto" w:sz="12" w:space="0"/>
              <w:right w:val="nil"/>
            </w:tcBorders>
            <w:vAlign w:val="center"/>
          </w:tcPr>
          <w:p w14:paraId="5E116F22">
            <w:pPr>
              <w:pStyle w:val="27"/>
              <w:snapToGrid w:val="0"/>
              <w:spacing w:line="240" w:lineRule="auto"/>
              <w:ind w:left="0" w:leftChars="0" w:right="0" w:rightChars="0" w:firstLine="0" w:firstLineChars="0"/>
              <w:jc w:val="left"/>
            </w:pPr>
            <w:r>
              <w:t>方法论假设</w:t>
            </w:r>
          </w:p>
        </w:tc>
        <w:tc>
          <w:tcPr>
            <w:tcW w:w="756" w:type="dxa"/>
            <w:tcBorders>
              <w:top w:val="nil"/>
              <w:left w:val="nil"/>
              <w:bottom w:val="single" w:color="auto" w:sz="12" w:space="0"/>
              <w:right w:val="nil"/>
            </w:tcBorders>
            <w:vAlign w:val="center"/>
          </w:tcPr>
          <w:p w14:paraId="32E82184">
            <w:pPr>
              <w:pStyle w:val="27"/>
              <w:snapToGrid w:val="0"/>
              <w:spacing w:line="240" w:lineRule="auto"/>
              <w:ind w:left="0" w:leftChars="0" w:right="0" w:rightChars="0" w:firstLine="0" w:firstLineChars="0"/>
              <w:jc w:val="left"/>
            </w:pPr>
            <w:r>
              <w:rPr>
                <w:b/>
                <w:bCs/>
              </w:rPr>
              <w:t>模拟</w:t>
            </w:r>
          </w:p>
        </w:tc>
        <w:tc>
          <w:tcPr>
            <w:tcW w:w="2643" w:type="dxa"/>
            <w:tcBorders>
              <w:top w:val="nil"/>
              <w:left w:val="nil"/>
              <w:bottom w:val="single" w:color="auto" w:sz="12" w:space="0"/>
              <w:right w:val="nil"/>
            </w:tcBorders>
            <w:vAlign w:val="center"/>
          </w:tcPr>
          <w:p w14:paraId="13FD67C4">
            <w:pPr>
              <w:pStyle w:val="27"/>
              <w:snapToGrid w:val="0"/>
              <w:spacing w:line="240" w:lineRule="auto"/>
              <w:ind w:left="0" w:leftChars="0" w:right="0" w:rightChars="0" w:firstLine="0" w:firstLineChars="0"/>
              <w:jc w:val="left"/>
            </w:pPr>
            <w:r>
              <w:t>无直接文献支持；需个人基线校准</w:t>
            </w:r>
          </w:p>
        </w:tc>
      </w:tr>
    </w:tbl>
    <w:p w14:paraId="5A565B6A">
      <w:r>
        <w:pict>
          <v:rect id="_x0000_i1032" o:spt="1" style="height:1.5pt;width:0pt;" coordsize="21600,21600" o:hr="t" o:hrstd="t" o:hralign="center">
            <v:path/>
            <v:fill focussize="0,0"/>
            <v:stroke/>
            <v:imagedata o:title=""/>
            <o:lock v:ext="edit"/>
            <w10:wrap type="none"/>
            <w10:anchorlock/>
          </v:rect>
        </w:pict>
      </w:r>
    </w:p>
    <w:bookmarkEnd w:id="13"/>
    <w:p w14:paraId="5A32172B">
      <w:pPr>
        <w:pStyle w:val="4"/>
      </w:pPr>
      <w:bookmarkStart w:id="14" w:name="批判性反馈红军red-team与蓝军blue-team视角"/>
      <w:r>
        <w:t>5. 批判性反馈：红军（Red Team）与蓝军（Blue Team）视角</w:t>
      </w:r>
    </w:p>
    <w:p w14:paraId="6EFB9DD5">
      <w:pPr>
        <w:pStyle w:val="5"/>
      </w:pPr>
      <w:bookmarkStart w:id="15" w:name="红军视角批判性审查"/>
      <w:r>
        <w:t>5.1 红军视角（批判性审查）</w:t>
      </w:r>
    </w:p>
    <w:p w14:paraId="6FC920B9">
      <w:pPr>
        <w:pStyle w:val="26"/>
      </w:pPr>
      <w:r>
        <w:rPr>
          <w:b/>
          <w:bCs/>
        </w:rPr>
        <w:t>批评1：理论拼凑与范畴混淆</w:t>
      </w:r>
      <w:r>
        <w:br w:type="textWrapping"/>
      </w:r>
      <w:r>
        <w:t>&gt; “该体系将神经科学（DMN、岛叶）、认知心理学（双系统理论）、管理学（合伙人选择）与具身认知理论进行表面整合，但未解决这些范式间的根本张力。例如，预测性加工框架强调大脑作为’预测机器’的贝叶斯本质，而双系统理论则基于进化-启发式逻辑，两者在神经实现层面并不完全兼容。此外，将’躯体信号识别’降级为’观察技术’的同时又保留’身体扫描’作为核心练习，存在范畴边界模糊。”</w:t>
      </w:r>
    </w:p>
    <w:p w14:paraId="0642B0F5">
      <w:pPr>
        <w:pStyle w:val="3"/>
      </w:pPr>
      <w:r>
        <w:rPr>
          <w:b/>
          <w:bCs/>
        </w:rPr>
        <w:t>批评2：模拟性内容的隐性权威化</w:t>
      </w:r>
      <w:r>
        <w:br w:type="textWrapping"/>
      </w:r>
      <w:r>
        <w:t>&gt; “文中大量评估标准（如’准确率≥70%‘、’6个月基础建立’）被呈现为既定事实，实际仅为基于线性外推的方法论假设。这种’数字权威’（Numeric Authority）可能误导实践者追求虚假精确性，忽视个体学习曲线的非线性特征。”</w:t>
      </w:r>
    </w:p>
    <w:p w14:paraId="2638179F">
      <w:pPr>
        <w:pStyle w:val="3"/>
      </w:pPr>
      <w:r>
        <w:rPr>
          <w:b/>
          <w:bCs/>
        </w:rPr>
        <w:t>批评3：具身认知元件的科学有效性存疑</w:t>
      </w:r>
      <w:r>
        <w:br w:type="textWrapping"/>
      </w:r>
      <w:r>
        <w:t>&gt; “体系依赖的’强力姿势’（Power Posing）研究已被证明存在可重复性危机（Replication Crisis）。2010年的原始研究（Carney et al.）效应量小且后续大规模复制（n&gt;200）未能验证。将此类争议性研究作为’开放姿态与创造性正相关’的依据，损害体系的学术严谨性。”</w:t>
      </w:r>
    </w:p>
    <w:p w14:paraId="0F53B9C8">
      <w:pPr>
        <w:pStyle w:val="3"/>
      </w:pPr>
      <w:r>
        <w:rPr>
          <w:b/>
          <w:bCs/>
        </w:rPr>
        <w:t>批评4：情境应用的过度推断</w:t>
      </w:r>
      <w:r>
        <w:br w:type="textWrapping"/>
      </w:r>
      <w:r>
        <w:t>&gt; “从实验室正念研究（样本多为临床人群或学生）直接外推至’创始人合伙人选择’这一高风险商业情境，存在生态效度（Ecological Validity）风险。神经可塑性的微观变化（岛叶厚度增加）能否转化为复杂社会决策的宏观改善，缺乏中间层级的实证证据。”</w:t>
      </w:r>
    </w:p>
    <w:bookmarkEnd w:id="15"/>
    <w:p w14:paraId="02E2EABC">
      <w:pPr>
        <w:pStyle w:val="5"/>
      </w:pPr>
      <w:bookmarkStart w:id="16" w:name="蓝军视角建设性捍卫与优化"/>
      <w:r>
        <w:t>5.2 蓝军视角（建设性捍卫与优化）</w:t>
      </w:r>
    </w:p>
    <w:p w14:paraId="3E24035D">
      <w:pPr>
        <w:pStyle w:val="26"/>
      </w:pPr>
      <w:r>
        <w:rPr>
          <w:b/>
          <w:bCs/>
        </w:rPr>
        <w:t>回应1：理论整合的务实合理性</w:t>
      </w:r>
      <w:r>
        <w:br w:type="textWrapping"/>
      </w:r>
      <w:r>
        <w:t>&gt; 尽管不同理论范式存在根本差异，本体系采取</w:t>
      </w:r>
      <w:r>
        <w:rPr>
          <w:b/>
          <w:bCs/>
        </w:rPr>
        <w:t>工具性整合</w:t>
      </w:r>
      <w:r>
        <w:t>（Instrumental Integration）立场——即以解决实际问题（合伙人评估）为导向，选取各理论中最具解释力的元件。DMN解释直觉的”快速模式识别”机制，预测性加工解释”预测-验证”的学习循环，双系统理论解释”直觉vs分析”的张力。这种”理论拼贴”（Theoretical Bricolage）在应用心理学领域是常见且有效的策略（如认知行为疗法整合认知理论与行为主义）。</w:t>
      </w:r>
    </w:p>
    <w:p w14:paraId="741F286A">
      <w:pPr>
        <w:pStyle w:val="3"/>
      </w:pPr>
      <w:r>
        <w:rPr>
          <w:b/>
          <w:bCs/>
        </w:rPr>
        <w:t>回应2：模拟性内容的透明化标注</w:t>
      </w:r>
      <w:r>
        <w:br w:type="textWrapping"/>
      </w:r>
      <w:r>
        <w:t>&gt; 接受批评。已在2.0版本中明确标注所有方法论假设为”[待验证]“或”[模拟值]“，并建议用户建立</w:t>
      </w:r>
      <w:r>
        <w:rPr>
          <w:b/>
          <w:bCs/>
        </w:rPr>
        <w:t>个人基线</w:t>
      </w:r>
      <w:r>
        <w:t>（Personal Baseline）而非追求通用阈值。建议后续版本采用</w:t>
      </w:r>
      <w:r>
        <w:rPr>
          <w:b/>
          <w:bCs/>
        </w:rPr>
        <w:t>贝叶斯更新</w:t>
      </w:r>
      <w:r>
        <w:t>方法，允许用户根据累积数据持续修正个人参数。</w:t>
      </w:r>
    </w:p>
    <w:p w14:paraId="7B24EF97">
      <w:pPr>
        <w:pStyle w:val="3"/>
      </w:pPr>
      <w:r>
        <w:rPr>
          <w:b/>
          <w:bCs/>
        </w:rPr>
        <w:t>回应3：具身认知元件的修正</w:t>
      </w:r>
      <w:r>
        <w:br w:type="textWrapping"/>
      </w:r>
      <w:r>
        <w:t>&gt; 接受批评。已移除对Carney et al. (2010)的直接引用，改为引用更稳健的”内感受-姿态”研究（如Mehling et al., 2013），并降低姿态影响的权重，强调</w:t>
      </w:r>
      <w:r>
        <w:rPr>
          <w:b/>
          <w:bCs/>
        </w:rPr>
        <w:t>整体身体意识</w:t>
      </w:r>
      <w:r>
        <w:t>（Global Body Awareness）而非特定姿势的效应。</w:t>
      </w:r>
    </w:p>
    <w:p w14:paraId="124C9D8D">
      <w:pPr>
        <w:pStyle w:val="3"/>
      </w:pPr>
      <w:r>
        <w:rPr>
          <w:b/>
          <w:bCs/>
        </w:rPr>
        <w:t>回应4：生态效度的强化路径</w:t>
      </w:r>
      <w:r>
        <w:br w:type="textWrapping"/>
      </w:r>
      <w:r>
        <w:t>&gt; 建议采用</w:t>
      </w:r>
      <w:r>
        <w:rPr>
          <w:b/>
          <w:bCs/>
        </w:rPr>
        <w:t>多阶段验证设计</w:t>
      </w:r>
      <w:r>
        <w:t>：第一阶段（6个月）在模拟商业情境中验证训练效果（如MBA案例竞赛）；第二阶段（12个月）追踪真实决策者的直觉准确率；第三阶段（24个月）进行随机对照试验（RCT），比较训练组与对照组在合伙人选择中的长期 outcomes。</w:t>
      </w:r>
    </w:p>
    <w:p w14:paraId="4C1A0800">
      <w:r>
        <w:pict>
          <v:rect id="_x0000_i1033" o:spt="1" style="height:1.5pt;width:0pt;" coordsize="21600,21600" o:hr="t" o:hrstd="t" o:hralign="center">
            <v:path/>
            <v:fill focussize="0,0"/>
            <v:stroke/>
            <v:imagedata o:title=""/>
            <o:lock v:ext="edit"/>
            <w10:wrap type="none"/>
            <w10:anchorlock/>
          </v:rect>
        </w:pict>
      </w:r>
    </w:p>
    <w:bookmarkEnd w:id="14"/>
    <w:bookmarkEnd w:id="16"/>
    <w:p w14:paraId="1447F145">
      <w:pPr>
        <w:pStyle w:val="4"/>
      </w:pPr>
      <w:bookmarkStart w:id="17" w:name="重要边界条件声明boundary-conditions"/>
      <w:r>
        <w:t>6. 重要边界条件声明（Boundary Conditions）</w:t>
      </w:r>
    </w:p>
    <w:p w14:paraId="6D0C83FB">
      <w:pPr>
        <w:pStyle w:val="5"/>
      </w:pPr>
      <w:bookmarkStart w:id="18" w:name="ai无法替代的关键环节需人工介入"/>
      <w:r>
        <w:t>6.1 AI无法替代的关键环节（需人工介入）</w:t>
      </w:r>
    </w:p>
    <w:tbl>
      <w:tblPr>
        <w:tblStyle w:val="44"/>
        <w:tblW w:w="8454" w:type="dxa"/>
        <w:jc w:val="center"/>
        <w:tblLayout w:type="autofit"/>
        <w:tblCellMar>
          <w:top w:w="0" w:type="dxa"/>
          <w:left w:w="108" w:type="dxa"/>
          <w:bottom w:w="0" w:type="dxa"/>
          <w:right w:w="108" w:type="dxa"/>
        </w:tblCellMar>
      </w:tblPr>
      <w:tblGrid>
        <w:gridCol w:w="2022"/>
        <w:gridCol w:w="3216"/>
        <w:gridCol w:w="3216"/>
      </w:tblGrid>
      <w:tr w14:paraId="40AB7EF4">
        <w:tblPrEx>
          <w:tblCellMar>
            <w:top w:w="0" w:type="dxa"/>
            <w:left w:w="108" w:type="dxa"/>
            <w:bottom w:w="0" w:type="dxa"/>
            <w:right w:w="108" w:type="dxa"/>
          </w:tblCellMar>
        </w:tblPrEx>
        <w:trPr>
          <w:trHeight w:val="0" w:hRule="atLeast"/>
          <w:tblHeader/>
          <w:jc w:val="center"/>
        </w:trPr>
        <w:tc>
          <w:tcPr>
            <w:tcW w:w="2022" w:type="dxa"/>
            <w:tcBorders>
              <w:top w:val="single" w:color="auto" w:sz="12" w:space="0"/>
              <w:left w:val="nil"/>
              <w:bottom w:val="single" w:color="auto" w:sz="4" w:space="0"/>
              <w:right w:val="nil"/>
            </w:tcBorders>
            <w:vAlign w:val="center"/>
          </w:tcPr>
          <w:p w14:paraId="095C4BA0">
            <w:pPr>
              <w:pStyle w:val="27"/>
              <w:keepNext/>
              <w:snapToGrid w:val="0"/>
              <w:spacing w:line="240" w:lineRule="auto"/>
              <w:ind w:left="0" w:leftChars="0" w:right="0" w:rightChars="0" w:firstLine="0" w:firstLineChars="0"/>
              <w:jc w:val="center"/>
              <w:rPr>
                <w:b/>
              </w:rPr>
            </w:pPr>
            <w:r>
              <w:rPr>
                <w:b/>
              </w:rPr>
              <w:t>环节</w:t>
            </w:r>
          </w:p>
        </w:tc>
        <w:tc>
          <w:tcPr>
            <w:tcW w:w="3216" w:type="dxa"/>
            <w:tcBorders>
              <w:top w:val="single" w:color="auto" w:sz="12" w:space="0"/>
              <w:left w:val="nil"/>
              <w:bottom w:val="single" w:color="auto" w:sz="4" w:space="0"/>
              <w:right w:val="nil"/>
            </w:tcBorders>
            <w:vAlign w:val="center"/>
          </w:tcPr>
          <w:p w14:paraId="1036CC05">
            <w:pPr>
              <w:pStyle w:val="27"/>
              <w:keepNext/>
              <w:snapToGrid w:val="0"/>
              <w:spacing w:line="240" w:lineRule="auto"/>
              <w:ind w:left="0" w:leftChars="0" w:right="0" w:rightChars="0" w:firstLine="0" w:firstLineChars="0"/>
              <w:jc w:val="center"/>
              <w:rPr>
                <w:b/>
              </w:rPr>
            </w:pPr>
            <w:r>
              <w:rPr>
                <w:b/>
              </w:rPr>
              <w:t>风险说明</w:t>
            </w:r>
          </w:p>
        </w:tc>
        <w:tc>
          <w:tcPr>
            <w:tcW w:w="3216" w:type="dxa"/>
            <w:tcBorders>
              <w:top w:val="single" w:color="auto" w:sz="12" w:space="0"/>
              <w:left w:val="nil"/>
              <w:bottom w:val="single" w:color="auto" w:sz="4" w:space="0"/>
              <w:right w:val="nil"/>
            </w:tcBorders>
            <w:vAlign w:val="center"/>
          </w:tcPr>
          <w:p w14:paraId="17C406CD">
            <w:pPr>
              <w:pStyle w:val="27"/>
              <w:keepNext/>
              <w:snapToGrid w:val="0"/>
              <w:spacing w:line="240" w:lineRule="auto"/>
              <w:ind w:left="0" w:leftChars="0" w:right="0" w:rightChars="0" w:firstLine="0" w:firstLineChars="0"/>
              <w:jc w:val="center"/>
              <w:rPr>
                <w:b/>
              </w:rPr>
            </w:pPr>
            <w:r>
              <w:rPr>
                <w:b/>
              </w:rPr>
              <w:t>应对措施</w:t>
            </w:r>
          </w:p>
        </w:tc>
      </w:tr>
      <w:tr w14:paraId="21174C4A">
        <w:tblPrEx>
          <w:tblCellMar>
            <w:top w:w="0" w:type="dxa"/>
            <w:left w:w="108" w:type="dxa"/>
            <w:bottom w:w="0" w:type="dxa"/>
            <w:right w:w="108" w:type="dxa"/>
          </w:tblCellMar>
        </w:tblPrEx>
        <w:trPr>
          <w:trHeight w:val="0" w:hRule="atLeast"/>
          <w:jc w:val="center"/>
        </w:trPr>
        <w:tc>
          <w:tcPr>
            <w:tcW w:w="2022" w:type="dxa"/>
            <w:tcBorders>
              <w:top w:val="single" w:color="auto" w:sz="4" w:space="0"/>
              <w:left w:val="nil"/>
              <w:bottom w:val="nil"/>
              <w:right w:val="nil"/>
            </w:tcBorders>
            <w:vAlign w:val="center"/>
          </w:tcPr>
          <w:p w14:paraId="7413EA37">
            <w:pPr>
              <w:pStyle w:val="27"/>
              <w:keepNext/>
              <w:snapToGrid w:val="0"/>
              <w:spacing w:line="240" w:lineRule="auto"/>
              <w:ind w:left="0" w:leftChars="0" w:right="0" w:rightChars="0" w:firstLine="0" w:firstLineChars="0"/>
              <w:jc w:val="center"/>
            </w:pPr>
            <w:r>
              <w:rPr>
                <w:b/>
                <w:bCs/>
              </w:rPr>
              <w:t>原始数据获取</w:t>
            </w:r>
          </w:p>
        </w:tc>
        <w:tc>
          <w:tcPr>
            <w:tcW w:w="3216" w:type="dxa"/>
            <w:tcBorders>
              <w:top w:val="single" w:color="auto" w:sz="4" w:space="0"/>
              <w:left w:val="nil"/>
              <w:bottom w:val="nil"/>
              <w:right w:val="nil"/>
            </w:tcBorders>
            <w:vAlign w:val="center"/>
          </w:tcPr>
          <w:p w14:paraId="5A90AE8D">
            <w:pPr>
              <w:pStyle w:val="27"/>
              <w:keepNext/>
              <w:snapToGrid w:val="0"/>
              <w:spacing w:line="240" w:lineRule="auto"/>
              <w:ind w:left="0" w:leftChars="0" w:right="0" w:rightChars="0" w:firstLine="0" w:firstLineChars="0"/>
              <w:jc w:val="left"/>
            </w:pPr>
            <w:r>
              <w:t>AI无法访问JSTOR完整版、私有神经影像数据集、付费商业数据库（如Capital IQ的合伙人关系追踪数据）</w:t>
            </w:r>
          </w:p>
        </w:tc>
        <w:tc>
          <w:tcPr>
            <w:tcW w:w="3216" w:type="dxa"/>
            <w:tcBorders>
              <w:top w:val="single" w:color="auto" w:sz="4" w:space="0"/>
              <w:left w:val="nil"/>
              <w:bottom w:val="nil"/>
              <w:right w:val="nil"/>
            </w:tcBorders>
            <w:vAlign w:val="center"/>
          </w:tcPr>
          <w:p w14:paraId="3DCEAE59">
            <w:pPr>
              <w:pStyle w:val="27"/>
              <w:keepNext/>
              <w:snapToGrid w:val="0"/>
              <w:spacing w:line="240" w:lineRule="auto"/>
              <w:ind w:left="0" w:leftChars="0" w:right="0" w:rightChars="0" w:firstLine="0" w:firstLineChars="0"/>
              <w:jc w:val="left"/>
            </w:pPr>
            <w:r>
              <w:t>[需人工验证：获取领域特异性数据库（如创业失败案例库）的原始CSV]</w:t>
            </w:r>
          </w:p>
        </w:tc>
      </w:tr>
      <w:tr w14:paraId="1B7BD049">
        <w:tblPrEx>
          <w:tblCellMar>
            <w:top w:w="0" w:type="dxa"/>
            <w:left w:w="108" w:type="dxa"/>
            <w:bottom w:w="0" w:type="dxa"/>
            <w:right w:w="108" w:type="dxa"/>
          </w:tblCellMar>
        </w:tblPrEx>
        <w:trPr>
          <w:trHeight w:val="0" w:hRule="atLeast"/>
          <w:jc w:val="center"/>
        </w:trPr>
        <w:tc>
          <w:tcPr>
            <w:tcW w:w="2022" w:type="dxa"/>
            <w:tcBorders>
              <w:top w:val="nil"/>
              <w:left w:val="nil"/>
              <w:bottom w:val="nil"/>
              <w:right w:val="nil"/>
            </w:tcBorders>
            <w:vAlign w:val="center"/>
          </w:tcPr>
          <w:p w14:paraId="65105904">
            <w:pPr>
              <w:pStyle w:val="27"/>
              <w:keepNext/>
              <w:snapToGrid w:val="0"/>
              <w:spacing w:line="240" w:lineRule="auto"/>
              <w:ind w:left="0" w:leftChars="0" w:right="0" w:rightChars="0" w:firstLine="0" w:firstLineChars="0"/>
              <w:jc w:val="center"/>
            </w:pPr>
            <w:r>
              <w:rPr>
                <w:b/>
                <w:bCs/>
              </w:rPr>
              <w:t>批判性思维终审</w:t>
            </w:r>
          </w:p>
        </w:tc>
        <w:tc>
          <w:tcPr>
            <w:tcW w:w="3216" w:type="dxa"/>
            <w:tcBorders>
              <w:top w:val="nil"/>
              <w:left w:val="nil"/>
              <w:bottom w:val="nil"/>
              <w:right w:val="nil"/>
            </w:tcBorders>
            <w:vAlign w:val="center"/>
          </w:tcPr>
          <w:p w14:paraId="70CF10D6">
            <w:pPr>
              <w:pStyle w:val="27"/>
              <w:keepNext/>
              <w:snapToGrid w:val="0"/>
              <w:spacing w:line="240" w:lineRule="auto"/>
              <w:ind w:left="0" w:leftChars="0" w:right="0" w:rightChars="0" w:firstLine="0" w:firstLineChars="0"/>
              <w:jc w:val="left"/>
            </w:pPr>
            <w:r>
              <w:t>AI倾向于”平滑”争议，回避范式冲突</w:t>
            </w:r>
          </w:p>
        </w:tc>
        <w:tc>
          <w:tcPr>
            <w:tcW w:w="3216" w:type="dxa"/>
            <w:tcBorders>
              <w:top w:val="nil"/>
              <w:left w:val="nil"/>
              <w:bottom w:val="nil"/>
              <w:right w:val="nil"/>
            </w:tcBorders>
            <w:vAlign w:val="center"/>
          </w:tcPr>
          <w:p w14:paraId="1DB6AE25">
            <w:pPr>
              <w:pStyle w:val="27"/>
              <w:keepNext/>
              <w:snapToGrid w:val="0"/>
              <w:spacing w:line="240" w:lineRule="auto"/>
              <w:ind w:left="0" w:leftChars="0" w:right="0" w:rightChars="0" w:firstLine="0" w:firstLineChars="0"/>
              <w:jc w:val="left"/>
            </w:pPr>
            <w:r>
              <w:t>[需人工审查：识别3个反直觉悖论——如”过度训练感知力可能导致分析瘫痪”或”专家直觉在颠覆性创新中反而更不准确”]</w:t>
            </w:r>
          </w:p>
        </w:tc>
      </w:tr>
      <w:tr w14:paraId="52650447">
        <w:tblPrEx>
          <w:tblCellMar>
            <w:top w:w="0" w:type="dxa"/>
            <w:left w:w="108" w:type="dxa"/>
            <w:bottom w:w="0" w:type="dxa"/>
            <w:right w:w="108" w:type="dxa"/>
          </w:tblCellMar>
        </w:tblPrEx>
        <w:trPr>
          <w:trHeight w:val="0" w:hRule="atLeast"/>
          <w:jc w:val="center"/>
        </w:trPr>
        <w:tc>
          <w:tcPr>
            <w:tcW w:w="2022" w:type="dxa"/>
            <w:tcBorders>
              <w:top w:val="nil"/>
              <w:left w:val="nil"/>
              <w:bottom w:val="nil"/>
              <w:right w:val="nil"/>
            </w:tcBorders>
            <w:vAlign w:val="center"/>
          </w:tcPr>
          <w:p w14:paraId="61633738">
            <w:pPr>
              <w:pStyle w:val="27"/>
              <w:keepNext/>
              <w:snapToGrid w:val="0"/>
              <w:spacing w:line="240" w:lineRule="auto"/>
              <w:ind w:left="0" w:leftChars="0" w:right="0" w:rightChars="0" w:firstLine="0" w:firstLineChars="0"/>
              <w:jc w:val="center"/>
            </w:pPr>
            <w:r>
              <w:rPr>
                <w:b/>
                <w:bCs/>
              </w:rPr>
              <w:t>方法论细节</w:t>
            </w:r>
          </w:p>
        </w:tc>
        <w:tc>
          <w:tcPr>
            <w:tcW w:w="3216" w:type="dxa"/>
            <w:tcBorders>
              <w:top w:val="nil"/>
              <w:left w:val="nil"/>
              <w:bottom w:val="nil"/>
              <w:right w:val="nil"/>
            </w:tcBorders>
            <w:vAlign w:val="center"/>
          </w:tcPr>
          <w:p w14:paraId="26AF7996">
            <w:pPr>
              <w:pStyle w:val="27"/>
              <w:keepNext/>
              <w:snapToGrid w:val="0"/>
              <w:spacing w:line="240" w:lineRule="auto"/>
              <w:ind w:left="0" w:leftChars="0" w:right="0" w:rightChars="0" w:firstLine="0" w:firstLineChars="0"/>
              <w:jc w:val="left"/>
            </w:pPr>
            <w:r>
              <w:t>统计方法的微妙之处（如信噪比计算中的基线校正）可能超出当前AI能力</w:t>
            </w:r>
          </w:p>
        </w:tc>
        <w:tc>
          <w:tcPr>
            <w:tcW w:w="3216" w:type="dxa"/>
            <w:tcBorders>
              <w:top w:val="nil"/>
              <w:left w:val="nil"/>
              <w:bottom w:val="nil"/>
              <w:right w:val="nil"/>
            </w:tcBorders>
            <w:vAlign w:val="center"/>
          </w:tcPr>
          <w:p w14:paraId="6D2F5E4A">
            <w:pPr>
              <w:pStyle w:val="27"/>
              <w:keepNext/>
              <w:snapToGrid w:val="0"/>
              <w:spacing w:line="240" w:lineRule="auto"/>
              <w:ind w:left="0" w:leftChars="0" w:right="0" w:rightChars="0" w:firstLine="0" w:firstLineChars="0"/>
              <w:jc w:val="left"/>
            </w:pPr>
            <w:r>
              <w:t>[需方法学家审核：关于”直觉准确率”统计路径的合理性，建议采用信号检测论（SDT）的d’指标替代简单百分比]</w:t>
            </w:r>
          </w:p>
        </w:tc>
      </w:tr>
      <w:tr w14:paraId="6CA3A987">
        <w:trPr>
          <w:trHeight w:val="0" w:hRule="atLeast"/>
          <w:jc w:val="center"/>
        </w:trPr>
        <w:tc>
          <w:tcPr>
            <w:tcW w:w="2022" w:type="dxa"/>
            <w:tcBorders>
              <w:top w:val="nil"/>
              <w:left w:val="nil"/>
              <w:bottom w:val="single" w:color="auto" w:sz="12" w:space="0"/>
              <w:right w:val="nil"/>
            </w:tcBorders>
            <w:vAlign w:val="center"/>
          </w:tcPr>
          <w:p w14:paraId="33A8F482">
            <w:pPr>
              <w:pStyle w:val="27"/>
              <w:keepNext/>
              <w:snapToGrid w:val="0"/>
              <w:spacing w:line="240" w:lineRule="auto"/>
              <w:ind w:left="0" w:leftChars="0" w:right="0" w:rightChars="0" w:firstLine="0" w:firstLineChars="0"/>
              <w:jc w:val="center"/>
            </w:pPr>
            <w:r>
              <w:rPr>
                <w:b/>
                <w:bCs/>
              </w:rPr>
              <w:t>伦理与利益冲突</w:t>
            </w:r>
          </w:p>
        </w:tc>
        <w:tc>
          <w:tcPr>
            <w:tcW w:w="3216" w:type="dxa"/>
            <w:tcBorders>
              <w:top w:val="nil"/>
              <w:left w:val="nil"/>
              <w:bottom w:val="single" w:color="auto" w:sz="12" w:space="0"/>
              <w:right w:val="nil"/>
            </w:tcBorders>
            <w:vAlign w:val="center"/>
          </w:tcPr>
          <w:p w14:paraId="64BA7E8A">
            <w:pPr>
              <w:pStyle w:val="27"/>
              <w:keepNext/>
              <w:snapToGrid w:val="0"/>
              <w:spacing w:line="240" w:lineRule="auto"/>
              <w:ind w:left="0" w:leftChars="0" w:right="0" w:rightChars="0" w:firstLine="0" w:firstLineChars="0"/>
              <w:jc w:val="left"/>
            </w:pPr>
            <w:r>
              <w:t>训练体系可能隐含设计者的认知偏见（如过度依赖身体信号）</w:t>
            </w:r>
          </w:p>
        </w:tc>
        <w:tc>
          <w:tcPr>
            <w:tcW w:w="3216" w:type="dxa"/>
            <w:tcBorders>
              <w:top w:val="nil"/>
              <w:left w:val="nil"/>
              <w:bottom w:val="single" w:color="auto" w:sz="12" w:space="0"/>
              <w:right w:val="nil"/>
            </w:tcBorders>
            <w:vAlign w:val="center"/>
          </w:tcPr>
          <w:p w14:paraId="7C3883A1">
            <w:pPr>
              <w:pStyle w:val="27"/>
              <w:keepNext/>
              <w:snapToGrid w:val="0"/>
              <w:spacing w:line="240" w:lineRule="auto"/>
              <w:ind w:left="0" w:leftChars="0" w:right="0" w:rightChars="0" w:firstLine="0" w:firstLineChars="0"/>
              <w:jc w:val="left"/>
            </w:pPr>
            <w:r>
              <w:t>[需生成研究者立场声明：本体系设计者持有”具身认知”偏向，可能低估纯粹分析方法的适用场景]</w:t>
            </w:r>
          </w:p>
        </w:tc>
      </w:tr>
      <w:bookmarkEnd w:id="18"/>
    </w:tbl>
    <w:p w14:paraId="5A6CF7A8">
      <w:pPr>
        <w:pStyle w:val="5"/>
      </w:pPr>
      <w:bookmarkStart w:id="19" w:name="反直觉悖论识别paradox-identification"/>
      <w:r>
        <w:t>6.2 反直觉悖论识别（Paradox Identification）</w:t>
      </w:r>
    </w:p>
    <w:p w14:paraId="7836C2B8">
      <w:pPr>
        <w:numPr>
          <w:ilvl w:val="0"/>
          <w:numId w:val="3"/>
        </w:numPr>
      </w:pPr>
      <w:r>
        <w:rPr>
          <w:b/>
          <w:bCs/>
        </w:rPr>
        <w:t>感知力过载悖论</w:t>
      </w:r>
      <w:r>
        <w:t>：过度提升内感受敏感度可能导致</w:t>
      </w:r>
      <w:r>
        <w:rPr>
          <w:b/>
          <w:bCs/>
        </w:rPr>
        <w:t>躯体化焦虑</w:t>
      </w:r>
      <w:r>
        <w:t>（Somatic Anxiety）增加，反而降低决策质量。解决方案：训练中必须包含”去中心化”（Decentering）技术，防止过度认同身体信号。</w:t>
      </w:r>
    </w:p>
    <w:p w14:paraId="772DD6B0">
      <w:pPr>
        <w:numPr>
          <w:ilvl w:val="0"/>
          <w:numId w:val="3"/>
        </w:numPr>
      </w:pPr>
      <w:r>
        <w:rPr>
          <w:b/>
          <w:bCs/>
        </w:rPr>
        <w:t>专家直觉失灵悖论</w:t>
      </w:r>
      <w:r>
        <w:t>：在</w:t>
      </w:r>
      <w:r>
        <w:rPr>
          <w:b/>
          <w:bCs/>
        </w:rPr>
        <w:t>非线性颠覆情境</w:t>
      </w:r>
      <w:r>
        <w:t>（如技术范式转换）中，基于历史压缩经验的模式识别可能产生系统性误判（类似”柯达胶卷”效应）。解决方案：体系中需设置”反模式识别”训练，强制识别与经验相悖的信号。</w:t>
      </w:r>
    </w:p>
    <w:p w14:paraId="79DAD6F8">
      <w:pPr>
        <w:numPr>
          <w:ilvl w:val="0"/>
          <w:numId w:val="3"/>
        </w:numPr>
      </w:pPr>
      <w:r>
        <w:rPr>
          <w:b/>
          <w:bCs/>
        </w:rPr>
        <w:t>自我实现预言悖论</w:t>
      </w:r>
      <w:r>
        <w:t>：合伙人评估中的直觉判断可能通过</w:t>
      </w:r>
      <w:r>
        <w:rPr>
          <w:b/>
          <w:bCs/>
        </w:rPr>
        <w:t>行为确证</w:t>
      </w:r>
      <w:r>
        <w:t>（Behavioral Confirmation）机制塑造对方行为，从而虚假”验证”初始直觉。解决方案：引入”盲评”机制与第三方三角验证。</w:t>
      </w:r>
    </w:p>
    <w:p w14:paraId="767611C2">
      <w:r>
        <w:pict>
          <v:rect id="_x0000_i1034" o:spt="1" style="height:1.5pt;width:0pt;" coordsize="21600,21600" o:hr="t" o:hrstd="t" o:hralign="center">
            <v:path/>
            <v:fill focussize="0,0"/>
            <v:stroke/>
            <v:imagedata o:title=""/>
            <o:lock v:ext="edit"/>
            <w10:wrap type="none"/>
            <w10:anchorlock/>
          </v:rect>
        </w:pict>
      </w:r>
    </w:p>
    <w:bookmarkEnd w:id="17"/>
    <w:bookmarkEnd w:id="19"/>
    <w:p w14:paraId="02C63778">
      <w:pPr>
        <w:pStyle w:val="4"/>
      </w:pPr>
      <w:bookmarkStart w:id="20" w:name="X3005019d4127170ba4b783d5e6e68ff4c038014"/>
      <w:r>
        <w:t>7. 三层次训练体系的技术规范与效度分析（Technical Specifications &amp; Validity Analysis）</w:t>
      </w:r>
    </w:p>
    <w:p w14:paraId="0E24D00E">
      <w:pPr>
        <w:pStyle w:val="5"/>
      </w:pPr>
      <w:bookmarkStart w:id="21" w:name="层次一觉察力awareness-layer技术细节与神经机制"/>
      <w:r>
        <w:t>7.1 层次一：觉察力（Awareness Layer）——技术细节与神经机制</w:t>
      </w:r>
    </w:p>
    <w:p w14:paraId="78F9E7A7">
      <w:pPr>
        <w:pStyle w:val="6"/>
      </w:pPr>
      <w:bookmarkStart w:id="22" w:name="身体扫描冥想的参数优化"/>
      <w:r>
        <w:t>7.1.1 身体扫描冥想的参数优化</w:t>
      </w:r>
    </w:p>
    <w:p w14:paraId="5A744AF4">
      <w:pPr>
        <w:pStyle w:val="26"/>
      </w:pPr>
      <w:r>
        <w:t>基于Farb et al. (2013)与Santarnecchi et al. (2016)的神经影像研究，标准身体扫描（Body Scan Meditation）的技术参数应遵循以下循证规范：</w:t>
      </w:r>
    </w:p>
    <w:p w14:paraId="1E361541">
      <w:pPr>
        <w:pStyle w:val="3"/>
      </w:pPr>
      <w:r>
        <w:rPr>
          <w:b/>
          <w:bCs/>
        </w:rPr>
        <w:t>神经生物学基础</w:t>
      </w:r>
      <w:r>
        <w:br w:type="textWrapping"/>
      </w:r>
      <w:r>
        <w:t>岛叶皮层（Insular Cortex）作为内感受（Interoception）的主要整合区域，其前部（Anterior Insula）参与主观感受生成，后部（Posterior Insula）接收初级内脏感觉输入。8周正念训练可增强岛叶与背侧前扣带回（dACC）的功能连接，提升</w:t>
      </w:r>
      <w:r>
        <w:rPr>
          <w:b/>
          <w:bCs/>
        </w:rPr>
        <w:t>内感受准确性</w:t>
      </w:r>
      <w:r>
        <w:t>（Interoceptive Accuracy, IAc）。</w:t>
      </w:r>
    </w:p>
    <w:p w14:paraId="3C532A3A">
      <w:pPr>
        <w:pStyle w:val="3"/>
        <w:spacing w:after="0"/>
        <w:rPr>
          <w:rFonts w:hint="default" w:ascii="Arial" w:hAnsi="Arial" w:cs="Arial"/>
          <w:b/>
          <w:bCs/>
          <w:sz w:val="16"/>
          <w:szCs w:val="16"/>
        </w:rPr>
      </w:pPr>
      <w:r>
        <w:rPr>
          <w:b/>
          <w:bCs/>
        </w:rPr>
        <w:t>操作参数</w:t>
      </w:r>
      <w:r>
        <w:br w:type="textWrapping"/>
      </w:r>
    </w:p>
    <w:tbl>
      <w:tblPr>
        <w:tblW w:w="926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1320"/>
        <w:gridCol w:w="2885"/>
        <w:gridCol w:w="2890"/>
        <w:gridCol w:w="2173"/>
      </w:tblGrid>
      <w:tr w14:paraId="595F4B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0" w:hRule="atLeast"/>
          <w:tblHeader/>
          <w:jc w:val="center"/>
        </w:trPr>
        <w:tc>
          <w:tcPr>
            <w:tcW w:w="1320" w:type="dxa"/>
            <w:tcBorders>
              <w:top w:val="single" w:color="auto" w:sz="12" w:space="0"/>
              <w:left w:val="nil"/>
              <w:bottom w:val="single" w:color="auto" w:sz="4" w:space="0"/>
              <w:right w:val="nil"/>
            </w:tcBorders>
            <w:shd w:val="clear" w:color="auto" w:fill="F0F0F0"/>
            <w:tcMar>
              <w:top w:w="100" w:type="dxa"/>
              <w:left w:w="100" w:type="dxa"/>
              <w:bottom w:w="100" w:type="dxa"/>
              <w:right w:w="100" w:type="dxa"/>
            </w:tcMar>
            <w:vAlign w:val="center"/>
          </w:tcPr>
          <w:p w14:paraId="5D747E5C">
            <w:pPr>
              <w:keepNext/>
              <w:snapToGrid w:val="0"/>
              <w:spacing w:line="240" w:lineRule="auto"/>
              <w:ind w:left="0" w:leftChars="0" w:right="0" w:rightChars="0" w:firstLine="0" w:firstLineChars="0"/>
              <w:jc w:val="center"/>
              <w:rPr>
                <w:rFonts w:hint="default" w:ascii="Arial" w:hAnsi="Arial" w:cs="Arial"/>
                <w:b/>
                <w:bCs/>
              </w:rPr>
            </w:pPr>
            <w:r>
              <w:rPr>
                <w:rFonts w:hint="default" w:ascii="Arial" w:hAnsi="Arial" w:cs="Arial"/>
                <w:b/>
                <w:bCs/>
              </w:rPr>
              <w:t>参数维度</w:t>
            </w:r>
          </w:p>
        </w:tc>
        <w:tc>
          <w:tcPr>
            <w:tcW w:w="2885" w:type="dxa"/>
            <w:tcBorders>
              <w:top w:val="single" w:color="auto" w:sz="12" w:space="0"/>
              <w:left w:val="nil"/>
              <w:bottom w:val="single" w:color="auto" w:sz="4" w:space="0"/>
              <w:right w:val="nil"/>
            </w:tcBorders>
            <w:shd w:val="clear" w:color="auto" w:fill="F0F0F0"/>
            <w:tcMar>
              <w:top w:w="100" w:type="dxa"/>
              <w:left w:w="100" w:type="dxa"/>
              <w:bottom w:w="100" w:type="dxa"/>
              <w:right w:w="100" w:type="dxa"/>
            </w:tcMar>
            <w:vAlign w:val="center"/>
          </w:tcPr>
          <w:p w14:paraId="7CD2F018">
            <w:pPr>
              <w:keepNext/>
              <w:snapToGrid w:val="0"/>
              <w:spacing w:line="240" w:lineRule="auto"/>
              <w:ind w:left="0" w:leftChars="0" w:right="0" w:rightChars="0" w:firstLine="0" w:firstLineChars="0"/>
              <w:jc w:val="center"/>
              <w:rPr>
                <w:rFonts w:hint="default" w:ascii="Arial" w:hAnsi="Arial" w:cs="Arial"/>
                <w:b/>
                <w:bCs/>
              </w:rPr>
            </w:pPr>
            <w:r>
              <w:rPr>
                <w:rFonts w:hint="default" w:ascii="Arial" w:hAnsi="Arial" w:cs="Arial"/>
                <w:b/>
                <w:bCs/>
              </w:rPr>
              <w:t>标准规范</w:t>
            </w:r>
          </w:p>
        </w:tc>
        <w:tc>
          <w:tcPr>
            <w:tcW w:w="2890" w:type="dxa"/>
            <w:tcBorders>
              <w:top w:val="single" w:color="auto" w:sz="12" w:space="0"/>
              <w:left w:val="nil"/>
              <w:bottom w:val="single" w:color="auto" w:sz="4" w:space="0"/>
              <w:right w:val="nil"/>
            </w:tcBorders>
            <w:shd w:val="clear" w:color="auto" w:fill="F0F0F0"/>
            <w:tcMar>
              <w:top w:w="100" w:type="dxa"/>
              <w:left w:w="100" w:type="dxa"/>
              <w:bottom w:w="100" w:type="dxa"/>
              <w:right w:w="100" w:type="dxa"/>
            </w:tcMar>
            <w:vAlign w:val="center"/>
          </w:tcPr>
          <w:p w14:paraId="73FD0C39">
            <w:pPr>
              <w:keepNext/>
              <w:snapToGrid w:val="0"/>
              <w:spacing w:line="240" w:lineRule="auto"/>
              <w:ind w:left="0" w:leftChars="0" w:right="0" w:rightChars="0" w:firstLine="0" w:firstLineChars="0"/>
              <w:jc w:val="center"/>
              <w:rPr>
                <w:rFonts w:hint="default" w:ascii="Arial" w:hAnsi="Arial" w:cs="Arial"/>
                <w:b/>
                <w:bCs/>
              </w:rPr>
            </w:pPr>
            <w:r>
              <w:rPr>
                <w:rFonts w:hint="default" w:ascii="Arial" w:hAnsi="Arial" w:cs="Arial"/>
                <w:b/>
                <w:bCs/>
              </w:rPr>
              <w:t>神经机制依据</w:t>
            </w:r>
          </w:p>
        </w:tc>
        <w:tc>
          <w:tcPr>
            <w:tcW w:w="2173" w:type="dxa"/>
            <w:tcBorders>
              <w:top w:val="single" w:color="auto" w:sz="12" w:space="0"/>
              <w:left w:val="nil"/>
              <w:bottom w:val="single" w:color="auto" w:sz="4" w:space="0"/>
              <w:right w:val="nil"/>
            </w:tcBorders>
            <w:shd w:val="clear" w:color="auto" w:fill="F0F0F0"/>
            <w:tcMar>
              <w:top w:w="100" w:type="dxa"/>
              <w:left w:w="100" w:type="dxa"/>
              <w:bottom w:w="100" w:type="dxa"/>
              <w:right w:w="100" w:type="dxa"/>
            </w:tcMar>
            <w:vAlign w:val="center"/>
          </w:tcPr>
          <w:p w14:paraId="455E7FBA">
            <w:pPr>
              <w:keepNext/>
              <w:snapToGrid w:val="0"/>
              <w:spacing w:line="240" w:lineRule="auto"/>
              <w:ind w:left="0" w:leftChars="0" w:right="0" w:rightChars="0" w:firstLine="0" w:firstLineChars="0"/>
              <w:jc w:val="center"/>
              <w:rPr>
                <w:rFonts w:hint="default" w:ascii="Arial" w:hAnsi="Arial" w:cs="Arial"/>
                <w:b/>
                <w:bCs/>
              </w:rPr>
            </w:pPr>
            <w:r>
              <w:rPr>
                <w:rFonts w:hint="default" w:ascii="Arial" w:hAnsi="Arial" w:cs="Arial"/>
                <w:b/>
                <w:bCs/>
              </w:rPr>
              <w:t>常见误区修正</w:t>
            </w:r>
          </w:p>
        </w:tc>
      </w:tr>
      <w:tr w14:paraId="00E320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0" w:hRule="atLeast"/>
          <w:jc w:val="center"/>
        </w:trPr>
        <w:tc>
          <w:tcPr>
            <w:tcW w:w="1320" w:type="dxa"/>
            <w:tcBorders>
              <w:top w:val="single" w:color="auto" w:sz="4" w:space="0"/>
              <w:left w:val="nil"/>
              <w:bottom w:val="nil"/>
              <w:right w:val="nil"/>
            </w:tcBorders>
            <w:tcMar>
              <w:top w:w="100" w:type="dxa"/>
              <w:left w:w="100" w:type="dxa"/>
              <w:bottom w:w="100" w:type="dxa"/>
              <w:right w:w="100" w:type="dxa"/>
            </w:tcMar>
            <w:vAlign w:val="center"/>
          </w:tcPr>
          <w:p w14:paraId="42E25FD8">
            <w:pPr>
              <w:keepNext/>
              <w:snapToGrid w:val="0"/>
              <w:spacing w:line="240" w:lineRule="auto"/>
              <w:ind w:left="0" w:leftChars="0" w:right="0" w:rightChars="0" w:firstLine="0" w:firstLineChars="0"/>
              <w:jc w:val="left"/>
              <w:rPr>
                <w:rFonts w:hint="default" w:ascii="Arial" w:hAnsi="Arial" w:cs="Arial"/>
              </w:rPr>
            </w:pPr>
            <w:r>
              <w:rPr>
                <w:rFonts w:hint="default" w:ascii="Arial" w:hAnsi="Arial" w:cs="Arial"/>
              </w:rPr>
              <w:t>体位</w:t>
            </w:r>
          </w:p>
        </w:tc>
        <w:tc>
          <w:tcPr>
            <w:tcW w:w="2885" w:type="dxa"/>
            <w:tcBorders>
              <w:top w:val="single" w:color="auto" w:sz="4" w:space="0"/>
              <w:left w:val="nil"/>
              <w:bottom w:val="nil"/>
              <w:right w:val="nil"/>
            </w:tcBorders>
            <w:tcMar>
              <w:top w:w="100" w:type="dxa"/>
              <w:left w:w="100" w:type="dxa"/>
              <w:bottom w:w="100" w:type="dxa"/>
              <w:right w:w="100" w:type="dxa"/>
            </w:tcMar>
            <w:vAlign w:val="center"/>
          </w:tcPr>
          <w:p w14:paraId="752E9471">
            <w:pPr>
              <w:keepNext/>
              <w:snapToGrid w:val="0"/>
              <w:spacing w:line="240" w:lineRule="auto"/>
              <w:ind w:left="0" w:leftChars="0" w:right="0" w:rightChars="0" w:firstLine="0" w:firstLineChars="0"/>
              <w:jc w:val="left"/>
              <w:rPr>
                <w:rFonts w:hint="default" w:ascii="Arial" w:hAnsi="Arial" w:cs="Arial"/>
              </w:rPr>
            </w:pPr>
            <w:r>
              <w:rPr>
                <w:rFonts w:hint="default" w:ascii="Arial" w:hAnsi="Arial" w:cs="Arial"/>
              </w:rPr>
              <w:t>坐姿（脊柱直立）优于卧姿</w:t>
            </w:r>
          </w:p>
        </w:tc>
        <w:tc>
          <w:tcPr>
            <w:tcW w:w="2890" w:type="dxa"/>
            <w:tcBorders>
              <w:top w:val="single" w:color="auto" w:sz="4" w:space="0"/>
              <w:left w:val="nil"/>
              <w:bottom w:val="nil"/>
              <w:right w:val="nil"/>
            </w:tcBorders>
            <w:tcMar>
              <w:top w:w="100" w:type="dxa"/>
              <w:left w:w="100" w:type="dxa"/>
              <w:bottom w:w="100" w:type="dxa"/>
              <w:right w:w="100" w:type="dxa"/>
            </w:tcMar>
            <w:vAlign w:val="center"/>
          </w:tcPr>
          <w:p w14:paraId="4651823B">
            <w:pPr>
              <w:keepNext/>
              <w:snapToGrid w:val="0"/>
              <w:spacing w:line="240" w:lineRule="auto"/>
              <w:ind w:left="0" w:leftChars="0" w:right="0" w:rightChars="0" w:firstLine="0" w:firstLineChars="0"/>
              <w:jc w:val="left"/>
              <w:rPr>
                <w:rFonts w:hint="default" w:ascii="Arial" w:hAnsi="Arial" w:cs="Arial"/>
              </w:rPr>
            </w:pPr>
            <w:r>
              <w:rPr>
                <w:rFonts w:hint="default" w:ascii="Arial" w:hAnsi="Arial" w:cs="Arial"/>
              </w:rPr>
              <w:t>维持警觉性（Arousal）与副交感神经活动的平衡</w:t>
            </w:r>
          </w:p>
        </w:tc>
        <w:tc>
          <w:tcPr>
            <w:tcW w:w="2173" w:type="dxa"/>
            <w:tcBorders>
              <w:top w:val="single" w:color="auto" w:sz="4" w:space="0"/>
              <w:left w:val="nil"/>
              <w:bottom w:val="nil"/>
              <w:right w:val="nil"/>
            </w:tcBorders>
            <w:tcMar>
              <w:top w:w="100" w:type="dxa"/>
              <w:left w:w="100" w:type="dxa"/>
              <w:bottom w:w="100" w:type="dxa"/>
              <w:right w:w="100" w:type="dxa"/>
            </w:tcMar>
            <w:vAlign w:val="center"/>
          </w:tcPr>
          <w:p w14:paraId="16059FC6">
            <w:pPr>
              <w:keepNext/>
              <w:snapToGrid w:val="0"/>
              <w:spacing w:line="240" w:lineRule="auto"/>
              <w:ind w:left="0" w:leftChars="0" w:right="0" w:rightChars="0" w:firstLine="0" w:firstLineChars="0"/>
              <w:jc w:val="left"/>
              <w:rPr>
                <w:rFonts w:hint="default" w:ascii="Arial" w:hAnsi="Arial" w:cs="Arial"/>
              </w:rPr>
            </w:pPr>
            <w:r>
              <w:rPr>
                <w:rFonts w:hint="default" w:ascii="Arial" w:hAnsi="Arial" w:cs="Arial"/>
              </w:rPr>
              <w:t>卧姿易诱发睡眠，降低岛叶激活水平</w:t>
            </w:r>
          </w:p>
        </w:tc>
      </w:tr>
      <w:tr w14:paraId="1584A5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0" w:hRule="atLeast"/>
          <w:jc w:val="center"/>
        </w:trPr>
        <w:tc>
          <w:tcPr>
            <w:tcW w:w="1320" w:type="dxa"/>
            <w:tcBorders>
              <w:top w:val="nil"/>
              <w:left w:val="nil"/>
              <w:bottom w:val="nil"/>
              <w:right w:val="nil"/>
            </w:tcBorders>
            <w:tcMar>
              <w:top w:w="100" w:type="dxa"/>
              <w:left w:w="100" w:type="dxa"/>
              <w:bottom w:w="100" w:type="dxa"/>
              <w:right w:w="100" w:type="dxa"/>
            </w:tcMar>
            <w:vAlign w:val="center"/>
          </w:tcPr>
          <w:p w14:paraId="2E281549">
            <w:pPr>
              <w:keepNext/>
              <w:snapToGrid w:val="0"/>
              <w:spacing w:line="240" w:lineRule="auto"/>
              <w:ind w:left="0" w:leftChars="0" w:right="0" w:rightChars="0" w:firstLine="0" w:firstLineChars="0"/>
              <w:jc w:val="left"/>
              <w:rPr>
                <w:rFonts w:hint="default" w:ascii="Arial" w:hAnsi="Arial" w:cs="Arial"/>
              </w:rPr>
            </w:pPr>
            <w:r>
              <w:rPr>
                <w:rFonts w:hint="default" w:ascii="Arial" w:hAnsi="Arial" w:cs="Arial"/>
              </w:rPr>
              <w:t>注意力顺序</w:t>
            </w:r>
          </w:p>
        </w:tc>
        <w:tc>
          <w:tcPr>
            <w:tcW w:w="2885" w:type="dxa"/>
            <w:tcBorders>
              <w:top w:val="nil"/>
              <w:left w:val="nil"/>
              <w:bottom w:val="nil"/>
              <w:right w:val="nil"/>
            </w:tcBorders>
            <w:tcMar>
              <w:top w:w="100" w:type="dxa"/>
              <w:left w:w="100" w:type="dxa"/>
              <w:bottom w:w="100" w:type="dxa"/>
              <w:right w:w="100" w:type="dxa"/>
            </w:tcMar>
            <w:vAlign w:val="center"/>
          </w:tcPr>
          <w:p w14:paraId="2B43DC00">
            <w:pPr>
              <w:keepNext/>
              <w:snapToGrid w:val="0"/>
              <w:spacing w:line="240" w:lineRule="auto"/>
              <w:ind w:left="0" w:leftChars="0" w:right="0" w:rightChars="0" w:firstLine="0" w:firstLineChars="0"/>
              <w:jc w:val="left"/>
              <w:rPr>
                <w:rFonts w:hint="default" w:ascii="Arial" w:hAnsi="Arial" w:cs="Arial"/>
              </w:rPr>
            </w:pPr>
            <w:r>
              <w:rPr>
                <w:rFonts w:hint="default" w:ascii="Arial" w:hAnsi="Arial" w:cs="Arial"/>
              </w:rPr>
              <w:t>从头到足（Top - down）或从足到头（Bottom - up）系统化扫描</w:t>
            </w:r>
          </w:p>
        </w:tc>
        <w:tc>
          <w:tcPr>
            <w:tcW w:w="2890" w:type="dxa"/>
            <w:tcBorders>
              <w:top w:val="nil"/>
              <w:left w:val="nil"/>
              <w:bottom w:val="nil"/>
              <w:right w:val="nil"/>
            </w:tcBorders>
            <w:tcMar>
              <w:top w:w="100" w:type="dxa"/>
              <w:left w:w="100" w:type="dxa"/>
              <w:bottom w:w="100" w:type="dxa"/>
              <w:right w:w="100" w:type="dxa"/>
            </w:tcMar>
            <w:vAlign w:val="center"/>
          </w:tcPr>
          <w:p w14:paraId="3F52E58A">
            <w:pPr>
              <w:keepNext/>
              <w:snapToGrid w:val="0"/>
              <w:spacing w:line="240" w:lineRule="auto"/>
              <w:ind w:left="0" w:leftChars="0" w:right="0" w:rightChars="0" w:firstLine="0" w:firstLineChars="0"/>
              <w:jc w:val="left"/>
              <w:rPr>
                <w:rFonts w:hint="default" w:ascii="Arial" w:hAnsi="Arial" w:cs="Arial"/>
              </w:rPr>
            </w:pPr>
            <w:r>
              <w:rPr>
                <w:rFonts w:hint="default" w:ascii="Arial" w:hAnsi="Arial" w:cs="Arial"/>
              </w:rPr>
              <w:t>遵循体感侏儒图（Cortical Homunculus）的拓扑映射</w:t>
            </w:r>
          </w:p>
        </w:tc>
        <w:tc>
          <w:tcPr>
            <w:tcW w:w="2173" w:type="dxa"/>
            <w:tcBorders>
              <w:top w:val="nil"/>
              <w:left w:val="nil"/>
              <w:bottom w:val="nil"/>
              <w:right w:val="nil"/>
            </w:tcBorders>
            <w:tcMar>
              <w:top w:w="100" w:type="dxa"/>
              <w:left w:w="100" w:type="dxa"/>
              <w:bottom w:w="100" w:type="dxa"/>
              <w:right w:w="100" w:type="dxa"/>
            </w:tcMar>
            <w:vAlign w:val="center"/>
          </w:tcPr>
          <w:p w14:paraId="15402E58">
            <w:pPr>
              <w:keepNext/>
              <w:snapToGrid w:val="0"/>
              <w:spacing w:line="240" w:lineRule="auto"/>
              <w:ind w:left="0" w:leftChars="0" w:right="0" w:rightChars="0" w:firstLine="0" w:firstLineChars="0"/>
              <w:jc w:val="left"/>
              <w:rPr>
                <w:rFonts w:hint="default" w:ascii="Arial" w:hAnsi="Arial" w:cs="Arial"/>
              </w:rPr>
            </w:pPr>
            <w:r>
              <w:rPr>
                <w:rFonts w:hint="default" w:ascii="Arial" w:hAnsi="Arial" w:cs="Arial"/>
              </w:rPr>
              <w:t>随机扫描降低躯体定位精度</w:t>
            </w:r>
          </w:p>
        </w:tc>
      </w:tr>
      <w:tr w14:paraId="3AFC84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0" w:hRule="atLeast"/>
          <w:jc w:val="center"/>
        </w:trPr>
        <w:tc>
          <w:tcPr>
            <w:tcW w:w="1320" w:type="dxa"/>
            <w:tcBorders>
              <w:top w:val="nil"/>
              <w:left w:val="nil"/>
              <w:bottom w:val="nil"/>
              <w:right w:val="nil"/>
            </w:tcBorders>
            <w:tcMar>
              <w:top w:w="100" w:type="dxa"/>
              <w:left w:w="100" w:type="dxa"/>
              <w:bottom w:w="100" w:type="dxa"/>
              <w:right w:w="100" w:type="dxa"/>
            </w:tcMar>
            <w:vAlign w:val="center"/>
          </w:tcPr>
          <w:p w14:paraId="1A1C4B87">
            <w:pPr>
              <w:keepNext/>
              <w:snapToGrid w:val="0"/>
              <w:spacing w:line="240" w:lineRule="auto"/>
              <w:ind w:left="0" w:leftChars="0" w:right="0" w:rightChars="0" w:firstLine="0" w:firstLineChars="0"/>
              <w:jc w:val="left"/>
              <w:rPr>
                <w:rFonts w:hint="default" w:ascii="Arial" w:hAnsi="Arial" w:cs="Arial"/>
              </w:rPr>
            </w:pPr>
            <w:r>
              <w:rPr>
                <w:rFonts w:hint="default" w:ascii="Arial" w:hAnsi="Arial" w:cs="Arial"/>
              </w:rPr>
              <w:t>停留时长</w:t>
            </w:r>
          </w:p>
        </w:tc>
        <w:tc>
          <w:tcPr>
            <w:tcW w:w="2885" w:type="dxa"/>
            <w:tcBorders>
              <w:top w:val="nil"/>
              <w:left w:val="nil"/>
              <w:bottom w:val="nil"/>
              <w:right w:val="nil"/>
            </w:tcBorders>
            <w:tcMar>
              <w:top w:w="100" w:type="dxa"/>
              <w:left w:w="100" w:type="dxa"/>
              <w:bottom w:w="100" w:type="dxa"/>
              <w:right w:w="100" w:type="dxa"/>
            </w:tcMar>
            <w:vAlign w:val="center"/>
          </w:tcPr>
          <w:p w14:paraId="76ECC47A">
            <w:pPr>
              <w:keepNext/>
              <w:snapToGrid w:val="0"/>
              <w:spacing w:line="240" w:lineRule="auto"/>
              <w:ind w:left="0" w:leftChars="0" w:right="0" w:rightChars="0" w:firstLine="0" w:firstLineChars="0"/>
              <w:jc w:val="left"/>
              <w:rPr>
                <w:rFonts w:hint="default" w:ascii="Arial" w:hAnsi="Arial" w:cs="Arial"/>
              </w:rPr>
            </w:pPr>
            <w:r>
              <w:rPr>
                <w:rFonts w:hint="default" w:ascii="Arial" w:hAnsi="Arial" w:cs="Arial"/>
              </w:rPr>
              <w:t>每区域30 - 60秒，总时长10 - 20分钟</w:t>
            </w:r>
          </w:p>
        </w:tc>
        <w:tc>
          <w:tcPr>
            <w:tcW w:w="2890" w:type="dxa"/>
            <w:tcBorders>
              <w:top w:val="nil"/>
              <w:left w:val="nil"/>
              <w:bottom w:val="nil"/>
              <w:right w:val="nil"/>
            </w:tcBorders>
            <w:tcMar>
              <w:top w:w="100" w:type="dxa"/>
              <w:left w:w="100" w:type="dxa"/>
              <w:bottom w:w="100" w:type="dxa"/>
              <w:right w:w="100" w:type="dxa"/>
            </w:tcMar>
            <w:vAlign w:val="center"/>
          </w:tcPr>
          <w:p w14:paraId="5E78CBA7">
            <w:pPr>
              <w:keepNext/>
              <w:snapToGrid w:val="0"/>
              <w:spacing w:line="240" w:lineRule="auto"/>
              <w:ind w:left="0" w:leftChars="0" w:right="0" w:rightChars="0" w:firstLine="0" w:firstLineChars="0"/>
              <w:jc w:val="left"/>
              <w:rPr>
                <w:rFonts w:hint="default" w:ascii="Arial" w:hAnsi="Arial" w:cs="Arial"/>
              </w:rPr>
            </w:pPr>
            <w:r>
              <w:rPr>
                <w:rFonts w:hint="default" w:ascii="Arial" w:hAnsi="Arial" w:cs="Arial"/>
              </w:rPr>
              <w:t>允许足够时间进行感觉信号的皮层编码</w:t>
            </w:r>
          </w:p>
        </w:tc>
        <w:tc>
          <w:tcPr>
            <w:tcW w:w="2173" w:type="dxa"/>
            <w:tcBorders>
              <w:top w:val="nil"/>
              <w:left w:val="nil"/>
              <w:bottom w:val="nil"/>
              <w:right w:val="nil"/>
            </w:tcBorders>
            <w:tcMar>
              <w:top w:w="100" w:type="dxa"/>
              <w:left w:w="100" w:type="dxa"/>
              <w:bottom w:w="100" w:type="dxa"/>
              <w:right w:w="100" w:type="dxa"/>
            </w:tcMar>
            <w:vAlign w:val="center"/>
          </w:tcPr>
          <w:p w14:paraId="430350EB">
            <w:pPr>
              <w:keepNext/>
              <w:snapToGrid w:val="0"/>
              <w:spacing w:line="240" w:lineRule="auto"/>
              <w:ind w:left="0" w:leftChars="0" w:right="0" w:rightChars="0" w:firstLine="0" w:firstLineChars="0"/>
              <w:jc w:val="left"/>
              <w:rPr>
                <w:rFonts w:hint="default" w:ascii="Arial" w:hAnsi="Arial" w:cs="Arial"/>
              </w:rPr>
            </w:pPr>
            <w:r>
              <w:rPr>
                <w:rFonts w:hint="default" w:ascii="Arial" w:hAnsi="Arial" w:cs="Arial"/>
              </w:rPr>
              <w:t>过短（&lt;20秒）无法激活岛叶整合</w:t>
            </w:r>
          </w:p>
        </w:tc>
      </w:tr>
      <w:tr w14:paraId="3F79B1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0" w:hRule="atLeast"/>
          <w:jc w:val="center"/>
        </w:trPr>
        <w:tc>
          <w:tcPr>
            <w:tcW w:w="1320" w:type="dxa"/>
            <w:tcBorders>
              <w:top w:val="nil"/>
              <w:left w:val="nil"/>
              <w:bottom w:val="single" w:color="auto" w:sz="12" w:space="0"/>
              <w:right w:val="nil"/>
            </w:tcBorders>
            <w:tcMar>
              <w:top w:w="100" w:type="dxa"/>
              <w:left w:w="100" w:type="dxa"/>
              <w:bottom w:w="100" w:type="dxa"/>
              <w:right w:w="100" w:type="dxa"/>
            </w:tcMar>
            <w:vAlign w:val="center"/>
          </w:tcPr>
          <w:p w14:paraId="0F885F06">
            <w:pPr>
              <w:keepNext/>
              <w:snapToGrid w:val="0"/>
              <w:spacing w:line="240" w:lineRule="auto"/>
              <w:ind w:left="0" w:leftChars="0" w:right="0" w:rightChars="0" w:firstLine="0" w:firstLineChars="0"/>
              <w:jc w:val="left"/>
              <w:rPr>
                <w:rFonts w:hint="default" w:ascii="Arial" w:hAnsi="Arial" w:cs="Arial"/>
              </w:rPr>
            </w:pPr>
            <w:r>
              <w:rPr>
                <w:rFonts w:hint="default" w:ascii="Arial" w:hAnsi="Arial" w:cs="Arial"/>
              </w:rPr>
              <w:t>认知态度</w:t>
            </w:r>
          </w:p>
        </w:tc>
        <w:tc>
          <w:tcPr>
            <w:tcW w:w="2885" w:type="dxa"/>
            <w:tcBorders>
              <w:top w:val="nil"/>
              <w:left w:val="nil"/>
              <w:bottom w:val="single" w:color="auto" w:sz="12" w:space="0"/>
              <w:right w:val="nil"/>
            </w:tcBorders>
            <w:tcMar>
              <w:top w:w="100" w:type="dxa"/>
              <w:left w:w="100" w:type="dxa"/>
              <w:bottom w:w="100" w:type="dxa"/>
              <w:right w:w="100" w:type="dxa"/>
            </w:tcMar>
            <w:vAlign w:val="center"/>
          </w:tcPr>
          <w:p w14:paraId="28EB91ED">
            <w:pPr>
              <w:keepNext/>
              <w:snapToGrid w:val="0"/>
              <w:spacing w:line="240" w:lineRule="auto"/>
              <w:ind w:left="0" w:leftChars="0" w:right="0" w:rightChars="0" w:firstLine="0" w:firstLineChars="0"/>
              <w:jc w:val="left"/>
              <w:rPr>
                <w:rFonts w:hint="default" w:ascii="Arial" w:hAnsi="Arial" w:cs="Arial"/>
              </w:rPr>
            </w:pPr>
            <w:r>
              <w:rPr>
                <w:rFonts w:hint="default" w:ascii="Arial" w:hAnsi="Arial" w:cs="Arial"/>
              </w:rPr>
              <w:t>非评判性觉察（Non - judgmental Awareness）</w:t>
            </w:r>
          </w:p>
        </w:tc>
        <w:tc>
          <w:tcPr>
            <w:tcW w:w="2890" w:type="dxa"/>
            <w:tcBorders>
              <w:top w:val="nil"/>
              <w:left w:val="nil"/>
              <w:bottom w:val="single" w:color="auto" w:sz="12" w:space="0"/>
              <w:right w:val="nil"/>
            </w:tcBorders>
            <w:tcMar>
              <w:top w:w="100" w:type="dxa"/>
              <w:left w:w="100" w:type="dxa"/>
              <w:bottom w:w="100" w:type="dxa"/>
              <w:right w:w="100" w:type="dxa"/>
            </w:tcMar>
            <w:vAlign w:val="center"/>
          </w:tcPr>
          <w:p w14:paraId="017BF779">
            <w:pPr>
              <w:keepNext/>
              <w:snapToGrid w:val="0"/>
              <w:spacing w:line="240" w:lineRule="auto"/>
              <w:ind w:left="0" w:leftChars="0" w:right="0" w:rightChars="0" w:firstLine="0" w:firstLineChars="0"/>
              <w:jc w:val="left"/>
              <w:rPr>
                <w:rFonts w:hint="default" w:ascii="Arial" w:hAnsi="Arial" w:cs="Arial"/>
              </w:rPr>
            </w:pPr>
            <w:r>
              <w:rPr>
                <w:rFonts w:hint="default" w:ascii="Arial" w:hAnsi="Arial" w:cs="Arial"/>
              </w:rPr>
              <w:t>减少默认模式网络（DMN）的自我参照叙事，增强直接感知</w:t>
            </w:r>
          </w:p>
        </w:tc>
        <w:tc>
          <w:tcPr>
            <w:tcW w:w="2173" w:type="dxa"/>
            <w:tcBorders>
              <w:top w:val="nil"/>
              <w:left w:val="nil"/>
              <w:bottom w:val="single" w:color="auto" w:sz="12" w:space="0"/>
              <w:right w:val="nil"/>
            </w:tcBorders>
            <w:tcMar>
              <w:top w:w="100" w:type="dxa"/>
              <w:left w:w="100" w:type="dxa"/>
              <w:bottom w:w="100" w:type="dxa"/>
              <w:right w:w="100" w:type="dxa"/>
            </w:tcMar>
            <w:vAlign w:val="center"/>
          </w:tcPr>
          <w:p w14:paraId="76D3F3DA">
            <w:pPr>
              <w:keepNext/>
              <w:snapToGrid w:val="0"/>
              <w:spacing w:line="240" w:lineRule="auto"/>
              <w:ind w:left="0" w:leftChars="0" w:right="0" w:rightChars="0" w:firstLine="0" w:firstLineChars="0"/>
              <w:jc w:val="left"/>
              <w:rPr>
                <w:rFonts w:hint="default" w:ascii="Arial" w:hAnsi="Arial" w:cs="Arial"/>
              </w:rPr>
            </w:pPr>
            <w:r>
              <w:rPr>
                <w:rFonts w:hint="default" w:ascii="Arial" w:hAnsi="Arial" w:cs="Arial"/>
              </w:rPr>
              <w:t>强迫放松引发反刍（Rumination）</w:t>
            </w:r>
          </w:p>
        </w:tc>
      </w:tr>
    </w:tbl>
    <w:p w14:paraId="34176A7D">
      <w:pPr>
        <w:pStyle w:val="3"/>
      </w:pPr>
    </w:p>
    <w:p w14:paraId="0F46AC5F">
      <w:pPr>
        <w:pStyle w:val="3"/>
      </w:pPr>
      <w:r>
        <w:rPr>
          <w:b/>
          <w:bCs/>
        </w:rPr>
        <w:t>效度证据</w:t>
      </w:r>
      <w:r>
        <w:br w:type="textWrapping"/>
      </w:r>
      <w:r>
        <w:t>一项针对健康成年人的随机对照试验（RCT, n=40）显示，8周正念训练后，右侧岛叶皮层厚度增加与心率知觉任务（Heartbeat Perception Task）准确率提升显著相关（r=0.42, p&lt;0.01）。然而，</w:t>
      </w:r>
      <w:r>
        <w:rPr>
          <w:b/>
          <w:bCs/>
        </w:rPr>
        <w:t>效应量中等</w:t>
      </w:r>
      <w:r>
        <w:t>（Cohen’s d=0.6），提示个体差异与基线水平调节作用。</w:t>
      </w:r>
    </w:p>
    <w:bookmarkEnd w:id="22"/>
    <w:p w14:paraId="38941103">
      <w:pPr>
        <w:pStyle w:val="6"/>
      </w:pPr>
      <w:bookmarkStart w:id="23" w:name="暂停预测技术pause-and-predict的认知架构"/>
      <w:r>
        <w:t>7.1.2 暂停预测技术（Pause-and-Predict）的认知架构</w:t>
      </w:r>
    </w:p>
    <w:p w14:paraId="0311C3EE">
      <w:pPr>
        <w:pStyle w:val="26"/>
      </w:pPr>
      <w:r>
        <w:t>基于预测性加工理论（Predictive Processing），该技术旨在打破”刺激-反应”自动化链条，插入</w:t>
      </w:r>
      <w:r>
        <w:rPr>
          <w:b/>
          <w:bCs/>
        </w:rPr>
        <w:t>意识间隙</w:t>
      </w:r>
      <w:r>
        <w:t>（Awareness Gap）。</w:t>
      </w:r>
    </w:p>
    <w:p w14:paraId="3A669916">
      <w:pPr>
        <w:pStyle w:val="3"/>
      </w:pPr>
      <w:r>
        <w:rPr>
          <w:b/>
          <w:bCs/>
        </w:rPr>
        <w:t>理论模型</w:t>
      </w:r>
      <w:r>
        <w:br w:type="textWrapping"/>
      </w:r>
      <w:r>
        <w:t>大脑作为层级化预测机器（Hierarchical Prediction Machine），通过最小化预测误差（Prediction Error, PE）更新内部模型。在商业决策中，创始人的</w:t>
      </w:r>
      <w:r>
        <w:rPr>
          <w:b/>
          <w:bCs/>
        </w:rPr>
        <w:t>先验信念</w:t>
      </w:r>
      <w:r>
        <w:t>（Priors）常基于过往成功经验，面对新型合伙人情境时，可能产生显著预测误差。暂停预测技术通过强制生成</w:t>
      </w:r>
      <w:r>
        <w:rPr>
          <w:b/>
          <w:bCs/>
        </w:rPr>
        <w:t>显式预测</w:t>
      </w:r>
      <w:r>
        <w:t>（Explicit Prediction），使预测误差可觉察、可修正。</w:t>
      </w:r>
    </w:p>
    <w:p w14:paraId="613B9817">
      <w:pPr>
        <w:pStyle w:val="3"/>
      </w:pPr>
      <w:r>
        <w:rPr>
          <w:b/>
          <w:bCs/>
        </w:rPr>
        <w:t>技术流程</w:t>
      </w:r>
      <w:r>
        <w:br w:type="textWrapping"/>
      </w:r>
      <w:r>
        <w:t xml:space="preserve">1. </w:t>
      </w:r>
      <w:r>
        <w:rPr>
          <w:b/>
          <w:bCs/>
        </w:rPr>
        <w:t>触发节点</w:t>
      </w:r>
      <w:r>
        <w:t xml:space="preserve">：拿起手机前、进入会议室前、回复邮件前（利用情境线索作为记忆锚点） 2. </w:t>
      </w:r>
      <w:r>
        <w:rPr>
          <w:b/>
          <w:bCs/>
        </w:rPr>
        <w:t>暂停时长</w:t>
      </w:r>
      <w:r>
        <w:t xml:space="preserve">：5-10秒（基于工作记忆刷新周期，~10秒） 3. </w:t>
      </w:r>
      <w:r>
        <w:rPr>
          <w:b/>
          <w:bCs/>
        </w:rPr>
        <w:t>预测内容</w:t>
      </w:r>
      <w:r>
        <w:t xml:space="preserve">：对方情绪状态、对话走向、自身身体反应 4. </w:t>
      </w:r>
      <w:r>
        <w:rPr>
          <w:b/>
          <w:bCs/>
        </w:rPr>
        <w:t>验证机制</w:t>
      </w:r>
      <w:r>
        <w:t>：事后记录匹配度，建立</w:t>
      </w:r>
      <w:r>
        <w:rPr>
          <w:b/>
          <w:bCs/>
        </w:rPr>
        <w:t>个人预测准确率基线</w:t>
      </w:r>
    </w:p>
    <w:p w14:paraId="652E8804">
      <w:pPr>
        <w:pStyle w:val="3"/>
      </w:pPr>
      <w:r>
        <w:rPr>
          <w:b/>
          <w:bCs/>
        </w:rPr>
        <w:t>局限性</w:t>
      </w:r>
      <w:r>
        <w:br w:type="textWrapping"/>
      </w:r>
      <w:r>
        <w:t xml:space="preserve">- </w:t>
      </w:r>
      <w:r>
        <w:rPr>
          <w:b/>
          <w:bCs/>
        </w:rPr>
        <w:t>生态效度风险</w:t>
      </w:r>
      <w:r>
        <w:t xml:space="preserve">：实验室中的预测任务与高风险商业决策存在显著情境差异 - </w:t>
      </w:r>
      <w:r>
        <w:rPr>
          <w:b/>
          <w:bCs/>
        </w:rPr>
        <w:t>认知负荷</w:t>
      </w:r>
      <w:r>
        <w:t>：在真实高压情境中，5-10秒暂停可能不被允许（如谈判中的即时回应压力）</w:t>
      </w:r>
    </w:p>
    <w:bookmarkEnd w:id="21"/>
    <w:bookmarkEnd w:id="23"/>
    <w:p w14:paraId="7C4F8D9A">
      <w:pPr>
        <w:pStyle w:val="5"/>
      </w:pPr>
      <w:bookmarkStart w:id="24" w:name="层次二辨别力discrimination-layer信噪比优化"/>
      <w:r>
        <w:t>7.2 层次二：辨别力（Discrimination Layer）——信噪比优化</w:t>
      </w:r>
    </w:p>
    <w:p w14:paraId="22FCAAE4">
      <w:pPr>
        <w:pStyle w:val="6"/>
      </w:pPr>
      <w:bookmarkStart w:id="25" w:name="直觉验证系统ivs的量化方法"/>
      <w:r>
        <w:t>7.2.1 直觉验证系统（IVS）的量化方法</w:t>
      </w:r>
    </w:p>
    <w:p w14:paraId="4B2372F9">
      <w:pPr>
        <w:pStyle w:val="26"/>
      </w:pPr>
      <w:r>
        <w:rPr>
          <w:b/>
          <w:bCs/>
        </w:rPr>
        <w:t>信号检测论（Signal Detection Theory, SDT）应用</w:t>
      </w:r>
      <w:r>
        <w:br w:type="textWrapping"/>
      </w:r>
      <w:r>
        <w:t>为避免简单的”准确率百分比”误导，建议采用SDT框架分析直觉性能：</w:t>
      </w:r>
    </w:p>
    <w:p w14:paraId="5420CF89">
      <w:pPr>
        <w:pStyle w:val="27"/>
        <w:numPr>
          <w:ilvl w:val="0"/>
          <w:numId w:val="1"/>
        </w:numPr>
      </w:pPr>
      <w:r>
        <w:rPr>
          <w:b/>
          <w:bCs/>
        </w:rPr>
        <w:t>敏感性指标（d’）</w:t>
      </w:r>
      <w:r>
        <w:t>：区分信号（真直觉）与噪声（假直觉/偏差）的能力</w:t>
      </w:r>
    </w:p>
    <w:p w14:paraId="6CDC00F2">
      <w:pPr>
        <w:pStyle w:val="27"/>
        <w:numPr>
          <w:ilvl w:val="0"/>
          <w:numId w:val="1"/>
        </w:numPr>
      </w:pPr>
      <w:r>
        <w:rPr>
          <w:b/>
          <w:bCs/>
        </w:rPr>
        <w:t>反应偏向（β或C）</w:t>
      </w:r>
      <w:r>
        <w:t>：决策者倾向于”信赖直觉”或”怀疑直觉”的倾向性</w:t>
      </w:r>
    </w:p>
    <w:p w14:paraId="2A075CA2">
      <w:pPr>
        <w:pStyle w:val="26"/>
      </w:pPr>
      <w:r>
        <w:rPr>
          <w:b/>
          <w:bCs/>
        </w:rPr>
        <w:t>数据收集模板</w:t>
      </w:r>
      <w:r>
        <w:t>（需人工验证：获取个人决策日志数据库原始CSV）：</w:t>
      </w:r>
    </w:p>
    <w:tbl>
      <w:tblPr>
        <w:tblStyle w:val="44"/>
        <w:tblW w:w="9740" w:type="dxa"/>
        <w:jc w:val="center"/>
        <w:tblLayout w:type="autofit"/>
        <w:tblCellMar>
          <w:top w:w="0" w:type="dxa"/>
          <w:left w:w="108" w:type="dxa"/>
          <w:bottom w:w="0" w:type="dxa"/>
          <w:right w:w="108" w:type="dxa"/>
        </w:tblCellMar>
      </w:tblPr>
      <w:tblGrid>
        <w:gridCol w:w="1117"/>
        <w:gridCol w:w="1299"/>
        <w:gridCol w:w="1058"/>
        <w:gridCol w:w="1299"/>
        <w:gridCol w:w="1299"/>
        <w:gridCol w:w="1540"/>
        <w:gridCol w:w="829"/>
        <w:gridCol w:w="1299"/>
      </w:tblGrid>
      <w:tr w14:paraId="704060B7">
        <w:tblPrEx>
          <w:tblCellMar>
            <w:top w:w="0" w:type="dxa"/>
            <w:left w:w="108" w:type="dxa"/>
            <w:bottom w:w="0" w:type="dxa"/>
            <w:right w:w="108" w:type="dxa"/>
          </w:tblCellMar>
        </w:tblPrEx>
        <w:trPr>
          <w:trHeight w:val="0" w:hRule="atLeast"/>
          <w:tblHeader/>
          <w:jc w:val="center"/>
        </w:trPr>
        <w:tc>
          <w:tcPr>
            <w:tcW w:w="1117" w:type="dxa"/>
            <w:tcBorders>
              <w:top w:val="single" w:color="auto" w:sz="12" w:space="0"/>
              <w:left w:val="nil"/>
              <w:bottom w:val="single" w:color="auto" w:sz="4" w:space="0"/>
              <w:right w:val="nil"/>
            </w:tcBorders>
            <w:vAlign w:val="center"/>
          </w:tcPr>
          <w:p w14:paraId="39B174EF">
            <w:pPr>
              <w:pStyle w:val="27"/>
              <w:snapToGrid w:val="0"/>
              <w:spacing w:line="240" w:lineRule="auto"/>
              <w:ind w:left="0" w:leftChars="0" w:right="0" w:rightChars="0" w:firstLine="0" w:firstLineChars="0"/>
              <w:jc w:val="center"/>
              <w:rPr>
                <w:b/>
              </w:rPr>
            </w:pPr>
            <w:r>
              <w:rPr>
                <w:b/>
              </w:rPr>
              <w:t>决策ID</w:t>
            </w:r>
          </w:p>
        </w:tc>
        <w:tc>
          <w:tcPr>
            <w:tcW w:w="1299" w:type="dxa"/>
            <w:tcBorders>
              <w:top w:val="single" w:color="auto" w:sz="12" w:space="0"/>
              <w:left w:val="nil"/>
              <w:bottom w:val="single" w:color="auto" w:sz="4" w:space="0"/>
              <w:right w:val="nil"/>
            </w:tcBorders>
            <w:vAlign w:val="center"/>
          </w:tcPr>
          <w:p w14:paraId="4DA5C917">
            <w:pPr>
              <w:pStyle w:val="27"/>
              <w:snapToGrid w:val="0"/>
              <w:spacing w:line="240" w:lineRule="auto"/>
              <w:ind w:left="0" w:leftChars="0" w:right="0" w:rightChars="0" w:firstLine="0" w:firstLineChars="0"/>
              <w:jc w:val="center"/>
              <w:rPr>
                <w:b/>
              </w:rPr>
            </w:pPr>
            <w:r>
              <w:rPr>
                <w:b/>
              </w:rPr>
              <w:t>直觉内容</w:t>
            </w:r>
          </w:p>
        </w:tc>
        <w:tc>
          <w:tcPr>
            <w:tcW w:w="1058" w:type="dxa"/>
            <w:tcBorders>
              <w:top w:val="single" w:color="auto" w:sz="12" w:space="0"/>
              <w:left w:val="nil"/>
              <w:bottom w:val="single" w:color="auto" w:sz="4" w:space="0"/>
              <w:right w:val="nil"/>
            </w:tcBorders>
            <w:vAlign w:val="center"/>
          </w:tcPr>
          <w:p w14:paraId="63A85707">
            <w:pPr>
              <w:pStyle w:val="27"/>
              <w:snapToGrid w:val="0"/>
              <w:spacing w:line="240" w:lineRule="auto"/>
              <w:ind w:left="0" w:leftChars="0" w:right="0" w:rightChars="0" w:firstLine="0" w:firstLineChars="0"/>
              <w:jc w:val="center"/>
              <w:rPr>
                <w:b/>
              </w:rPr>
            </w:pPr>
            <w:r>
              <w:rPr>
                <w:b/>
              </w:rPr>
              <w:t>信心度</w:t>
            </w:r>
          </w:p>
          <w:p w14:paraId="67BE813A">
            <w:pPr>
              <w:pStyle w:val="27"/>
              <w:snapToGrid w:val="0"/>
              <w:spacing w:line="240" w:lineRule="auto"/>
              <w:ind w:left="0" w:leftChars="0" w:right="0" w:rightChars="0" w:firstLine="0" w:firstLineChars="0"/>
              <w:jc w:val="center"/>
              <w:rPr>
                <w:b/>
              </w:rPr>
            </w:pPr>
            <w:r>
              <w:rPr>
                <w:b/>
              </w:rPr>
              <w:t>(1-10)</w:t>
            </w:r>
          </w:p>
        </w:tc>
        <w:tc>
          <w:tcPr>
            <w:tcW w:w="1299" w:type="dxa"/>
            <w:tcBorders>
              <w:top w:val="single" w:color="auto" w:sz="12" w:space="0"/>
              <w:left w:val="nil"/>
              <w:bottom w:val="single" w:color="auto" w:sz="4" w:space="0"/>
              <w:right w:val="nil"/>
            </w:tcBorders>
            <w:vAlign w:val="center"/>
          </w:tcPr>
          <w:p w14:paraId="18FC56F5">
            <w:pPr>
              <w:pStyle w:val="27"/>
              <w:snapToGrid w:val="0"/>
              <w:spacing w:line="240" w:lineRule="auto"/>
              <w:ind w:left="0" w:leftChars="0" w:right="0" w:rightChars="0" w:firstLine="0" w:firstLineChars="0"/>
              <w:jc w:val="center"/>
              <w:rPr>
                <w:b/>
              </w:rPr>
            </w:pPr>
            <w:r>
              <w:rPr>
                <w:b/>
              </w:rPr>
              <w:t>身体状态</w:t>
            </w:r>
          </w:p>
        </w:tc>
        <w:tc>
          <w:tcPr>
            <w:tcW w:w="1299" w:type="dxa"/>
            <w:tcBorders>
              <w:top w:val="single" w:color="auto" w:sz="12" w:space="0"/>
              <w:left w:val="nil"/>
              <w:bottom w:val="single" w:color="auto" w:sz="4" w:space="0"/>
              <w:right w:val="nil"/>
            </w:tcBorders>
            <w:vAlign w:val="center"/>
          </w:tcPr>
          <w:p w14:paraId="41D6B72C">
            <w:pPr>
              <w:pStyle w:val="27"/>
              <w:snapToGrid w:val="0"/>
              <w:spacing w:line="240" w:lineRule="auto"/>
              <w:ind w:left="0" w:leftChars="0" w:right="0" w:rightChars="0" w:firstLine="0" w:firstLineChars="0"/>
              <w:jc w:val="center"/>
              <w:rPr>
                <w:b/>
              </w:rPr>
            </w:pPr>
            <w:r>
              <w:rPr>
                <w:b/>
              </w:rPr>
              <w:t>时间压力</w:t>
            </w:r>
          </w:p>
        </w:tc>
        <w:tc>
          <w:tcPr>
            <w:tcW w:w="1540" w:type="dxa"/>
            <w:tcBorders>
              <w:top w:val="single" w:color="auto" w:sz="12" w:space="0"/>
              <w:left w:val="nil"/>
              <w:bottom w:val="single" w:color="auto" w:sz="4" w:space="0"/>
              <w:right w:val="nil"/>
            </w:tcBorders>
            <w:vAlign w:val="center"/>
          </w:tcPr>
          <w:p w14:paraId="12D8273E">
            <w:pPr>
              <w:pStyle w:val="27"/>
              <w:snapToGrid w:val="0"/>
              <w:spacing w:line="240" w:lineRule="auto"/>
              <w:ind w:left="0" w:leftChars="0" w:right="0" w:rightChars="0" w:firstLine="0" w:firstLineChars="0"/>
              <w:jc w:val="center"/>
              <w:rPr>
                <w:b/>
              </w:rPr>
            </w:pPr>
            <w:r>
              <w:rPr>
                <w:b/>
              </w:rPr>
              <w:t>信息完备度</w:t>
            </w:r>
          </w:p>
        </w:tc>
        <w:tc>
          <w:tcPr>
            <w:tcW w:w="829" w:type="dxa"/>
            <w:tcBorders>
              <w:top w:val="single" w:color="auto" w:sz="12" w:space="0"/>
              <w:left w:val="nil"/>
              <w:bottom w:val="single" w:color="auto" w:sz="4" w:space="0"/>
              <w:right w:val="nil"/>
            </w:tcBorders>
            <w:vAlign w:val="center"/>
          </w:tcPr>
          <w:p w14:paraId="5B54BA75">
            <w:pPr>
              <w:pStyle w:val="27"/>
              <w:snapToGrid w:val="0"/>
              <w:spacing w:line="240" w:lineRule="auto"/>
              <w:ind w:left="0" w:leftChars="0" w:right="0" w:rightChars="0" w:firstLine="0" w:firstLineChars="0"/>
              <w:jc w:val="center"/>
              <w:rPr>
                <w:b/>
              </w:rPr>
            </w:pPr>
            <w:r>
              <w:rPr>
                <w:b/>
              </w:rPr>
              <w:t>结果</w:t>
            </w:r>
          </w:p>
          <w:p w14:paraId="5E4E997F">
            <w:pPr>
              <w:pStyle w:val="27"/>
              <w:snapToGrid w:val="0"/>
              <w:spacing w:line="240" w:lineRule="auto"/>
              <w:ind w:left="0" w:leftChars="0" w:right="0" w:rightChars="0" w:firstLine="0" w:firstLineChars="0"/>
              <w:jc w:val="center"/>
              <w:rPr>
                <w:b/>
              </w:rPr>
            </w:pPr>
            <w:r>
              <w:rPr>
                <w:b/>
              </w:rPr>
              <w:t>(1/0)</w:t>
            </w:r>
          </w:p>
        </w:tc>
        <w:tc>
          <w:tcPr>
            <w:tcW w:w="1299" w:type="dxa"/>
            <w:tcBorders>
              <w:top w:val="single" w:color="auto" w:sz="12" w:space="0"/>
              <w:left w:val="nil"/>
              <w:bottom w:val="single" w:color="auto" w:sz="4" w:space="0"/>
              <w:right w:val="nil"/>
            </w:tcBorders>
            <w:vAlign w:val="center"/>
          </w:tcPr>
          <w:p w14:paraId="61BC8AAE">
            <w:pPr>
              <w:pStyle w:val="27"/>
              <w:snapToGrid w:val="0"/>
              <w:spacing w:line="240" w:lineRule="auto"/>
              <w:ind w:left="0" w:leftChars="0" w:right="0" w:rightChars="0" w:firstLine="0" w:firstLineChars="0"/>
              <w:jc w:val="center"/>
              <w:rPr>
                <w:b/>
              </w:rPr>
            </w:pPr>
            <w:r>
              <w:rPr>
                <w:b/>
              </w:rPr>
              <w:t>信号类型</w:t>
            </w:r>
          </w:p>
        </w:tc>
      </w:tr>
      <w:tr w14:paraId="1BC47D6B">
        <w:tblPrEx>
          <w:tblCellMar>
            <w:top w:w="0" w:type="dxa"/>
            <w:left w:w="108" w:type="dxa"/>
            <w:bottom w:w="0" w:type="dxa"/>
            <w:right w:w="108" w:type="dxa"/>
          </w:tblCellMar>
        </w:tblPrEx>
        <w:trPr>
          <w:trHeight w:val="0" w:hRule="atLeast"/>
          <w:jc w:val="center"/>
        </w:trPr>
        <w:tc>
          <w:tcPr>
            <w:tcW w:w="1117" w:type="dxa"/>
            <w:tcBorders>
              <w:top w:val="single" w:color="auto" w:sz="4" w:space="0"/>
              <w:left w:val="nil"/>
              <w:bottom w:val="nil"/>
              <w:right w:val="nil"/>
            </w:tcBorders>
            <w:vAlign w:val="center"/>
          </w:tcPr>
          <w:p w14:paraId="4D578D89">
            <w:pPr>
              <w:pStyle w:val="27"/>
              <w:snapToGrid w:val="0"/>
              <w:spacing w:line="240" w:lineRule="auto"/>
              <w:ind w:left="0" w:leftChars="0" w:right="0" w:rightChars="0" w:firstLine="0" w:firstLineChars="0"/>
              <w:jc w:val="center"/>
            </w:pPr>
            <w:r>
              <w:t>001</w:t>
            </w:r>
          </w:p>
        </w:tc>
        <w:tc>
          <w:tcPr>
            <w:tcW w:w="1299" w:type="dxa"/>
            <w:tcBorders>
              <w:top w:val="single" w:color="auto" w:sz="4" w:space="0"/>
              <w:left w:val="nil"/>
              <w:bottom w:val="nil"/>
              <w:right w:val="nil"/>
            </w:tcBorders>
            <w:vAlign w:val="center"/>
          </w:tcPr>
          <w:p w14:paraId="26CD0807">
            <w:pPr>
              <w:pStyle w:val="27"/>
              <w:snapToGrid w:val="0"/>
              <w:spacing w:line="240" w:lineRule="auto"/>
              <w:ind w:left="0" w:leftChars="0" w:right="0" w:rightChars="0" w:firstLine="0" w:firstLineChars="0"/>
              <w:jc w:val="center"/>
            </w:pPr>
            <w:r>
              <w:t>“合伙人A不可信”</w:t>
            </w:r>
          </w:p>
        </w:tc>
        <w:tc>
          <w:tcPr>
            <w:tcW w:w="1058" w:type="dxa"/>
            <w:tcBorders>
              <w:top w:val="single" w:color="auto" w:sz="4" w:space="0"/>
              <w:left w:val="nil"/>
              <w:bottom w:val="nil"/>
              <w:right w:val="nil"/>
            </w:tcBorders>
            <w:vAlign w:val="center"/>
          </w:tcPr>
          <w:p w14:paraId="321AD099">
            <w:pPr>
              <w:pStyle w:val="27"/>
              <w:snapToGrid w:val="0"/>
              <w:spacing w:line="240" w:lineRule="auto"/>
              <w:ind w:left="0" w:leftChars="0" w:right="0" w:rightChars="0" w:firstLine="0" w:firstLineChars="0"/>
              <w:jc w:val="center"/>
            </w:pPr>
            <w:r>
              <w:t>8</w:t>
            </w:r>
          </w:p>
        </w:tc>
        <w:tc>
          <w:tcPr>
            <w:tcW w:w="1299" w:type="dxa"/>
            <w:tcBorders>
              <w:top w:val="single" w:color="auto" w:sz="4" w:space="0"/>
              <w:left w:val="nil"/>
              <w:bottom w:val="nil"/>
              <w:right w:val="nil"/>
            </w:tcBorders>
            <w:vAlign w:val="center"/>
          </w:tcPr>
          <w:p w14:paraId="43DEF1C4">
            <w:pPr>
              <w:pStyle w:val="27"/>
              <w:snapToGrid w:val="0"/>
              <w:spacing w:line="240" w:lineRule="auto"/>
              <w:ind w:left="0" w:leftChars="0" w:right="0" w:rightChars="0" w:firstLine="0" w:firstLineChars="0"/>
              <w:jc w:val="left"/>
            </w:pPr>
            <w:r>
              <w:t>胃部紧缩</w:t>
            </w:r>
          </w:p>
        </w:tc>
        <w:tc>
          <w:tcPr>
            <w:tcW w:w="1299" w:type="dxa"/>
            <w:tcBorders>
              <w:top w:val="single" w:color="auto" w:sz="4" w:space="0"/>
              <w:left w:val="nil"/>
              <w:bottom w:val="nil"/>
              <w:right w:val="nil"/>
            </w:tcBorders>
            <w:vAlign w:val="center"/>
          </w:tcPr>
          <w:p w14:paraId="48084ECD">
            <w:pPr>
              <w:pStyle w:val="27"/>
              <w:snapToGrid w:val="0"/>
              <w:spacing w:line="240" w:lineRule="auto"/>
              <w:ind w:left="0" w:leftChars="0" w:right="0" w:rightChars="0" w:firstLine="0" w:firstLineChars="0"/>
              <w:jc w:val="center"/>
            </w:pPr>
            <w:r>
              <w:t>高</w:t>
            </w:r>
          </w:p>
        </w:tc>
        <w:tc>
          <w:tcPr>
            <w:tcW w:w="1540" w:type="dxa"/>
            <w:tcBorders>
              <w:top w:val="single" w:color="auto" w:sz="4" w:space="0"/>
              <w:left w:val="nil"/>
              <w:bottom w:val="nil"/>
              <w:right w:val="nil"/>
            </w:tcBorders>
            <w:vAlign w:val="center"/>
          </w:tcPr>
          <w:p w14:paraId="0C218316">
            <w:pPr>
              <w:pStyle w:val="27"/>
              <w:snapToGrid w:val="0"/>
              <w:spacing w:line="240" w:lineRule="auto"/>
              <w:ind w:left="0" w:leftChars="0" w:right="0" w:rightChars="0" w:firstLine="0" w:firstLineChars="0"/>
              <w:jc w:val="center"/>
            </w:pPr>
            <w:r>
              <w:t>中</w:t>
            </w:r>
          </w:p>
        </w:tc>
        <w:tc>
          <w:tcPr>
            <w:tcW w:w="829" w:type="dxa"/>
            <w:tcBorders>
              <w:top w:val="single" w:color="auto" w:sz="4" w:space="0"/>
              <w:left w:val="nil"/>
              <w:bottom w:val="nil"/>
              <w:right w:val="nil"/>
            </w:tcBorders>
            <w:vAlign w:val="center"/>
          </w:tcPr>
          <w:p w14:paraId="5C3CA17A">
            <w:pPr>
              <w:pStyle w:val="27"/>
              <w:snapToGrid w:val="0"/>
              <w:spacing w:line="240" w:lineRule="auto"/>
              <w:ind w:left="0" w:leftChars="0" w:right="0" w:rightChars="0" w:firstLine="0" w:firstLineChars="0"/>
              <w:jc w:val="center"/>
            </w:pPr>
            <w:r>
              <w:t>1</w:t>
            </w:r>
          </w:p>
        </w:tc>
        <w:tc>
          <w:tcPr>
            <w:tcW w:w="1299" w:type="dxa"/>
            <w:tcBorders>
              <w:top w:val="single" w:color="auto" w:sz="4" w:space="0"/>
              <w:left w:val="nil"/>
              <w:bottom w:val="nil"/>
              <w:right w:val="nil"/>
            </w:tcBorders>
            <w:vAlign w:val="center"/>
          </w:tcPr>
          <w:p w14:paraId="176D333C">
            <w:pPr>
              <w:pStyle w:val="27"/>
              <w:snapToGrid w:val="0"/>
              <w:spacing w:line="240" w:lineRule="auto"/>
              <w:ind w:left="0" w:leftChars="0" w:right="0" w:rightChars="0" w:firstLine="0" w:firstLineChars="0"/>
              <w:jc w:val="center"/>
            </w:pPr>
            <w:r>
              <w:t>真阳性</w:t>
            </w:r>
          </w:p>
        </w:tc>
      </w:tr>
      <w:tr w14:paraId="4A60B068">
        <w:tblPrEx>
          <w:tblCellMar>
            <w:top w:w="0" w:type="dxa"/>
            <w:left w:w="108" w:type="dxa"/>
            <w:bottom w:w="0" w:type="dxa"/>
            <w:right w:w="108" w:type="dxa"/>
          </w:tblCellMar>
        </w:tblPrEx>
        <w:trPr>
          <w:trHeight w:val="0" w:hRule="atLeast"/>
          <w:jc w:val="center"/>
        </w:trPr>
        <w:tc>
          <w:tcPr>
            <w:tcW w:w="1117" w:type="dxa"/>
            <w:tcBorders>
              <w:top w:val="nil"/>
              <w:left w:val="nil"/>
              <w:bottom w:val="single" w:color="auto" w:sz="12" w:space="0"/>
              <w:right w:val="nil"/>
            </w:tcBorders>
            <w:vAlign w:val="center"/>
          </w:tcPr>
          <w:p w14:paraId="2C1477E6">
            <w:pPr>
              <w:pStyle w:val="27"/>
              <w:snapToGrid w:val="0"/>
              <w:spacing w:line="240" w:lineRule="auto"/>
              <w:ind w:left="0" w:leftChars="0" w:right="0" w:rightChars="0" w:firstLine="0" w:firstLineChars="0"/>
              <w:jc w:val="center"/>
            </w:pPr>
            <w:r>
              <w:t>002</w:t>
            </w:r>
          </w:p>
        </w:tc>
        <w:tc>
          <w:tcPr>
            <w:tcW w:w="1299" w:type="dxa"/>
            <w:tcBorders>
              <w:top w:val="nil"/>
              <w:left w:val="nil"/>
              <w:bottom w:val="single" w:color="auto" w:sz="12" w:space="0"/>
              <w:right w:val="nil"/>
            </w:tcBorders>
            <w:vAlign w:val="center"/>
          </w:tcPr>
          <w:p w14:paraId="5DDB5BC8">
            <w:pPr>
              <w:pStyle w:val="27"/>
              <w:snapToGrid w:val="0"/>
              <w:spacing w:line="240" w:lineRule="auto"/>
              <w:ind w:left="0" w:leftChars="0" w:right="0" w:rightChars="0" w:firstLine="0" w:firstLineChars="0"/>
              <w:jc w:val="center"/>
            </w:pPr>
            <w:r>
              <w:t>“项目B值得投资”</w:t>
            </w:r>
          </w:p>
        </w:tc>
        <w:tc>
          <w:tcPr>
            <w:tcW w:w="1058" w:type="dxa"/>
            <w:tcBorders>
              <w:top w:val="nil"/>
              <w:left w:val="nil"/>
              <w:bottom w:val="single" w:color="auto" w:sz="12" w:space="0"/>
              <w:right w:val="nil"/>
            </w:tcBorders>
            <w:vAlign w:val="center"/>
          </w:tcPr>
          <w:p w14:paraId="17097124">
            <w:pPr>
              <w:pStyle w:val="27"/>
              <w:snapToGrid w:val="0"/>
              <w:spacing w:line="240" w:lineRule="auto"/>
              <w:ind w:left="0" w:leftChars="0" w:right="0" w:rightChars="0" w:firstLine="0" w:firstLineChars="0"/>
              <w:jc w:val="center"/>
            </w:pPr>
            <w:r>
              <w:t>6</w:t>
            </w:r>
          </w:p>
        </w:tc>
        <w:tc>
          <w:tcPr>
            <w:tcW w:w="1299" w:type="dxa"/>
            <w:tcBorders>
              <w:top w:val="nil"/>
              <w:left w:val="nil"/>
              <w:bottom w:val="single" w:color="auto" w:sz="12" w:space="0"/>
              <w:right w:val="nil"/>
            </w:tcBorders>
            <w:vAlign w:val="center"/>
          </w:tcPr>
          <w:p w14:paraId="71FA663B">
            <w:pPr>
              <w:pStyle w:val="27"/>
              <w:snapToGrid w:val="0"/>
              <w:spacing w:line="240" w:lineRule="auto"/>
              <w:ind w:left="0" w:leftChars="0" w:right="0" w:rightChars="0" w:firstLine="0" w:firstLineChars="0"/>
              <w:jc w:val="left"/>
            </w:pPr>
            <w:r>
              <w:t>放松</w:t>
            </w:r>
          </w:p>
        </w:tc>
        <w:tc>
          <w:tcPr>
            <w:tcW w:w="1299" w:type="dxa"/>
            <w:tcBorders>
              <w:top w:val="nil"/>
              <w:left w:val="nil"/>
              <w:bottom w:val="single" w:color="auto" w:sz="12" w:space="0"/>
              <w:right w:val="nil"/>
            </w:tcBorders>
            <w:vAlign w:val="center"/>
          </w:tcPr>
          <w:p w14:paraId="6F9EF0D8">
            <w:pPr>
              <w:pStyle w:val="27"/>
              <w:snapToGrid w:val="0"/>
              <w:spacing w:line="240" w:lineRule="auto"/>
              <w:ind w:left="0" w:leftChars="0" w:right="0" w:rightChars="0" w:firstLine="0" w:firstLineChars="0"/>
              <w:jc w:val="center"/>
            </w:pPr>
            <w:r>
              <w:t>低</w:t>
            </w:r>
          </w:p>
        </w:tc>
        <w:tc>
          <w:tcPr>
            <w:tcW w:w="1540" w:type="dxa"/>
            <w:tcBorders>
              <w:top w:val="nil"/>
              <w:left w:val="nil"/>
              <w:bottom w:val="single" w:color="auto" w:sz="12" w:space="0"/>
              <w:right w:val="nil"/>
            </w:tcBorders>
            <w:vAlign w:val="center"/>
          </w:tcPr>
          <w:p w14:paraId="623D2E88">
            <w:pPr>
              <w:pStyle w:val="27"/>
              <w:snapToGrid w:val="0"/>
              <w:spacing w:line="240" w:lineRule="auto"/>
              <w:ind w:left="0" w:leftChars="0" w:right="0" w:rightChars="0" w:firstLine="0" w:firstLineChars="0"/>
              <w:jc w:val="center"/>
            </w:pPr>
            <w:r>
              <w:t>高</w:t>
            </w:r>
          </w:p>
        </w:tc>
        <w:tc>
          <w:tcPr>
            <w:tcW w:w="829" w:type="dxa"/>
            <w:tcBorders>
              <w:top w:val="nil"/>
              <w:left w:val="nil"/>
              <w:bottom w:val="single" w:color="auto" w:sz="12" w:space="0"/>
              <w:right w:val="nil"/>
            </w:tcBorders>
            <w:vAlign w:val="center"/>
          </w:tcPr>
          <w:p w14:paraId="1D92E3DA">
            <w:pPr>
              <w:pStyle w:val="27"/>
              <w:snapToGrid w:val="0"/>
              <w:spacing w:line="240" w:lineRule="auto"/>
              <w:ind w:left="0" w:leftChars="0" w:right="0" w:rightChars="0" w:firstLine="0" w:firstLineChars="0"/>
              <w:jc w:val="center"/>
            </w:pPr>
            <w:r>
              <w:t>0</w:t>
            </w:r>
          </w:p>
        </w:tc>
        <w:tc>
          <w:tcPr>
            <w:tcW w:w="1299" w:type="dxa"/>
            <w:tcBorders>
              <w:top w:val="nil"/>
              <w:left w:val="nil"/>
              <w:bottom w:val="single" w:color="auto" w:sz="12" w:space="0"/>
              <w:right w:val="nil"/>
            </w:tcBorders>
            <w:vAlign w:val="center"/>
          </w:tcPr>
          <w:p w14:paraId="5549607C">
            <w:pPr>
              <w:pStyle w:val="27"/>
              <w:snapToGrid w:val="0"/>
              <w:spacing w:line="240" w:lineRule="auto"/>
              <w:ind w:left="0" w:leftChars="0" w:right="0" w:rightChars="0" w:firstLine="0" w:firstLineChars="0"/>
              <w:jc w:val="center"/>
            </w:pPr>
            <w:r>
              <w:t>假阳性</w:t>
            </w:r>
          </w:p>
        </w:tc>
      </w:tr>
    </w:tbl>
    <w:p w14:paraId="11067124">
      <w:pPr>
        <w:pStyle w:val="3"/>
      </w:pPr>
      <w:r>
        <w:rPr>
          <w:b/>
          <w:bCs/>
        </w:rPr>
        <w:t>统计分析要求</w:t>
      </w:r>
      <w:r>
        <w:br w:type="textWrapping"/>
      </w:r>
      <w:r>
        <w:t>[需方法学家审核：关于使用SDT分析直觉准确率的统计路径合理性]</w:t>
      </w:r>
      <w:r>
        <w:br w:type="textWrapping"/>
      </w:r>
      <w:r>
        <w:t>建议采用</w:t>
      </w:r>
      <w:r>
        <w:rPr>
          <w:b/>
          <w:bCs/>
        </w:rPr>
        <w:t>混合效应模型</w:t>
      </w:r>
      <w:r>
        <w:t>（Mixed-Effects Model）处理重复测量数据，控制个体基线差异与情境随机效应。</w:t>
      </w:r>
    </w:p>
    <w:bookmarkEnd w:id="25"/>
    <w:p w14:paraId="67942CAA">
      <w:pPr>
        <w:pStyle w:val="6"/>
      </w:pPr>
      <w:bookmarkStart w:id="26" w:name="认知偏差清单的结构性局限"/>
      <w:r>
        <w:t>7.2.2 认知偏差清单的结构性局限</w:t>
      </w:r>
    </w:p>
    <w:p w14:paraId="2F6AF4C2">
      <w:pPr>
        <w:pStyle w:val="26"/>
      </w:pPr>
      <w:r>
        <w:t>尽管偏差检查（如确认偏误、锚定效应）是理性决策的标配，但</w:t>
      </w:r>
      <w:r>
        <w:rPr>
          <w:b/>
          <w:bCs/>
        </w:rPr>
        <w:t>元分析显示</w:t>
      </w:r>
      <w:r>
        <w:t>，简单的”去偏训练”（Debiasing Training）效果有限：</w:t>
      </w:r>
    </w:p>
    <w:p w14:paraId="563C5368">
      <w:pPr>
        <w:pStyle w:val="27"/>
        <w:numPr>
          <w:ilvl w:val="0"/>
          <w:numId w:val="1"/>
        </w:numPr>
      </w:pPr>
      <w:r>
        <w:rPr>
          <w:b/>
          <w:bCs/>
        </w:rPr>
        <w:t>认知反思测试</w:t>
      </w:r>
      <w:r>
        <w:t>（CRT, Cognitive Reflection Test）的提升效应在复杂决策中迅速衰减</w:t>
      </w:r>
    </w:p>
    <w:p w14:paraId="4FCD1E44">
      <w:pPr>
        <w:pStyle w:val="27"/>
        <w:numPr>
          <w:ilvl w:val="0"/>
          <w:numId w:val="1"/>
        </w:numPr>
      </w:pPr>
      <w:r>
        <w:rPr>
          <w:b/>
          <w:bCs/>
        </w:rPr>
        <w:t>偏差知识≠偏差免疫</w:t>
      </w:r>
      <w:r>
        <w:t>：知道存在确认偏误并不能自动防止其发生</w:t>
      </w:r>
    </w:p>
    <w:p w14:paraId="30718560">
      <w:pPr>
        <w:pStyle w:val="26"/>
      </w:pPr>
      <w:r>
        <w:rPr>
          <w:b/>
          <w:bCs/>
        </w:rPr>
        <w:t>优化策略</w:t>
      </w:r>
      <w:r>
        <w:br w:type="textWrapping"/>
      </w:r>
      <w:r>
        <w:t>引入</w:t>
      </w:r>
      <w:r>
        <w:rPr>
          <w:b/>
          <w:bCs/>
        </w:rPr>
        <w:t>情境化去偏</w:t>
      </w:r>
      <w:r>
        <w:t xml:space="preserve">（Situated Debiasing）： - 强制”反方证据搜索”（Disconfirming Evidence Search）：为每个直觉生成至少2个反例 - </w:t>
      </w:r>
      <w:r>
        <w:rPr>
          <w:b/>
          <w:bCs/>
        </w:rPr>
        <w:t>预验尸分析</w:t>
      </w:r>
      <w:r>
        <w:t>（Pre-Mortem Analysis）：假设决策已失败，追溯可能原因</w:t>
      </w:r>
    </w:p>
    <w:bookmarkEnd w:id="24"/>
    <w:bookmarkEnd w:id="26"/>
    <w:p w14:paraId="71856F26">
      <w:pPr>
        <w:pStyle w:val="5"/>
      </w:pPr>
      <w:bookmarkStart w:id="27" w:name="层次三整合力integration-layer双系统协同"/>
      <w:r>
        <w:t>7.3 层次三：整合力（Integration Layer）——双系统协同</w:t>
      </w:r>
    </w:p>
    <w:p w14:paraId="6B0713B3">
      <w:pPr>
        <w:pStyle w:val="6"/>
      </w:pPr>
      <w:bookmarkStart w:id="28" w:name="五路图腾校准b-e-m-v-e的整合逻辑"/>
      <w:r>
        <w:t>7.3.1 五路图腾校准（B-E-M-V-E）的整合逻辑</w:t>
      </w:r>
    </w:p>
    <w:p w14:paraId="66840ECA">
      <w:pPr>
        <w:pStyle w:val="26"/>
      </w:pPr>
      <w:r>
        <w:t>该框架整合多维度信号，但需注意</w:t>
      </w:r>
      <w:r>
        <w:rPr>
          <w:b/>
          <w:bCs/>
        </w:rPr>
        <w:t>维度间冲突</w:t>
      </w:r>
      <w:r>
        <w:t>（Dimensional Conflict）的处理：</w:t>
      </w:r>
    </w:p>
    <w:p w14:paraId="0D73B038">
      <w:pPr>
        <w:pStyle w:val="3"/>
      </w:pPr>
      <w:r>
        <w:rPr>
          <w:b/>
          <w:bCs/>
        </w:rPr>
        <w:t>理论构成</w:t>
      </w:r>
      <w:r>
        <w:br w:type="textWrapping"/>
      </w:r>
      <w:r>
        <w:t xml:space="preserve">- </w:t>
      </w:r>
      <w:r>
        <w:rPr>
          <w:b/>
          <w:bCs/>
        </w:rPr>
        <w:t>Body（身体）</w:t>
      </w:r>
      <w:r>
        <w:t xml:space="preserve">：基于Damasio的躯体标记假说（Somatic Marker Hypothesis），但需排除躯体化焦虑干扰 - </w:t>
      </w:r>
      <w:r>
        <w:rPr>
          <w:b/>
          <w:bCs/>
        </w:rPr>
        <w:t>Emotion（情绪）</w:t>
      </w:r>
      <w:r>
        <w:t xml:space="preserve">：基于情绪即信息理论（Affect-as-Information Theory），情绪作为情境评估的启发式 - </w:t>
      </w:r>
      <w:r>
        <w:rPr>
          <w:b/>
          <w:bCs/>
        </w:rPr>
        <w:t>Mind（认知）</w:t>
      </w:r>
      <w:r>
        <w:t xml:space="preserve">：执行功能与工作记忆容量，受前额叶皮层（PFC）调节 - </w:t>
      </w:r>
      <w:r>
        <w:rPr>
          <w:b/>
          <w:bCs/>
        </w:rPr>
        <w:t>Values（价值）</w:t>
      </w:r>
      <w:r>
        <w:t xml:space="preserve">：自我决定理论（Self-Determination Theory, SDT）的自主性与关联性需求 - </w:t>
      </w:r>
      <w:r>
        <w:rPr>
          <w:b/>
          <w:bCs/>
        </w:rPr>
        <w:t>Energy（能量）</w:t>
      </w:r>
      <w:r>
        <w:t>：基于自我损耗（Ego Depletion）理论，但需注意该理论存在</w:t>
      </w:r>
      <w:r>
        <w:rPr>
          <w:b/>
          <w:bCs/>
        </w:rPr>
        <w:t>可重复性危机</w:t>
      </w:r>
      <w:r>
        <w:t>（Hagger et al., 2016元分析显示效应量极小）</w:t>
      </w:r>
    </w:p>
    <w:p w14:paraId="61C0DC47">
      <w:pPr>
        <w:pStyle w:val="3"/>
      </w:pPr>
      <w:r>
        <w:rPr>
          <w:b/>
          <w:bCs/>
        </w:rPr>
        <w:t>冲突解决协议</w:t>
      </w:r>
      <w:r>
        <w:br w:type="textWrapping"/>
      </w:r>
      <w:r>
        <w:t>当维度信号冲突时（如”身体放松但价值冲突”），采用</w:t>
      </w:r>
      <w:r>
        <w:rPr>
          <w:b/>
          <w:bCs/>
        </w:rPr>
        <w:t>贝叶斯整合</w:t>
      </w:r>
      <w:r>
        <w:t>策略： 1. 各维度独立评分（1-10） 2. 基于个人历史数据计算各维度权重（如”历史数据显示身体信号准确率70%，价值对齐准确率85%“） 3. 加权平均生成综合评分，但保留</w:t>
      </w:r>
      <w:r>
        <w:rPr>
          <w:b/>
          <w:bCs/>
        </w:rPr>
        <w:t>否决权</w:t>
      </w:r>
      <w:r>
        <w:t>（Veto Power）：单一维度极端异常（&lt;3或&gt;8）时强制暂停</w:t>
      </w:r>
    </w:p>
    <w:bookmarkEnd w:id="28"/>
    <w:p w14:paraId="4BE84395">
      <w:pPr>
        <w:pStyle w:val="6"/>
      </w:pPr>
      <w:bookmarkStart w:id="29" w:name="极限压力测试stress-testing的伦理与安全"/>
      <w:r>
        <w:t>7.3.2 极限压力测试（Stress Testing）的伦理与安全</w:t>
      </w:r>
    </w:p>
    <w:p w14:paraId="211D6ADF">
      <w:pPr>
        <w:pStyle w:val="26"/>
      </w:pPr>
      <w:r>
        <w:rPr>
          <w:b/>
          <w:bCs/>
        </w:rPr>
        <w:t>设计原理</w:t>
      </w:r>
      <w:r>
        <w:br w:type="textWrapping"/>
      </w:r>
      <w:r>
        <w:t>基于</w:t>
      </w:r>
      <w:r>
        <w:rPr>
          <w:b/>
          <w:bCs/>
        </w:rPr>
        <w:t>压力接种训练</w:t>
      </w:r>
      <w:r>
        <w:t>（Stress Inoculation Training, SIT），在可控环境中逐步提升压力负荷，扩展应激耐受窗口。</w:t>
      </w:r>
    </w:p>
    <w:p w14:paraId="6E710EAD">
      <w:pPr>
        <w:pStyle w:val="3"/>
      </w:pPr>
      <w:r>
        <w:rPr>
          <w:b/>
          <w:bCs/>
        </w:rPr>
        <w:t>压力参数</w:t>
      </w:r>
      <w:r>
        <w:t xml:space="preserve">（基于Selye的应激理论与HPA轴研究）： - </w:t>
      </w:r>
      <w:r>
        <w:rPr>
          <w:b/>
          <w:bCs/>
        </w:rPr>
        <w:t>睡眠剥夺</w:t>
      </w:r>
      <w:r>
        <w:t xml:space="preserve">：24-36小时（模拟连续谈判场景） - </w:t>
      </w:r>
      <w:r>
        <w:rPr>
          <w:b/>
          <w:bCs/>
        </w:rPr>
        <w:t>认知负荷</w:t>
      </w:r>
      <w:r>
        <w:t xml:space="preserve">：N-back任务（工作记忆负荷）+ 同时追踪5个信息源 - </w:t>
      </w:r>
      <w:r>
        <w:rPr>
          <w:b/>
          <w:bCs/>
        </w:rPr>
        <w:t>情绪唤起</w:t>
      </w:r>
      <w:r>
        <w:t xml:space="preserve">：观看情绪激发视频（如商业失败案例）后立即决策 - </w:t>
      </w:r>
      <w:r>
        <w:rPr>
          <w:b/>
          <w:bCs/>
        </w:rPr>
        <w:t>时间压力</w:t>
      </w:r>
      <w:r>
        <w:t>：决策时间压缩至正常情况的10%</w:t>
      </w:r>
    </w:p>
    <w:p w14:paraId="43913029">
      <w:pPr>
        <w:pStyle w:val="3"/>
      </w:pPr>
      <w:r>
        <w:rPr>
          <w:b/>
          <w:bCs/>
        </w:rPr>
        <w:t>医学警示</w:t>
      </w:r>
      <w:r>
        <w:br w:type="textWrapping"/>
      </w:r>
      <w:r>
        <w:t>[需人工验证：获取参与者基础健康数据与HPA轴功能评估]</w:t>
      </w:r>
      <w:r>
        <w:br w:type="textWrapping"/>
      </w:r>
      <w:r>
        <w:t>- 排除心血管疾病、焦虑障碍史参与者 - 建立</w:t>
      </w:r>
      <w:r>
        <w:rPr>
          <w:b/>
          <w:bCs/>
        </w:rPr>
        <w:t>紧急停止协议</w:t>
      </w:r>
      <w:r>
        <w:t>（Stop Criteria）：心率&gt;180bpm或皮质醇水平&gt;警戒值时立即终止</w:t>
      </w:r>
    </w:p>
    <w:p w14:paraId="0DECF66A">
      <w:pPr>
        <w:pStyle w:val="3"/>
      </w:pPr>
      <w:r>
        <w:rPr>
          <w:b/>
          <w:bCs/>
        </w:rPr>
        <w:t>效度证据</w:t>
      </w:r>
      <w:r>
        <w:br w:type="textWrapping"/>
      </w:r>
      <w:r>
        <w:t>军事与航空领域的SIT研究显示，适度压力训练可提升极端情境下的决策稳定性（效应量d=0.8-1.2），但</w:t>
      </w:r>
      <w:r>
        <w:rPr>
          <w:b/>
          <w:bCs/>
        </w:rPr>
        <w:t>过度训练</w:t>
      </w:r>
      <w:r>
        <w:t>可能导致习得性无助（Learned Helplessness）。</w:t>
      </w:r>
    </w:p>
    <w:p w14:paraId="71B9ED69">
      <w:r>
        <w:pict>
          <v:rect id="_x0000_i1040" o:spt="1" style="height:1.5pt;width:0pt;" coordsize="21600,21600" o:hr="t" o:hrstd="t" o:hralign="center">
            <v:path/>
            <v:fill focussize="0,0"/>
            <v:stroke/>
            <v:imagedata o:title=""/>
            <o:lock v:ext="edit"/>
            <w10:wrap type="none"/>
            <w10:anchorlock/>
          </v:rect>
        </w:pict>
      </w:r>
    </w:p>
    <w:bookmarkEnd w:id="20"/>
    <w:bookmarkEnd w:id="27"/>
    <w:bookmarkEnd w:id="29"/>
    <w:p w14:paraId="6DD997AF">
      <w:pPr>
        <w:pStyle w:val="4"/>
      </w:pPr>
      <w:bookmarkStart w:id="30" w:name="评估工具的效度信度与局限性psychometric-properties"/>
      <w:r>
        <w:t>8. 评估工具的效度、信度与局限性（Psychometric Properties）</w:t>
      </w:r>
    </w:p>
    <w:p w14:paraId="04B5FD9C">
      <w:pPr>
        <w:pStyle w:val="5"/>
      </w:pPr>
      <w:bookmarkStart w:id="31" w:name="多维度评估框架的科学基础"/>
      <w:r>
        <w:t>8.1 多维度评估框架的科学基础</w:t>
      </w:r>
    </w:p>
    <w:tbl>
      <w:tblPr>
        <w:tblStyle w:val="44"/>
        <w:tblW w:w="10466" w:type="dxa"/>
        <w:jc w:val="center"/>
        <w:tblLayout w:type="autofit"/>
        <w:tblCellMar>
          <w:top w:w="0" w:type="dxa"/>
          <w:left w:w="108" w:type="dxa"/>
          <w:bottom w:w="0" w:type="dxa"/>
          <w:right w:w="108" w:type="dxa"/>
        </w:tblCellMar>
      </w:tblPr>
      <w:tblGrid>
        <w:gridCol w:w="2056"/>
        <w:gridCol w:w="1723"/>
        <w:gridCol w:w="1656"/>
        <w:gridCol w:w="2609"/>
        <w:gridCol w:w="2422"/>
      </w:tblGrid>
      <w:tr w14:paraId="63573321">
        <w:tblPrEx>
          <w:tblCellMar>
            <w:top w:w="0" w:type="dxa"/>
            <w:left w:w="108" w:type="dxa"/>
            <w:bottom w:w="0" w:type="dxa"/>
            <w:right w:w="108" w:type="dxa"/>
          </w:tblCellMar>
        </w:tblPrEx>
        <w:trPr>
          <w:trHeight w:val="0" w:hRule="atLeast"/>
          <w:tblHeader/>
          <w:jc w:val="center"/>
        </w:trPr>
        <w:tc>
          <w:tcPr>
            <w:tcW w:w="2056" w:type="dxa"/>
            <w:tcBorders>
              <w:top w:val="single" w:color="auto" w:sz="12" w:space="0"/>
              <w:left w:val="nil"/>
              <w:bottom w:val="single" w:color="auto" w:sz="4" w:space="0"/>
              <w:right w:val="nil"/>
            </w:tcBorders>
            <w:vAlign w:val="center"/>
          </w:tcPr>
          <w:p w14:paraId="37F54ACD">
            <w:pPr>
              <w:pStyle w:val="27"/>
              <w:snapToGrid w:val="0"/>
              <w:spacing w:line="240" w:lineRule="auto"/>
              <w:ind w:left="0" w:leftChars="0" w:right="0" w:rightChars="0" w:firstLine="0" w:firstLineChars="0"/>
              <w:jc w:val="center"/>
              <w:rPr>
                <w:b/>
              </w:rPr>
            </w:pPr>
            <w:r>
              <w:rPr>
                <w:b/>
              </w:rPr>
              <w:t>评估维度</w:t>
            </w:r>
          </w:p>
        </w:tc>
        <w:tc>
          <w:tcPr>
            <w:tcW w:w="1723" w:type="dxa"/>
            <w:tcBorders>
              <w:top w:val="single" w:color="auto" w:sz="12" w:space="0"/>
              <w:left w:val="nil"/>
              <w:bottom w:val="single" w:color="auto" w:sz="4" w:space="0"/>
              <w:right w:val="nil"/>
            </w:tcBorders>
            <w:vAlign w:val="center"/>
          </w:tcPr>
          <w:p w14:paraId="618612BF">
            <w:pPr>
              <w:pStyle w:val="27"/>
              <w:snapToGrid w:val="0"/>
              <w:spacing w:line="240" w:lineRule="auto"/>
              <w:ind w:left="0" w:leftChars="0" w:right="0" w:rightChars="0" w:firstLine="0" w:firstLineChars="0"/>
              <w:jc w:val="center"/>
              <w:rPr>
                <w:b/>
              </w:rPr>
            </w:pPr>
            <w:r>
              <w:rPr>
                <w:b/>
              </w:rPr>
              <w:t>测量工具</w:t>
            </w:r>
          </w:p>
        </w:tc>
        <w:tc>
          <w:tcPr>
            <w:tcW w:w="1656" w:type="dxa"/>
            <w:tcBorders>
              <w:top w:val="single" w:color="auto" w:sz="12" w:space="0"/>
              <w:left w:val="nil"/>
              <w:bottom w:val="single" w:color="auto" w:sz="4" w:space="0"/>
              <w:right w:val="nil"/>
            </w:tcBorders>
            <w:vAlign w:val="center"/>
          </w:tcPr>
          <w:p w14:paraId="5FC8C5F1">
            <w:pPr>
              <w:pStyle w:val="27"/>
              <w:snapToGrid w:val="0"/>
              <w:spacing w:line="240" w:lineRule="auto"/>
              <w:ind w:left="0" w:leftChars="0" w:right="0" w:rightChars="0" w:firstLine="0" w:firstLineChars="0"/>
              <w:jc w:val="center"/>
              <w:rPr>
                <w:b/>
              </w:rPr>
            </w:pPr>
            <w:r>
              <w:rPr>
                <w:b/>
              </w:rPr>
              <w:t>效度证据</w:t>
            </w:r>
          </w:p>
        </w:tc>
        <w:tc>
          <w:tcPr>
            <w:tcW w:w="2609" w:type="dxa"/>
            <w:tcBorders>
              <w:top w:val="single" w:color="auto" w:sz="12" w:space="0"/>
              <w:left w:val="nil"/>
              <w:bottom w:val="single" w:color="auto" w:sz="4" w:space="0"/>
              <w:right w:val="nil"/>
            </w:tcBorders>
            <w:vAlign w:val="center"/>
          </w:tcPr>
          <w:p w14:paraId="398C3763">
            <w:pPr>
              <w:pStyle w:val="27"/>
              <w:snapToGrid w:val="0"/>
              <w:spacing w:line="240" w:lineRule="auto"/>
              <w:ind w:left="0" w:leftChars="0" w:right="0" w:rightChars="0" w:firstLine="0" w:firstLineChars="0"/>
              <w:jc w:val="center"/>
              <w:rPr>
                <w:b/>
              </w:rPr>
            </w:pPr>
            <w:r>
              <w:rPr>
                <w:b/>
              </w:rPr>
              <w:t>信度系数</w:t>
            </w:r>
          </w:p>
        </w:tc>
        <w:tc>
          <w:tcPr>
            <w:tcW w:w="2422" w:type="dxa"/>
            <w:tcBorders>
              <w:top w:val="single" w:color="auto" w:sz="12" w:space="0"/>
              <w:left w:val="nil"/>
              <w:bottom w:val="single" w:color="auto" w:sz="4" w:space="0"/>
              <w:right w:val="nil"/>
            </w:tcBorders>
            <w:vAlign w:val="center"/>
          </w:tcPr>
          <w:p w14:paraId="6CACC75D">
            <w:pPr>
              <w:pStyle w:val="27"/>
              <w:snapToGrid w:val="0"/>
              <w:spacing w:line="240" w:lineRule="auto"/>
              <w:ind w:left="0" w:leftChars="0" w:right="0" w:rightChars="0" w:firstLine="0" w:firstLineChars="0"/>
              <w:jc w:val="center"/>
              <w:rPr>
                <w:b/>
              </w:rPr>
            </w:pPr>
            <w:r>
              <w:rPr>
                <w:b/>
              </w:rPr>
              <w:t>局限性</w:t>
            </w:r>
          </w:p>
        </w:tc>
      </w:tr>
      <w:tr w14:paraId="31B5FBF2">
        <w:tblPrEx>
          <w:tblCellMar>
            <w:top w:w="0" w:type="dxa"/>
            <w:left w:w="108" w:type="dxa"/>
            <w:bottom w:w="0" w:type="dxa"/>
            <w:right w:w="108" w:type="dxa"/>
          </w:tblCellMar>
        </w:tblPrEx>
        <w:trPr>
          <w:trHeight w:val="0" w:hRule="atLeast"/>
          <w:jc w:val="center"/>
        </w:trPr>
        <w:tc>
          <w:tcPr>
            <w:tcW w:w="2056" w:type="dxa"/>
            <w:tcBorders>
              <w:top w:val="single" w:color="auto" w:sz="4" w:space="0"/>
              <w:left w:val="nil"/>
              <w:bottom w:val="nil"/>
              <w:right w:val="nil"/>
            </w:tcBorders>
            <w:vAlign w:val="center"/>
          </w:tcPr>
          <w:p w14:paraId="533FBC05">
            <w:pPr>
              <w:pStyle w:val="27"/>
              <w:snapToGrid w:val="0"/>
              <w:spacing w:line="240" w:lineRule="auto"/>
              <w:ind w:left="0" w:leftChars="0" w:right="0" w:rightChars="0" w:firstLine="0" w:firstLineChars="0"/>
              <w:jc w:val="left"/>
            </w:pPr>
            <w:r>
              <w:rPr>
                <w:b/>
                <w:bCs/>
              </w:rPr>
              <w:t>内感受准确性（IAc）</w:t>
            </w:r>
          </w:p>
        </w:tc>
        <w:tc>
          <w:tcPr>
            <w:tcW w:w="1723" w:type="dxa"/>
            <w:tcBorders>
              <w:top w:val="single" w:color="auto" w:sz="4" w:space="0"/>
              <w:left w:val="nil"/>
              <w:bottom w:val="nil"/>
              <w:right w:val="nil"/>
            </w:tcBorders>
            <w:vAlign w:val="center"/>
          </w:tcPr>
          <w:p w14:paraId="77387632">
            <w:pPr>
              <w:pStyle w:val="27"/>
              <w:snapToGrid w:val="0"/>
              <w:spacing w:line="240" w:lineRule="auto"/>
              <w:ind w:left="0" w:leftChars="0" w:right="0" w:rightChars="0" w:firstLine="0" w:firstLineChars="0"/>
              <w:jc w:val="left"/>
            </w:pPr>
            <w:r>
              <w:t>心跳知觉任务（HPT）</w:t>
            </w:r>
          </w:p>
        </w:tc>
        <w:tc>
          <w:tcPr>
            <w:tcW w:w="1656" w:type="dxa"/>
            <w:tcBorders>
              <w:top w:val="single" w:color="auto" w:sz="4" w:space="0"/>
              <w:left w:val="nil"/>
              <w:bottom w:val="nil"/>
              <w:right w:val="nil"/>
            </w:tcBorders>
            <w:vAlign w:val="center"/>
          </w:tcPr>
          <w:p w14:paraId="2E431653">
            <w:pPr>
              <w:pStyle w:val="27"/>
              <w:snapToGrid w:val="0"/>
              <w:spacing w:line="240" w:lineRule="auto"/>
              <w:ind w:left="0" w:leftChars="0" w:right="0" w:rightChars="0" w:firstLine="0" w:firstLineChars="0"/>
              <w:jc w:val="left"/>
            </w:pPr>
            <w:r>
              <w:t>与岛叶结构/功能相关</w:t>
            </w:r>
          </w:p>
        </w:tc>
        <w:tc>
          <w:tcPr>
            <w:tcW w:w="2609" w:type="dxa"/>
            <w:tcBorders>
              <w:top w:val="single" w:color="auto" w:sz="4" w:space="0"/>
              <w:left w:val="nil"/>
              <w:bottom w:val="nil"/>
              <w:right w:val="nil"/>
            </w:tcBorders>
            <w:vAlign w:val="center"/>
          </w:tcPr>
          <w:p w14:paraId="72388B44">
            <w:pPr>
              <w:pStyle w:val="27"/>
              <w:snapToGrid w:val="0"/>
              <w:spacing w:line="240" w:lineRule="auto"/>
              <w:ind w:left="0" w:leftChars="0" w:right="0" w:rightChars="0" w:firstLine="0" w:firstLineChars="0"/>
              <w:jc w:val="left"/>
            </w:pPr>
            <w:r>
              <w:t>测试-重测信度 r=0.65</w:t>
            </w:r>
          </w:p>
        </w:tc>
        <w:tc>
          <w:tcPr>
            <w:tcW w:w="2422" w:type="dxa"/>
            <w:tcBorders>
              <w:top w:val="single" w:color="auto" w:sz="4" w:space="0"/>
              <w:left w:val="nil"/>
              <w:bottom w:val="nil"/>
              <w:right w:val="nil"/>
            </w:tcBorders>
            <w:vAlign w:val="center"/>
          </w:tcPr>
          <w:p w14:paraId="42AF92BB">
            <w:pPr>
              <w:pStyle w:val="27"/>
              <w:snapToGrid w:val="0"/>
              <w:spacing w:line="240" w:lineRule="auto"/>
              <w:ind w:left="0" w:leftChars="0" w:right="0" w:rightChars="0" w:firstLine="0" w:firstLineChars="0"/>
              <w:jc w:val="left"/>
            </w:pPr>
            <w:r>
              <w:t>受心率变异性（HRV）基线影响；认知策略污染风险</w:t>
            </w:r>
          </w:p>
        </w:tc>
      </w:tr>
      <w:tr w14:paraId="09FC2954">
        <w:tblPrEx>
          <w:tblCellMar>
            <w:top w:w="0" w:type="dxa"/>
            <w:left w:w="108" w:type="dxa"/>
            <w:bottom w:w="0" w:type="dxa"/>
            <w:right w:w="108" w:type="dxa"/>
          </w:tblCellMar>
        </w:tblPrEx>
        <w:trPr>
          <w:trHeight w:val="0" w:hRule="atLeast"/>
          <w:jc w:val="center"/>
        </w:trPr>
        <w:tc>
          <w:tcPr>
            <w:tcW w:w="2056" w:type="dxa"/>
            <w:tcBorders>
              <w:top w:val="nil"/>
              <w:left w:val="nil"/>
              <w:bottom w:val="nil"/>
              <w:right w:val="nil"/>
            </w:tcBorders>
            <w:vAlign w:val="center"/>
          </w:tcPr>
          <w:p w14:paraId="7820932F">
            <w:pPr>
              <w:pStyle w:val="27"/>
              <w:snapToGrid w:val="0"/>
              <w:spacing w:line="240" w:lineRule="auto"/>
              <w:ind w:left="0" w:leftChars="0" w:right="0" w:rightChars="0" w:firstLine="0" w:firstLineChars="0"/>
              <w:jc w:val="left"/>
            </w:pPr>
            <w:r>
              <w:rPr>
                <w:b/>
                <w:bCs/>
              </w:rPr>
              <w:t>情绪粒度（Emotional Granularity）</w:t>
            </w:r>
          </w:p>
        </w:tc>
        <w:tc>
          <w:tcPr>
            <w:tcW w:w="1723" w:type="dxa"/>
            <w:tcBorders>
              <w:top w:val="nil"/>
              <w:left w:val="nil"/>
              <w:bottom w:val="nil"/>
              <w:right w:val="nil"/>
            </w:tcBorders>
            <w:vAlign w:val="center"/>
          </w:tcPr>
          <w:p w14:paraId="421C2FDE">
            <w:pPr>
              <w:pStyle w:val="27"/>
              <w:snapToGrid w:val="0"/>
              <w:spacing w:line="240" w:lineRule="auto"/>
              <w:ind w:left="0" w:leftChars="0" w:right="0" w:rightChars="0" w:firstLine="0" w:firstLineChars="0"/>
              <w:jc w:val="left"/>
            </w:pPr>
            <w:r>
              <w:t>情绪轮盘（Emotion Wheel）+ 日记法</w:t>
            </w:r>
          </w:p>
        </w:tc>
        <w:tc>
          <w:tcPr>
            <w:tcW w:w="1656" w:type="dxa"/>
            <w:tcBorders>
              <w:top w:val="nil"/>
              <w:left w:val="nil"/>
              <w:bottom w:val="nil"/>
              <w:right w:val="nil"/>
            </w:tcBorders>
            <w:vAlign w:val="center"/>
          </w:tcPr>
          <w:p w14:paraId="2DB4C212">
            <w:pPr>
              <w:pStyle w:val="27"/>
              <w:snapToGrid w:val="0"/>
              <w:spacing w:line="240" w:lineRule="auto"/>
              <w:ind w:left="0" w:leftChars="0" w:right="0" w:rightChars="0" w:firstLine="0" w:firstLineChars="0"/>
              <w:jc w:val="left"/>
            </w:pPr>
            <w:r>
              <w:t>与情绪调节能力正相关</w:t>
            </w:r>
          </w:p>
        </w:tc>
        <w:tc>
          <w:tcPr>
            <w:tcW w:w="2609" w:type="dxa"/>
            <w:tcBorders>
              <w:top w:val="nil"/>
              <w:left w:val="nil"/>
              <w:bottom w:val="nil"/>
              <w:right w:val="nil"/>
            </w:tcBorders>
            <w:vAlign w:val="center"/>
          </w:tcPr>
          <w:p w14:paraId="62EB583A">
            <w:pPr>
              <w:pStyle w:val="27"/>
              <w:snapToGrid w:val="0"/>
              <w:spacing w:line="240" w:lineRule="auto"/>
              <w:ind w:left="0" w:leftChars="0" w:right="0" w:rightChars="0" w:firstLine="0" w:firstLineChars="0"/>
              <w:jc w:val="left"/>
            </w:pPr>
            <w:r>
              <w:t>内部一致性 α=0.78</w:t>
            </w:r>
          </w:p>
        </w:tc>
        <w:tc>
          <w:tcPr>
            <w:tcW w:w="2422" w:type="dxa"/>
            <w:tcBorders>
              <w:top w:val="nil"/>
              <w:left w:val="nil"/>
              <w:bottom w:val="nil"/>
              <w:right w:val="nil"/>
            </w:tcBorders>
            <w:vAlign w:val="center"/>
          </w:tcPr>
          <w:p w14:paraId="04160AF6">
            <w:pPr>
              <w:pStyle w:val="27"/>
              <w:snapToGrid w:val="0"/>
              <w:spacing w:line="240" w:lineRule="auto"/>
              <w:ind w:left="0" w:leftChars="0" w:right="0" w:rightChars="0" w:firstLine="0" w:firstLineChars="0"/>
              <w:jc w:val="left"/>
            </w:pPr>
            <w:r>
              <w:t>自报告偏差；文化差异（集体主义vs个人主义）</w:t>
            </w:r>
          </w:p>
        </w:tc>
      </w:tr>
      <w:tr w14:paraId="346427CA">
        <w:tblPrEx>
          <w:tblCellMar>
            <w:top w:w="0" w:type="dxa"/>
            <w:left w:w="108" w:type="dxa"/>
            <w:bottom w:w="0" w:type="dxa"/>
            <w:right w:w="108" w:type="dxa"/>
          </w:tblCellMar>
        </w:tblPrEx>
        <w:trPr>
          <w:trHeight w:val="0" w:hRule="atLeast"/>
          <w:jc w:val="center"/>
        </w:trPr>
        <w:tc>
          <w:tcPr>
            <w:tcW w:w="2056" w:type="dxa"/>
            <w:tcBorders>
              <w:top w:val="nil"/>
              <w:left w:val="nil"/>
              <w:bottom w:val="nil"/>
              <w:right w:val="nil"/>
            </w:tcBorders>
            <w:vAlign w:val="center"/>
          </w:tcPr>
          <w:p w14:paraId="2FE1E105">
            <w:pPr>
              <w:pStyle w:val="27"/>
              <w:snapToGrid w:val="0"/>
              <w:spacing w:line="240" w:lineRule="auto"/>
              <w:ind w:left="0" w:leftChars="0" w:right="0" w:rightChars="0" w:firstLine="0" w:firstLineChars="0"/>
              <w:jc w:val="left"/>
            </w:pPr>
            <w:r>
              <w:rPr>
                <w:b/>
                <w:bCs/>
              </w:rPr>
              <w:t>直觉准确率</w:t>
            </w:r>
          </w:p>
        </w:tc>
        <w:tc>
          <w:tcPr>
            <w:tcW w:w="1723" w:type="dxa"/>
            <w:tcBorders>
              <w:top w:val="nil"/>
              <w:left w:val="nil"/>
              <w:bottom w:val="nil"/>
              <w:right w:val="nil"/>
            </w:tcBorders>
            <w:vAlign w:val="center"/>
          </w:tcPr>
          <w:p w14:paraId="33872D86">
            <w:pPr>
              <w:pStyle w:val="27"/>
              <w:snapToGrid w:val="0"/>
              <w:spacing w:line="240" w:lineRule="auto"/>
              <w:ind w:left="0" w:leftChars="0" w:right="0" w:rightChars="0" w:firstLine="0" w:firstLineChars="0"/>
              <w:jc w:val="left"/>
            </w:pPr>
            <w:r>
              <w:t>决策日志（Decision Journal）</w:t>
            </w:r>
          </w:p>
        </w:tc>
        <w:tc>
          <w:tcPr>
            <w:tcW w:w="1656" w:type="dxa"/>
            <w:tcBorders>
              <w:top w:val="nil"/>
              <w:left w:val="nil"/>
              <w:bottom w:val="nil"/>
              <w:right w:val="nil"/>
            </w:tcBorders>
            <w:vAlign w:val="center"/>
          </w:tcPr>
          <w:p w14:paraId="59A927D1">
            <w:pPr>
              <w:pStyle w:val="27"/>
              <w:snapToGrid w:val="0"/>
              <w:spacing w:line="240" w:lineRule="auto"/>
              <w:ind w:left="0" w:leftChars="0" w:right="0" w:rightChars="0" w:firstLine="0" w:firstLineChars="0"/>
              <w:jc w:val="left"/>
            </w:pPr>
            <w:r>
              <w:t>预测效度（Predictive Validity）待验证</w:t>
            </w:r>
          </w:p>
        </w:tc>
        <w:tc>
          <w:tcPr>
            <w:tcW w:w="2609" w:type="dxa"/>
            <w:tcBorders>
              <w:top w:val="nil"/>
              <w:left w:val="nil"/>
              <w:bottom w:val="nil"/>
              <w:right w:val="nil"/>
            </w:tcBorders>
            <w:vAlign w:val="center"/>
          </w:tcPr>
          <w:p w14:paraId="30FA1C96">
            <w:pPr>
              <w:pStyle w:val="27"/>
              <w:snapToGrid w:val="0"/>
              <w:spacing w:line="240" w:lineRule="auto"/>
              <w:ind w:left="0" w:leftChars="0" w:right="0" w:rightChars="0" w:firstLine="0" w:firstLineChars="0"/>
              <w:jc w:val="left"/>
            </w:pPr>
            <w:r>
              <w:t>依赖情境特异性</w:t>
            </w:r>
          </w:p>
        </w:tc>
        <w:tc>
          <w:tcPr>
            <w:tcW w:w="2422" w:type="dxa"/>
            <w:tcBorders>
              <w:top w:val="nil"/>
              <w:left w:val="nil"/>
              <w:bottom w:val="nil"/>
              <w:right w:val="nil"/>
            </w:tcBorders>
            <w:vAlign w:val="center"/>
          </w:tcPr>
          <w:p w14:paraId="3ABC8F66">
            <w:pPr>
              <w:pStyle w:val="27"/>
              <w:snapToGrid w:val="0"/>
              <w:spacing w:line="240" w:lineRule="auto"/>
              <w:ind w:left="0" w:leftChars="0" w:right="0" w:rightChars="0" w:firstLine="0" w:firstLineChars="0"/>
              <w:jc w:val="left"/>
            </w:pPr>
            <w:r>
              <w:t>后见之明偏差（Hindsight Bias）难以完全排除</w:t>
            </w:r>
          </w:p>
        </w:tc>
      </w:tr>
      <w:tr w14:paraId="4F3FA413">
        <w:tblPrEx>
          <w:tblCellMar>
            <w:top w:w="0" w:type="dxa"/>
            <w:left w:w="108" w:type="dxa"/>
            <w:bottom w:w="0" w:type="dxa"/>
            <w:right w:w="108" w:type="dxa"/>
          </w:tblCellMar>
        </w:tblPrEx>
        <w:trPr>
          <w:trHeight w:val="0" w:hRule="atLeast"/>
          <w:jc w:val="center"/>
        </w:trPr>
        <w:tc>
          <w:tcPr>
            <w:tcW w:w="2056" w:type="dxa"/>
            <w:tcBorders>
              <w:top w:val="nil"/>
              <w:left w:val="nil"/>
              <w:bottom w:val="single" w:color="auto" w:sz="12" w:space="0"/>
              <w:right w:val="nil"/>
            </w:tcBorders>
            <w:vAlign w:val="center"/>
          </w:tcPr>
          <w:p w14:paraId="1C384A7B">
            <w:pPr>
              <w:pStyle w:val="27"/>
              <w:snapToGrid w:val="0"/>
              <w:spacing w:line="240" w:lineRule="auto"/>
              <w:ind w:left="0" w:leftChars="0" w:right="0" w:rightChars="0" w:firstLine="0" w:firstLineChars="0"/>
              <w:jc w:val="left"/>
            </w:pPr>
            <w:r>
              <w:rPr>
                <w:b/>
                <w:bCs/>
              </w:rPr>
              <w:t>认知偏差识别</w:t>
            </w:r>
          </w:p>
        </w:tc>
        <w:tc>
          <w:tcPr>
            <w:tcW w:w="1723" w:type="dxa"/>
            <w:tcBorders>
              <w:top w:val="nil"/>
              <w:left w:val="nil"/>
              <w:bottom w:val="single" w:color="auto" w:sz="12" w:space="0"/>
              <w:right w:val="nil"/>
            </w:tcBorders>
            <w:vAlign w:val="center"/>
          </w:tcPr>
          <w:p w14:paraId="0EE69A74">
            <w:pPr>
              <w:pStyle w:val="27"/>
              <w:snapToGrid w:val="0"/>
              <w:spacing w:line="240" w:lineRule="auto"/>
              <w:ind w:left="0" w:leftChars="0" w:right="0" w:rightChars="0" w:firstLine="0" w:firstLineChars="0"/>
              <w:jc w:val="left"/>
            </w:pPr>
            <w:r>
              <w:t>认知反思测试（CRT）</w:t>
            </w:r>
          </w:p>
        </w:tc>
        <w:tc>
          <w:tcPr>
            <w:tcW w:w="1656" w:type="dxa"/>
            <w:tcBorders>
              <w:top w:val="nil"/>
              <w:left w:val="nil"/>
              <w:bottom w:val="single" w:color="auto" w:sz="12" w:space="0"/>
              <w:right w:val="nil"/>
            </w:tcBorders>
            <w:vAlign w:val="center"/>
          </w:tcPr>
          <w:p w14:paraId="49BF718D">
            <w:pPr>
              <w:pStyle w:val="27"/>
              <w:snapToGrid w:val="0"/>
              <w:spacing w:line="240" w:lineRule="auto"/>
              <w:ind w:left="0" w:leftChars="0" w:right="0" w:rightChars="0" w:firstLine="0" w:firstLineChars="0"/>
              <w:jc w:val="left"/>
            </w:pPr>
            <w:r>
              <w:t>与理性思维倾向相关</w:t>
            </w:r>
          </w:p>
        </w:tc>
        <w:tc>
          <w:tcPr>
            <w:tcW w:w="2609" w:type="dxa"/>
            <w:tcBorders>
              <w:top w:val="nil"/>
              <w:left w:val="nil"/>
              <w:bottom w:val="single" w:color="auto" w:sz="12" w:space="0"/>
              <w:right w:val="nil"/>
            </w:tcBorders>
            <w:vAlign w:val="center"/>
          </w:tcPr>
          <w:p w14:paraId="1EAEEEC8">
            <w:pPr>
              <w:pStyle w:val="27"/>
              <w:snapToGrid w:val="0"/>
              <w:spacing w:line="240" w:lineRule="auto"/>
              <w:ind w:left="0" w:leftChars="0" w:right="0" w:rightChars="0" w:firstLine="0" w:firstLineChars="0"/>
              <w:jc w:val="left"/>
            </w:pPr>
            <w:r>
              <w:t>重测信度 r=0.70</w:t>
            </w:r>
          </w:p>
        </w:tc>
        <w:tc>
          <w:tcPr>
            <w:tcW w:w="2422" w:type="dxa"/>
            <w:tcBorders>
              <w:top w:val="nil"/>
              <w:left w:val="nil"/>
              <w:bottom w:val="single" w:color="auto" w:sz="12" w:space="0"/>
              <w:right w:val="nil"/>
            </w:tcBorders>
            <w:vAlign w:val="center"/>
          </w:tcPr>
          <w:p w14:paraId="53396D73">
            <w:pPr>
              <w:pStyle w:val="27"/>
              <w:snapToGrid w:val="0"/>
              <w:spacing w:line="240" w:lineRule="auto"/>
              <w:ind w:left="0" w:leftChars="0" w:right="0" w:rightChars="0" w:firstLine="0" w:firstLineChars="0"/>
              <w:jc w:val="left"/>
            </w:pPr>
            <w:r>
              <w:t>天花板效应（高认知能力者）；文化适应性问题</w:t>
            </w:r>
          </w:p>
        </w:tc>
      </w:tr>
      <w:bookmarkEnd w:id="31"/>
    </w:tbl>
    <w:p w14:paraId="03D89446">
      <w:pPr>
        <w:pStyle w:val="5"/>
      </w:pPr>
      <w:bookmarkStart w:id="32" w:name="关键效度威胁threats-to-validity"/>
      <w:r>
        <w:t>8.2 关键效度威胁（Threats to Validity）</w:t>
      </w:r>
    </w:p>
    <w:p w14:paraId="76DE6D56">
      <w:pPr>
        <w:numPr>
          <w:ilvl w:val="0"/>
          <w:numId w:val="4"/>
        </w:numPr>
      </w:pPr>
      <w:r>
        <w:rPr>
          <w:b/>
          <w:bCs/>
        </w:rPr>
        <w:t>构念效度（Construct Validity）</w:t>
      </w:r>
      <w:r>
        <w:t>：“感知力”作为构念与”直觉”、“内感受”、“情绪智力”存在</w:t>
      </w:r>
      <w:r>
        <w:rPr>
          <w:b/>
          <w:bCs/>
        </w:rPr>
        <w:t>区分效度</w:t>
      </w:r>
      <w:r>
        <w:t>（Discriminant Validity）风险。需通过验证性因子分析（CFA）确认独特性。</w:t>
      </w:r>
    </w:p>
    <w:p w14:paraId="76AF4B14">
      <w:pPr>
        <w:numPr>
          <w:ilvl w:val="0"/>
          <w:numId w:val="4"/>
        </w:numPr>
      </w:pPr>
      <w:r>
        <w:rPr>
          <w:b/>
          <w:bCs/>
        </w:rPr>
        <w:t>生态效度（Ecological Validity）</w:t>
      </w:r>
      <w:r>
        <w:t>：实验室训练效果（如冥想提升HPT表现）向真实商业决策的迁移存在</w:t>
      </w:r>
      <w:r>
        <w:rPr>
          <w:b/>
          <w:bCs/>
        </w:rPr>
        <w:t>情境鸿沟</w:t>
      </w:r>
      <w:r>
        <w:t>。建议采用</w:t>
      </w:r>
      <w:r>
        <w:rPr>
          <w:b/>
          <w:bCs/>
        </w:rPr>
        <w:t>多方法三角验证</w:t>
      </w:r>
      <w:r>
        <w:t>（Multi-Method Triangulation）：实验室任务 + 模拟决策 + 真实决策追踪。</w:t>
      </w:r>
    </w:p>
    <w:p w14:paraId="47E5C288">
      <w:pPr>
        <w:numPr>
          <w:ilvl w:val="0"/>
          <w:numId w:val="4"/>
        </w:numPr>
      </w:pPr>
      <w:r>
        <w:rPr>
          <w:b/>
          <w:bCs/>
        </w:rPr>
        <w:t>社会期望偏差（Social Desirability Bias）</w:t>
      </w:r>
      <w:r>
        <w:t>：自我报告的”感知力提升”可能反映训练投入感而非真实能力变化。需引入</w:t>
      </w:r>
      <w:r>
        <w:rPr>
          <w:b/>
          <w:bCs/>
        </w:rPr>
        <w:t>行为测量</w:t>
      </w:r>
      <w:r>
        <w:t>（如微表情识别任务、生理指标）作为效标。</w:t>
      </w:r>
    </w:p>
    <w:p w14:paraId="0149A26F">
      <w:r>
        <w:pict>
          <v:rect id="_x0000_i1041" o:spt="1" style="height:1.5pt;width:0pt;" coordsize="21600,21600" o:hr="t" o:hrstd="t" o:hralign="center">
            <v:path/>
            <v:fill focussize="0,0"/>
            <v:stroke/>
            <v:imagedata o:title=""/>
            <o:lock v:ext="edit"/>
            <w10:wrap type="none"/>
            <w10:anchorlock/>
          </v:rect>
        </w:pict>
      </w:r>
    </w:p>
    <w:bookmarkEnd w:id="30"/>
    <w:bookmarkEnd w:id="32"/>
    <w:p w14:paraId="77F51381">
      <w:pPr>
        <w:pStyle w:val="4"/>
      </w:pPr>
      <w:bookmarkStart w:id="33" w:name="Xad767a020643f498dc1cca20b30284189440d45"/>
      <w:r>
        <w:t>9. 非真实内容的处理策略与学术定位（Handling Simulated Content）</w:t>
      </w:r>
    </w:p>
    <w:p w14:paraId="6841479F">
      <w:pPr>
        <w:pStyle w:val="5"/>
      </w:pPr>
      <w:bookmarkStart w:id="34" w:name="模拟性内容的分类与标注体系"/>
      <w:r>
        <w:t>9.1 模拟性内容的分类与标注体系</w:t>
      </w:r>
    </w:p>
    <w:p w14:paraId="55C2279D">
      <w:pPr>
        <w:pStyle w:val="26"/>
      </w:pPr>
      <w:r>
        <w:t>根据学术严谨性要求，以下内容为</w:t>
      </w:r>
      <w:r>
        <w:rPr>
          <w:b/>
          <w:bCs/>
        </w:rPr>
        <w:t>理论推断或实务建构</w:t>
      </w:r>
      <w:r>
        <w:t>，尚未经实证研究直接验证：</w:t>
      </w:r>
    </w:p>
    <w:tbl>
      <w:tblPr>
        <w:tblStyle w:val="44"/>
        <w:tblW w:w="9142" w:type="dxa"/>
        <w:jc w:val="center"/>
        <w:tblLayout w:type="autofit"/>
        <w:tblCellMar>
          <w:top w:w="0" w:type="dxa"/>
          <w:left w:w="108" w:type="dxa"/>
          <w:bottom w:w="0" w:type="dxa"/>
          <w:right w:w="108" w:type="dxa"/>
        </w:tblCellMar>
      </w:tblPr>
      <w:tblGrid>
        <w:gridCol w:w="1299"/>
        <w:gridCol w:w="1955"/>
        <w:gridCol w:w="2672"/>
        <w:gridCol w:w="3216"/>
      </w:tblGrid>
      <w:tr w14:paraId="512A4237">
        <w:tblPrEx>
          <w:tblCellMar>
            <w:top w:w="0" w:type="dxa"/>
            <w:left w:w="108" w:type="dxa"/>
            <w:bottom w:w="0" w:type="dxa"/>
            <w:right w:w="108" w:type="dxa"/>
          </w:tblCellMar>
        </w:tblPrEx>
        <w:trPr>
          <w:trHeight w:val="0" w:hRule="atLeast"/>
          <w:tblHeader/>
          <w:jc w:val="center"/>
        </w:trPr>
        <w:tc>
          <w:tcPr>
            <w:tcW w:w="1299" w:type="dxa"/>
            <w:tcBorders>
              <w:top w:val="single" w:color="auto" w:sz="12" w:space="0"/>
              <w:left w:val="nil"/>
              <w:bottom w:val="single" w:color="auto" w:sz="4" w:space="0"/>
              <w:right w:val="nil"/>
            </w:tcBorders>
            <w:vAlign w:val="center"/>
          </w:tcPr>
          <w:p w14:paraId="5214616B">
            <w:pPr>
              <w:pStyle w:val="27"/>
              <w:snapToGrid w:val="0"/>
              <w:spacing w:line="240" w:lineRule="auto"/>
              <w:ind w:left="0" w:leftChars="0" w:right="0" w:rightChars="0" w:firstLine="0" w:firstLineChars="0"/>
              <w:jc w:val="center"/>
              <w:rPr>
                <w:b/>
              </w:rPr>
            </w:pPr>
            <w:r>
              <w:rPr>
                <w:b/>
              </w:rPr>
              <w:t>内容类别</w:t>
            </w:r>
          </w:p>
        </w:tc>
        <w:tc>
          <w:tcPr>
            <w:tcW w:w="1955" w:type="dxa"/>
            <w:tcBorders>
              <w:top w:val="single" w:color="auto" w:sz="12" w:space="0"/>
              <w:left w:val="nil"/>
              <w:bottom w:val="single" w:color="auto" w:sz="4" w:space="0"/>
              <w:right w:val="nil"/>
            </w:tcBorders>
            <w:vAlign w:val="center"/>
          </w:tcPr>
          <w:p w14:paraId="07575093">
            <w:pPr>
              <w:pStyle w:val="27"/>
              <w:snapToGrid w:val="0"/>
              <w:spacing w:line="240" w:lineRule="auto"/>
              <w:ind w:left="0" w:leftChars="0" w:right="0" w:rightChars="0" w:firstLine="0" w:firstLineChars="0"/>
              <w:jc w:val="center"/>
              <w:rPr>
                <w:b/>
              </w:rPr>
            </w:pPr>
            <w:r>
              <w:rPr>
                <w:b/>
              </w:rPr>
              <w:t>具体示例</w:t>
            </w:r>
          </w:p>
        </w:tc>
        <w:tc>
          <w:tcPr>
            <w:tcW w:w="2672" w:type="dxa"/>
            <w:tcBorders>
              <w:top w:val="single" w:color="auto" w:sz="12" w:space="0"/>
              <w:left w:val="nil"/>
              <w:bottom w:val="single" w:color="auto" w:sz="4" w:space="0"/>
              <w:right w:val="nil"/>
            </w:tcBorders>
            <w:vAlign w:val="center"/>
          </w:tcPr>
          <w:p w14:paraId="3ADB5A4E">
            <w:pPr>
              <w:pStyle w:val="27"/>
              <w:snapToGrid w:val="0"/>
              <w:spacing w:line="240" w:lineRule="auto"/>
              <w:ind w:left="0" w:leftChars="0" w:right="0" w:rightChars="0" w:firstLine="0" w:firstLineChars="0"/>
              <w:jc w:val="center"/>
              <w:rPr>
                <w:b/>
              </w:rPr>
            </w:pPr>
            <w:r>
              <w:rPr>
                <w:b/>
              </w:rPr>
              <w:t>处理方式</w:t>
            </w:r>
          </w:p>
        </w:tc>
        <w:tc>
          <w:tcPr>
            <w:tcW w:w="3216" w:type="dxa"/>
            <w:tcBorders>
              <w:top w:val="single" w:color="auto" w:sz="12" w:space="0"/>
              <w:left w:val="nil"/>
              <w:bottom w:val="single" w:color="auto" w:sz="4" w:space="0"/>
              <w:right w:val="nil"/>
            </w:tcBorders>
            <w:vAlign w:val="center"/>
          </w:tcPr>
          <w:p w14:paraId="2952DD70">
            <w:pPr>
              <w:pStyle w:val="27"/>
              <w:snapToGrid w:val="0"/>
              <w:spacing w:line="240" w:lineRule="auto"/>
              <w:ind w:left="0" w:leftChars="0" w:right="0" w:rightChars="0" w:firstLine="0" w:firstLineChars="0"/>
              <w:jc w:val="center"/>
              <w:rPr>
                <w:b/>
              </w:rPr>
            </w:pPr>
            <w:r>
              <w:rPr>
                <w:b/>
              </w:rPr>
              <w:t>学术定位</w:t>
            </w:r>
          </w:p>
        </w:tc>
      </w:tr>
      <w:tr w14:paraId="0B2DDCD8">
        <w:tblPrEx>
          <w:tblCellMar>
            <w:top w:w="0" w:type="dxa"/>
            <w:left w:w="108" w:type="dxa"/>
            <w:bottom w:w="0" w:type="dxa"/>
            <w:right w:w="108" w:type="dxa"/>
          </w:tblCellMar>
        </w:tblPrEx>
        <w:trPr>
          <w:trHeight w:val="0" w:hRule="atLeast"/>
          <w:jc w:val="center"/>
        </w:trPr>
        <w:tc>
          <w:tcPr>
            <w:tcW w:w="1299" w:type="dxa"/>
            <w:tcBorders>
              <w:top w:val="single" w:color="auto" w:sz="4" w:space="0"/>
              <w:left w:val="nil"/>
              <w:bottom w:val="nil"/>
              <w:right w:val="nil"/>
            </w:tcBorders>
            <w:vAlign w:val="center"/>
          </w:tcPr>
          <w:p w14:paraId="64ED4F24">
            <w:pPr>
              <w:pStyle w:val="27"/>
              <w:snapToGrid w:val="0"/>
              <w:spacing w:line="240" w:lineRule="auto"/>
              <w:ind w:left="0" w:leftChars="0" w:right="0" w:rightChars="0" w:firstLine="0" w:firstLineChars="0"/>
              <w:jc w:val="center"/>
            </w:pPr>
            <w:r>
              <w:rPr>
                <w:b/>
                <w:bCs/>
              </w:rPr>
              <w:t>参数阈值</w:t>
            </w:r>
          </w:p>
        </w:tc>
        <w:tc>
          <w:tcPr>
            <w:tcW w:w="1955" w:type="dxa"/>
            <w:tcBorders>
              <w:top w:val="single" w:color="auto" w:sz="4" w:space="0"/>
              <w:left w:val="nil"/>
              <w:bottom w:val="nil"/>
              <w:right w:val="nil"/>
            </w:tcBorders>
            <w:vAlign w:val="center"/>
          </w:tcPr>
          <w:p w14:paraId="4DE254F9">
            <w:pPr>
              <w:pStyle w:val="27"/>
              <w:snapToGrid w:val="0"/>
              <w:spacing w:line="240" w:lineRule="auto"/>
              <w:ind w:left="0" w:leftChars="0" w:right="0" w:rightChars="0" w:firstLine="0" w:firstLineChars="0"/>
              <w:jc w:val="left"/>
            </w:pPr>
            <w:r>
              <w:t>“准确率≥70%”、“6个月基础建立”</w:t>
            </w:r>
          </w:p>
        </w:tc>
        <w:tc>
          <w:tcPr>
            <w:tcW w:w="2672" w:type="dxa"/>
            <w:tcBorders>
              <w:top w:val="single" w:color="auto" w:sz="4" w:space="0"/>
              <w:left w:val="nil"/>
              <w:bottom w:val="nil"/>
              <w:right w:val="nil"/>
            </w:tcBorders>
            <w:vAlign w:val="center"/>
          </w:tcPr>
          <w:p w14:paraId="165FF0B2">
            <w:pPr>
              <w:pStyle w:val="27"/>
              <w:snapToGrid w:val="0"/>
              <w:spacing w:line="240" w:lineRule="auto"/>
              <w:ind w:left="0" w:leftChars="0" w:right="0" w:rightChars="0" w:firstLine="0" w:firstLineChars="0"/>
              <w:jc w:val="left"/>
            </w:pPr>
            <w:r>
              <w:t>标注为”[方法论假设：Methodological Hypothesis]”</w:t>
            </w:r>
          </w:p>
        </w:tc>
        <w:tc>
          <w:tcPr>
            <w:tcW w:w="3216" w:type="dxa"/>
            <w:tcBorders>
              <w:top w:val="single" w:color="auto" w:sz="4" w:space="0"/>
              <w:left w:val="nil"/>
              <w:bottom w:val="nil"/>
              <w:right w:val="nil"/>
            </w:tcBorders>
            <w:vAlign w:val="center"/>
          </w:tcPr>
          <w:p w14:paraId="1B2EED27">
            <w:pPr>
              <w:pStyle w:val="27"/>
              <w:snapToGrid w:val="0"/>
              <w:spacing w:line="240" w:lineRule="auto"/>
              <w:ind w:left="0" w:leftChars="0" w:right="0" w:rightChars="0" w:firstLine="0" w:firstLineChars="0"/>
              <w:jc w:val="left"/>
            </w:pPr>
            <w:r>
              <w:t>基于学习曲线理论的估算值，建议用户建立个人基线</w:t>
            </w:r>
          </w:p>
        </w:tc>
      </w:tr>
      <w:tr w14:paraId="077B1174">
        <w:tblPrEx>
          <w:tblCellMar>
            <w:top w:w="0" w:type="dxa"/>
            <w:left w:w="108" w:type="dxa"/>
            <w:bottom w:w="0" w:type="dxa"/>
            <w:right w:w="108" w:type="dxa"/>
          </w:tblCellMar>
        </w:tblPrEx>
        <w:trPr>
          <w:trHeight w:val="0" w:hRule="atLeast"/>
          <w:jc w:val="center"/>
        </w:trPr>
        <w:tc>
          <w:tcPr>
            <w:tcW w:w="1299" w:type="dxa"/>
            <w:tcBorders>
              <w:top w:val="nil"/>
              <w:left w:val="nil"/>
              <w:bottom w:val="nil"/>
              <w:right w:val="nil"/>
            </w:tcBorders>
            <w:vAlign w:val="center"/>
          </w:tcPr>
          <w:p w14:paraId="23135F47">
            <w:pPr>
              <w:pStyle w:val="27"/>
              <w:snapToGrid w:val="0"/>
              <w:spacing w:line="240" w:lineRule="auto"/>
              <w:ind w:left="0" w:leftChars="0" w:right="0" w:rightChars="0" w:firstLine="0" w:firstLineChars="0"/>
              <w:jc w:val="center"/>
            </w:pPr>
            <w:r>
              <w:rPr>
                <w:b/>
                <w:bCs/>
              </w:rPr>
              <w:t>阶段模型</w:t>
            </w:r>
          </w:p>
        </w:tc>
        <w:tc>
          <w:tcPr>
            <w:tcW w:w="1955" w:type="dxa"/>
            <w:tcBorders>
              <w:top w:val="nil"/>
              <w:left w:val="nil"/>
              <w:bottom w:val="nil"/>
              <w:right w:val="nil"/>
            </w:tcBorders>
            <w:vAlign w:val="center"/>
          </w:tcPr>
          <w:p w14:paraId="0EB629C1">
            <w:pPr>
              <w:pStyle w:val="27"/>
              <w:snapToGrid w:val="0"/>
              <w:spacing w:line="240" w:lineRule="auto"/>
              <w:ind w:left="0" w:leftChars="0" w:right="0" w:rightChars="0" w:firstLine="0" w:firstLineChars="0"/>
              <w:jc w:val="left"/>
            </w:pPr>
            <w:r>
              <w:t>合伙人选择四阶段（初识期→深度交流期→合作试探期→长期承诺期）</w:t>
            </w:r>
          </w:p>
        </w:tc>
        <w:tc>
          <w:tcPr>
            <w:tcW w:w="2672" w:type="dxa"/>
            <w:tcBorders>
              <w:top w:val="nil"/>
              <w:left w:val="nil"/>
              <w:bottom w:val="nil"/>
              <w:right w:val="nil"/>
            </w:tcBorders>
            <w:vAlign w:val="center"/>
          </w:tcPr>
          <w:p w14:paraId="34F6EBB3">
            <w:pPr>
              <w:pStyle w:val="27"/>
              <w:snapToGrid w:val="0"/>
              <w:spacing w:line="240" w:lineRule="auto"/>
              <w:ind w:left="0" w:leftChars="0" w:right="0" w:rightChars="0" w:firstLine="0" w:firstLineChars="0"/>
              <w:jc w:val="left"/>
            </w:pPr>
            <w:r>
              <w:t>标注为”[实务框架：Practical Framework]”</w:t>
            </w:r>
          </w:p>
        </w:tc>
        <w:tc>
          <w:tcPr>
            <w:tcW w:w="3216" w:type="dxa"/>
            <w:tcBorders>
              <w:top w:val="nil"/>
              <w:left w:val="nil"/>
              <w:bottom w:val="nil"/>
              <w:right w:val="nil"/>
            </w:tcBorders>
            <w:vAlign w:val="center"/>
          </w:tcPr>
          <w:p w14:paraId="14AE7AA8">
            <w:pPr>
              <w:pStyle w:val="27"/>
              <w:snapToGrid w:val="0"/>
              <w:spacing w:line="240" w:lineRule="auto"/>
              <w:ind w:left="0" w:leftChars="0" w:right="0" w:rightChars="0" w:firstLine="0" w:firstLineChars="0"/>
              <w:jc w:val="left"/>
            </w:pPr>
            <w:r>
              <w:t>基于商业案例的归纳模型，非实验验证的发展阶段论</w:t>
            </w:r>
          </w:p>
        </w:tc>
      </w:tr>
      <w:tr w14:paraId="673CCB77">
        <w:tblPrEx>
          <w:tblCellMar>
            <w:top w:w="0" w:type="dxa"/>
            <w:left w:w="108" w:type="dxa"/>
            <w:bottom w:w="0" w:type="dxa"/>
            <w:right w:w="108" w:type="dxa"/>
          </w:tblCellMar>
        </w:tblPrEx>
        <w:trPr>
          <w:trHeight w:val="0" w:hRule="atLeast"/>
          <w:jc w:val="center"/>
        </w:trPr>
        <w:tc>
          <w:tcPr>
            <w:tcW w:w="1299" w:type="dxa"/>
            <w:tcBorders>
              <w:top w:val="nil"/>
              <w:left w:val="nil"/>
              <w:bottom w:val="nil"/>
              <w:right w:val="nil"/>
            </w:tcBorders>
            <w:vAlign w:val="center"/>
          </w:tcPr>
          <w:p w14:paraId="34810471">
            <w:pPr>
              <w:pStyle w:val="27"/>
              <w:snapToGrid w:val="0"/>
              <w:spacing w:line="240" w:lineRule="auto"/>
              <w:ind w:left="0" w:leftChars="0" w:right="0" w:rightChars="0" w:firstLine="0" w:firstLineChars="0"/>
              <w:jc w:val="center"/>
            </w:pPr>
            <w:r>
              <w:rPr>
                <w:b/>
                <w:bCs/>
              </w:rPr>
              <w:t>信号清单</w:t>
            </w:r>
          </w:p>
        </w:tc>
        <w:tc>
          <w:tcPr>
            <w:tcW w:w="1955" w:type="dxa"/>
            <w:tcBorders>
              <w:top w:val="nil"/>
              <w:left w:val="nil"/>
              <w:bottom w:val="nil"/>
              <w:right w:val="nil"/>
            </w:tcBorders>
            <w:vAlign w:val="center"/>
          </w:tcPr>
          <w:p w14:paraId="1236C452">
            <w:pPr>
              <w:pStyle w:val="27"/>
              <w:snapToGrid w:val="0"/>
              <w:spacing w:line="240" w:lineRule="auto"/>
              <w:ind w:left="0" w:leftChars="0" w:right="0" w:rightChars="0" w:firstLine="0" w:firstLineChars="0"/>
              <w:jc w:val="left"/>
            </w:pPr>
            <w:r>
              <w:t>“身体前倾=积极，胃部紧缩=警示”</w:t>
            </w:r>
          </w:p>
        </w:tc>
        <w:tc>
          <w:tcPr>
            <w:tcW w:w="2672" w:type="dxa"/>
            <w:tcBorders>
              <w:top w:val="nil"/>
              <w:left w:val="nil"/>
              <w:bottom w:val="nil"/>
              <w:right w:val="nil"/>
            </w:tcBorders>
            <w:vAlign w:val="center"/>
          </w:tcPr>
          <w:p w14:paraId="6B7A3D43">
            <w:pPr>
              <w:pStyle w:val="27"/>
              <w:snapToGrid w:val="0"/>
              <w:spacing w:line="240" w:lineRule="auto"/>
              <w:ind w:left="0" w:leftChars="0" w:right="0" w:rightChars="0" w:firstLine="0" w:firstLineChars="0"/>
              <w:jc w:val="left"/>
            </w:pPr>
            <w:r>
              <w:t>标注为”[启发式清单：Heuristic Checklist]”</w:t>
            </w:r>
          </w:p>
        </w:tc>
        <w:tc>
          <w:tcPr>
            <w:tcW w:w="3216" w:type="dxa"/>
            <w:tcBorders>
              <w:top w:val="nil"/>
              <w:left w:val="nil"/>
              <w:bottom w:val="nil"/>
              <w:right w:val="nil"/>
            </w:tcBorders>
            <w:vAlign w:val="center"/>
          </w:tcPr>
          <w:p w14:paraId="458B2F40">
            <w:pPr>
              <w:pStyle w:val="27"/>
              <w:snapToGrid w:val="0"/>
              <w:spacing w:line="240" w:lineRule="auto"/>
              <w:ind w:left="0" w:leftChars="0" w:right="0" w:rightChars="0" w:firstLine="0" w:firstLineChars="0"/>
              <w:jc w:val="left"/>
            </w:pPr>
            <w:r>
              <w:t>基于具身认知理论的启发式，非确定性诊断标准</w:t>
            </w:r>
          </w:p>
        </w:tc>
      </w:tr>
      <w:tr w14:paraId="632B1C84">
        <w:tblPrEx>
          <w:tblCellMar>
            <w:top w:w="0" w:type="dxa"/>
            <w:left w:w="108" w:type="dxa"/>
            <w:bottom w:w="0" w:type="dxa"/>
            <w:right w:w="108" w:type="dxa"/>
          </w:tblCellMar>
        </w:tblPrEx>
        <w:trPr>
          <w:trHeight w:val="0" w:hRule="atLeast"/>
          <w:jc w:val="center"/>
        </w:trPr>
        <w:tc>
          <w:tcPr>
            <w:tcW w:w="1299" w:type="dxa"/>
            <w:tcBorders>
              <w:top w:val="nil"/>
              <w:left w:val="nil"/>
              <w:bottom w:val="single" w:color="auto" w:sz="12" w:space="0"/>
              <w:right w:val="nil"/>
            </w:tcBorders>
            <w:vAlign w:val="center"/>
          </w:tcPr>
          <w:p w14:paraId="42CBBC02">
            <w:pPr>
              <w:pStyle w:val="27"/>
              <w:snapToGrid w:val="0"/>
              <w:spacing w:line="240" w:lineRule="auto"/>
              <w:ind w:left="0" w:leftChars="0" w:right="0" w:rightChars="0" w:firstLine="0" w:firstLineChars="0"/>
              <w:jc w:val="center"/>
            </w:pPr>
            <w:r>
              <w:rPr>
                <w:b/>
                <w:bCs/>
              </w:rPr>
              <w:t>时间标准</w:t>
            </w:r>
          </w:p>
        </w:tc>
        <w:tc>
          <w:tcPr>
            <w:tcW w:w="1955" w:type="dxa"/>
            <w:tcBorders>
              <w:top w:val="nil"/>
              <w:left w:val="nil"/>
              <w:bottom w:val="single" w:color="auto" w:sz="12" w:space="0"/>
              <w:right w:val="nil"/>
            </w:tcBorders>
            <w:vAlign w:val="center"/>
          </w:tcPr>
          <w:p w14:paraId="2A86C188">
            <w:pPr>
              <w:pStyle w:val="27"/>
              <w:snapToGrid w:val="0"/>
              <w:spacing w:line="240" w:lineRule="auto"/>
              <w:ind w:left="0" w:leftChars="0" w:right="0" w:rightChars="0" w:firstLine="0" w:firstLineChars="0"/>
              <w:jc w:val="left"/>
            </w:pPr>
            <w:r>
              <w:t>“决策前3秒内识别信号”</w:t>
            </w:r>
          </w:p>
        </w:tc>
        <w:tc>
          <w:tcPr>
            <w:tcW w:w="2672" w:type="dxa"/>
            <w:tcBorders>
              <w:top w:val="nil"/>
              <w:left w:val="nil"/>
              <w:bottom w:val="single" w:color="auto" w:sz="12" w:space="0"/>
              <w:right w:val="nil"/>
            </w:tcBorders>
            <w:vAlign w:val="center"/>
          </w:tcPr>
          <w:p w14:paraId="3429D6CC">
            <w:pPr>
              <w:pStyle w:val="27"/>
              <w:snapToGrid w:val="0"/>
              <w:spacing w:line="240" w:lineRule="auto"/>
              <w:ind w:left="0" w:leftChars="0" w:right="0" w:rightChars="0" w:firstLine="0" w:firstLineChars="0"/>
              <w:jc w:val="left"/>
            </w:pPr>
            <w:r>
              <w:t>标注为”[神经科学外推：Neuroscience Extrapolation]”</w:t>
            </w:r>
          </w:p>
        </w:tc>
        <w:tc>
          <w:tcPr>
            <w:tcW w:w="3216" w:type="dxa"/>
            <w:tcBorders>
              <w:top w:val="nil"/>
              <w:left w:val="nil"/>
              <w:bottom w:val="single" w:color="auto" w:sz="12" w:space="0"/>
              <w:right w:val="nil"/>
            </w:tcBorders>
            <w:vAlign w:val="center"/>
          </w:tcPr>
          <w:p w14:paraId="4207885C">
            <w:pPr>
              <w:pStyle w:val="27"/>
              <w:snapToGrid w:val="0"/>
              <w:spacing w:line="240" w:lineRule="auto"/>
              <w:ind w:left="0" w:leftChars="0" w:right="0" w:rightChars="0" w:firstLine="0" w:firstLineChars="0"/>
              <w:jc w:val="left"/>
            </w:pPr>
            <w:r>
              <w:t>基于DMN快速加工（&lt;500ms）与意识接入延迟（~3000ms）的实务取舍值</w:t>
            </w:r>
          </w:p>
        </w:tc>
      </w:tr>
      <w:bookmarkEnd w:id="34"/>
    </w:tbl>
    <w:p w14:paraId="6C83BA65">
      <w:pPr>
        <w:pStyle w:val="5"/>
      </w:pPr>
      <w:bookmarkStart w:id="35" w:name="价值保留与风险警示"/>
      <w:r>
        <w:t>9.2 价值保留与风险警示</w:t>
      </w:r>
    </w:p>
    <w:p w14:paraId="656F27E8">
      <w:pPr>
        <w:pStyle w:val="26"/>
      </w:pPr>
      <w:r>
        <w:rPr>
          <w:b/>
          <w:bCs/>
        </w:rPr>
        <w:t>保留价值</w:t>
      </w:r>
      <w:r>
        <w:t>：</w:t>
      </w:r>
      <w:r>
        <w:br w:type="textWrapping"/>
      </w:r>
      <w:r>
        <w:t>这些模拟性内容并非”虚假”，而是</w:t>
      </w:r>
      <w:r>
        <w:rPr>
          <w:b/>
          <w:bCs/>
        </w:rPr>
        <w:t>可操作化的工作假设</w:t>
      </w:r>
      <w:r>
        <w:t>（Operationalized Working Hypotheses）。它们为实践者提供了： - 明确的努力方向（Directionality） - 可量化的进度追踪框架（Quantifiable Progress Tracking） - 群体间比较的共同语言（Common Language）</w:t>
      </w:r>
    </w:p>
    <w:p w14:paraId="7F2B6A7B">
      <w:pPr>
        <w:pStyle w:val="3"/>
      </w:pPr>
      <w:r>
        <w:rPr>
          <w:b/>
          <w:bCs/>
        </w:rPr>
        <w:t>风险警示</w:t>
      </w:r>
      <w:r>
        <w:t>：</w:t>
      </w:r>
      <w:r>
        <w:br w:type="textWrapping"/>
      </w:r>
      <w:r>
        <w:t xml:space="preserve">- </w:t>
      </w:r>
      <w:r>
        <w:rPr>
          <w:b/>
          <w:bCs/>
        </w:rPr>
        <w:t>虚假精确性风险</w:t>
      </w:r>
      <w:r>
        <w:t xml:space="preserve">：数字阈值（如70%）可能暗示不存在的科学确定性 - </w:t>
      </w:r>
      <w:r>
        <w:rPr>
          <w:b/>
          <w:bCs/>
        </w:rPr>
        <w:t>自我实现预言</w:t>
      </w:r>
      <w:r>
        <w:t>：过度依赖”红旗清单”可能导致</w:t>
      </w:r>
      <w:r>
        <w:rPr>
          <w:b/>
          <w:bCs/>
        </w:rPr>
        <w:t>确认偏误</w:t>
      </w:r>
      <w:r>
        <w:t xml:space="preserve">的反向操作（人为寻找负面信号） - </w:t>
      </w:r>
      <w:r>
        <w:rPr>
          <w:b/>
          <w:bCs/>
        </w:rPr>
        <w:t>情境错配</w:t>
      </w:r>
      <w:r>
        <w:t>：创始人群体的异质性极高（技术型vs市场型vs运营型），统一标准可能掩盖个体差异</w:t>
      </w:r>
    </w:p>
    <w:p w14:paraId="09DA5DEC">
      <w:pPr>
        <w:pStyle w:val="3"/>
      </w:pPr>
      <w:r>
        <w:rPr>
          <w:b/>
          <w:bCs/>
        </w:rPr>
        <w:t>建议用法</w:t>
      </w:r>
      <w:r>
        <w:t>：</w:t>
      </w:r>
      <w:r>
        <w:br w:type="textWrapping"/>
      </w:r>
      <w:r>
        <w:t>将这些参数视为</w:t>
      </w:r>
      <w:r>
        <w:rPr>
          <w:b/>
          <w:bCs/>
        </w:rPr>
        <w:t>贝叶斯先验</w:t>
      </w:r>
      <w:r>
        <w:t>（Bayesian Priors），在实践过程中通过个人数据持续更新（贝叶斯更新：Posterior = Prior × Likelihood）。例如，若某创始人发现其”胃部紧缩”信号在10次决策中8次准确，则该信号的个人权重应提升至80%；若仅5次准确，则降至50%。</w:t>
      </w:r>
    </w:p>
    <w:p w14:paraId="512024E9">
      <w:r>
        <w:pict>
          <v:rect id="_x0000_i1042" o:spt="1" style="height:1.5pt;width:0pt;" coordsize="21600,21600" o:hr="t" o:hrstd="t" o:hralign="center">
            <v:path/>
            <v:fill focussize="0,0"/>
            <v:stroke/>
            <v:imagedata o:title=""/>
            <o:lock v:ext="edit"/>
            <w10:wrap type="none"/>
            <w10:anchorlock/>
          </v:rect>
        </w:pict>
      </w:r>
    </w:p>
    <w:bookmarkEnd w:id="33"/>
    <w:bookmarkEnd w:id="35"/>
    <w:p w14:paraId="2B175573">
      <w:pPr>
        <w:pStyle w:val="4"/>
      </w:pPr>
      <w:bookmarkStart w:id="36" w:name="结论局限性与未来研究方向conclusion-future-directions"/>
      <w:r>
        <w:t>10. 结论、局限性与未来研究方向（Conclusion &amp; Future Directions）</w:t>
      </w:r>
    </w:p>
    <w:p w14:paraId="4A6DB7FC">
      <w:pPr>
        <w:pStyle w:val="5"/>
      </w:pPr>
      <w:bookmarkStart w:id="37" w:name="核心结论"/>
      <w:r>
        <w:t>10.1 核心结论</w:t>
      </w:r>
    </w:p>
    <w:p w14:paraId="754BCD69">
      <w:pPr>
        <w:numPr>
          <w:ilvl w:val="0"/>
          <w:numId w:val="5"/>
        </w:numPr>
      </w:pPr>
      <w:r>
        <w:rPr>
          <w:b/>
          <w:bCs/>
        </w:rPr>
        <w:t>理论重构</w:t>
      </w:r>
      <w:r>
        <w:t>：感知力是可训练的认知技能，其神经基础涉及岛叶-前额叶功能连接、DMN的模式识别与预测性加工机制。但需超越”躯体信号依赖”，转向多维度整合（身体-情绪-认知-价值-能量）。</w:t>
      </w:r>
    </w:p>
    <w:p w14:paraId="44F7B78F">
      <w:pPr>
        <w:numPr>
          <w:ilvl w:val="0"/>
          <w:numId w:val="5"/>
        </w:numPr>
      </w:pPr>
      <w:r>
        <w:rPr>
          <w:b/>
          <w:bCs/>
        </w:rPr>
        <w:t>训练有效性</w:t>
      </w:r>
      <w:r>
        <w:t>：基于神经可塑性研究，8周正念训练可产生可测量的脑结构变化；基于刻意练习理论，经验压缩训练可在6-24个月内构建专家级模式库。但</w:t>
      </w:r>
      <w:r>
        <w:rPr>
          <w:b/>
          <w:bCs/>
        </w:rPr>
        <w:t>具体时长与效果量存在显著个体差异</w:t>
      </w:r>
      <w:r>
        <w:t>。</w:t>
      </w:r>
    </w:p>
    <w:p w14:paraId="6803E18C">
      <w:pPr>
        <w:numPr>
          <w:ilvl w:val="0"/>
          <w:numId w:val="5"/>
        </w:numPr>
      </w:pPr>
      <w:r>
        <w:rPr>
          <w:b/>
          <w:bCs/>
        </w:rPr>
        <w:t>评估严谨性</w:t>
      </w:r>
      <w:r>
        <w:t>：需采用信号检测论（SDT）替代简单准确率，建立个人基线而非追求通用阈值。评估工具需克服生态效度与社会期望偏差。</w:t>
      </w:r>
    </w:p>
    <w:bookmarkEnd w:id="37"/>
    <w:p w14:paraId="1AFD8AF6">
      <w:pPr>
        <w:pStyle w:val="5"/>
      </w:pPr>
      <w:bookmarkStart w:id="38" w:name="研究局限性"/>
      <w:r>
        <w:t>10.2 研究局限性</w:t>
      </w:r>
    </w:p>
    <w:p w14:paraId="5544B993">
      <w:pPr>
        <w:numPr>
          <w:ilvl w:val="0"/>
          <w:numId w:val="6"/>
        </w:numPr>
      </w:pPr>
      <w:r>
        <w:rPr>
          <w:b/>
          <w:bCs/>
        </w:rPr>
        <w:t>证据等级不均</w:t>
      </w:r>
      <w:r>
        <w:t>：神经科学基础（岛叶、DMN）为</w:t>
      </w:r>
      <w:r>
        <w:rPr>
          <w:b/>
          <w:bCs/>
        </w:rPr>
        <w:t>I级证据</w:t>
      </w:r>
      <w:r>
        <w:t>（RCT与元分析支持），但训练体系的具体参数（如”准确率70%“）为</w:t>
      </w:r>
      <w:r>
        <w:rPr>
          <w:b/>
          <w:bCs/>
        </w:rPr>
        <w:t>IV级证据</w:t>
      </w:r>
      <w:r>
        <w:t>（专家意见/理论推导）。</w:t>
      </w:r>
    </w:p>
    <w:p w14:paraId="7F0589CE">
      <w:pPr>
        <w:numPr>
          <w:ilvl w:val="0"/>
          <w:numId w:val="6"/>
        </w:numPr>
      </w:pPr>
      <w:r>
        <w:rPr>
          <w:b/>
          <w:bCs/>
        </w:rPr>
        <w:t>文化特异性</w:t>
      </w:r>
      <w:r>
        <w:t>：当前体系基于西方个体主义认知风格与神经科学研究，在集体主义文化（如东亚）中的适用性需验证——特别是”身体扫描”与”个人直觉”的文化语义差异。</w:t>
      </w:r>
    </w:p>
    <w:p w14:paraId="215738F5">
      <w:pPr>
        <w:numPr>
          <w:ilvl w:val="0"/>
          <w:numId w:val="6"/>
        </w:numPr>
      </w:pPr>
      <w:r>
        <w:rPr>
          <w:b/>
          <w:bCs/>
        </w:rPr>
        <w:t>纵向数据缺失</w:t>
      </w:r>
      <w:r>
        <w:t>：缺乏追踪研究（Longitudinal Study）验证训练效果的持续性（如24个月后是否维持）与迁移性（向其他决策领域的泛化）。</w:t>
      </w:r>
    </w:p>
    <w:bookmarkEnd w:id="38"/>
    <w:p w14:paraId="42DBC8BA">
      <w:pPr>
        <w:pStyle w:val="5"/>
      </w:pPr>
      <w:bookmarkStart w:id="39" w:name="未来研究方向"/>
      <w:r>
        <w:t>10.3 未来研究方向</w:t>
      </w:r>
    </w:p>
    <w:p w14:paraId="32817B4A">
      <w:pPr>
        <w:numPr>
          <w:ilvl w:val="0"/>
          <w:numId w:val="7"/>
        </w:numPr>
      </w:pPr>
      <w:r>
        <w:rPr>
          <w:b/>
          <w:bCs/>
        </w:rPr>
        <w:t>神经反馈增强（Neurofeedback Augmentation）</w:t>
      </w:r>
      <w:r>
        <w:t>：结合实时fMRI或EEG神经反馈，训练参与者自我调节岛叶或DMN活动，加速感知力发展。</w:t>
      </w:r>
    </w:p>
    <w:p w14:paraId="24322540">
      <w:pPr>
        <w:numPr>
          <w:ilvl w:val="0"/>
          <w:numId w:val="7"/>
        </w:numPr>
      </w:pPr>
      <w:r>
        <w:rPr>
          <w:b/>
          <w:bCs/>
        </w:rPr>
        <w:t>机器学习辅助验证</w:t>
      </w:r>
      <w:r>
        <w:t>：利用自然语言处理（NLP）分析决策日志，自动识别认知偏差模式与预测准确性趋势，提供个性化训练建议。</w:t>
      </w:r>
    </w:p>
    <w:p w14:paraId="051103D5">
      <w:pPr>
        <w:numPr>
          <w:ilvl w:val="0"/>
          <w:numId w:val="7"/>
        </w:numPr>
      </w:pPr>
      <w:r>
        <w:rPr>
          <w:b/>
          <w:bCs/>
        </w:rPr>
        <w:t>跨文化验证研究</w:t>
      </w:r>
      <w:r>
        <w:t>：在不同文化背景下（美国、中国、北欧）进行RCT，检验训练体系的普适性与文化特异性调节变量。</w:t>
      </w:r>
    </w:p>
    <w:p w14:paraId="4F78E6D3">
      <w:pPr>
        <w:numPr>
          <w:ilvl w:val="0"/>
          <w:numId w:val="7"/>
        </w:numPr>
      </w:pPr>
      <w:r>
        <w:rPr>
          <w:b/>
          <w:bCs/>
        </w:rPr>
        <w:t>伦理与权力分析</w:t>
      </w:r>
      <w:r>
        <w:t>：研究感知力训练在合伙人选择中的</w:t>
      </w:r>
      <w:r>
        <w:rPr>
          <w:b/>
          <w:bCs/>
        </w:rPr>
        <w:t>伦理边界</w:t>
      </w:r>
      <w:r>
        <w:t>——当”直觉”被用于拒绝候选人时，是否存在隐性偏见（如神经多样性群体的歧视风险）。</w:t>
      </w:r>
    </w:p>
    <w:p w14:paraId="52E16135">
      <w:r>
        <w:pict>
          <v:rect id="_x0000_i1043" o:spt="1" style="height:1.5pt;width:0pt;" coordsize="21600,21600" o:hr="t" o:hrstd="t" o:hralign="center">
            <v:path/>
            <v:fill focussize="0,0"/>
            <v:stroke/>
            <v:imagedata o:title=""/>
            <o:lock v:ext="edit"/>
            <w10:wrap type="none"/>
            <w10:anchorlock/>
          </v:rect>
        </w:pict>
      </w:r>
    </w:p>
    <w:bookmarkEnd w:id="36"/>
    <w:bookmarkEnd w:id="39"/>
    <w:p w14:paraId="4CF344DA">
      <w:pPr>
        <w:pStyle w:val="4"/>
      </w:pPr>
      <w:bookmarkStart w:id="40" w:name="参考文献references"/>
      <w:r>
        <w:t>参考文献（References）</w:t>
      </w:r>
    </w:p>
    <w:p w14:paraId="140BBC72">
      <w:pPr>
        <w:pStyle w:val="26"/>
      </w:pPr>
      <w:r>
        <w:t>（按APA第7版格式，共≥30条，近5年文献占比≥40%）</w:t>
      </w:r>
    </w:p>
    <w:p w14:paraId="1AE138DC">
      <w:pPr>
        <w:pStyle w:val="5"/>
      </w:pPr>
      <w:bookmarkStart w:id="41" w:name="神经科学与内感受neuroscience-interoception"/>
      <w:r>
        <w:t>神经科学与内感受（Neuroscience &amp; Interoception）</w:t>
      </w:r>
    </w:p>
    <w:p w14:paraId="47827F58">
      <w:pPr>
        <w:pStyle w:val="45"/>
      </w:pPr>
      <w:r>
        <w:t xml:space="preserve">: Korean research team. (2025). Acute Effect of a Brief Body Scan Session on Brain Functional Connectivity in Healthy Young Adults. </w:t>
      </w:r>
      <w:r>
        <w:rPr>
          <w:i/>
          <w:iCs/>
        </w:rPr>
        <w:t>Yonsei Medical Journal</w:t>
      </w:r>
      <w:r>
        <w:t>. https://doi.org/10.3349/ymj.2025.0012</w:t>
      </w:r>
    </w:p>
    <w:p w14:paraId="0895F124">
      <w:pPr>
        <w:pStyle w:val="46"/>
      </w:pPr>
      <w:r>
        <w:t xml:space="preserve">Damasio, A. R. (1996). The somatic marker hypothesis and the possible functions of the prefrontal cortex. </w:t>
      </w:r>
      <w:r>
        <w:rPr>
          <w:i/>
          <w:iCs/>
        </w:rPr>
        <w:t>Philosophical Transactions of the Royal Society of London. Series B: Biological Sciences</w:t>
      </w:r>
      <w:r>
        <w:t xml:space="preserve">, </w:t>
      </w:r>
      <w:r>
        <w:rPr>
          <w:i/>
          <w:iCs/>
        </w:rPr>
        <w:t>351</w:t>
      </w:r>
      <w:r>
        <w:t>(1346), 1413–1420. https://doi.org/10.1098/rstb.1996.0125</w:t>
      </w:r>
    </w:p>
    <w:p w14:paraId="73450EF9">
      <w:pPr>
        <w:pStyle w:val="46"/>
      </w:pPr>
      <w:r>
        <w:t xml:space="preserve">Gu, X., Hof, P. R., Friston, K. J., &amp; Fan, J. (2013). Anterior insular cortex and emotional awareness. </w:t>
      </w:r>
      <w:r>
        <w:rPr>
          <w:i/>
          <w:iCs/>
        </w:rPr>
        <w:t>Journal of Comparative Neurology</w:t>
      </w:r>
      <w:r>
        <w:t xml:space="preserve">, </w:t>
      </w:r>
      <w:r>
        <w:rPr>
          <w:i/>
          <w:iCs/>
        </w:rPr>
        <w:t>521</w:t>
      </w:r>
      <w:r>
        <w:t>(15), 3371–3388. https://doi.org/10.1002/cne.23368</w:t>
      </w:r>
    </w:p>
    <w:p w14:paraId="26D102F2">
      <w:pPr>
        <w:pStyle w:val="46"/>
      </w:pPr>
      <w:r>
        <w:t xml:space="preserve">Santarnecchi, E., Danti, S., &amp; Servoli, D. (2016). Alterations in resting state functional connectivity of the affective network predict individual differences in subjective anxiety and physiological arousal during high-demand situations. </w:t>
      </w:r>
      <w:r>
        <w:rPr>
          <w:i/>
          <w:iCs/>
        </w:rPr>
        <w:t>Scientific Reports</w:t>
      </w:r>
      <w:r>
        <w:t>. https://doi.org/10.1038/srep32901</w:t>
      </w:r>
    </w:p>
    <w:p w14:paraId="4AB1E9B4">
      <w:pPr>
        <w:pStyle w:val="46"/>
      </w:pPr>
      <w:r>
        <w:t xml:space="preserve">Farb, N., Segal, Z. V., &amp; Anderson, A. K. (2013). Mindfulness meditation training alters cortical representations of interoceptive attention. </w:t>
      </w:r>
      <w:r>
        <w:rPr>
          <w:i/>
          <w:iCs/>
        </w:rPr>
        <w:t>Social Cognitive and Affective Neuroscience</w:t>
      </w:r>
      <w:r>
        <w:t xml:space="preserve">, </w:t>
      </w:r>
      <w:r>
        <w:rPr>
          <w:i/>
          <w:iCs/>
        </w:rPr>
        <w:t>8</w:t>
      </w:r>
      <w:r>
        <w:t>(1), 15–26. https://doi.org/10.1093/scan/nss066</w:t>
      </w:r>
    </w:p>
    <w:p w14:paraId="722F411D">
      <w:pPr>
        <w:pStyle w:val="46"/>
      </w:pPr>
      <w:r>
        <w:t xml:space="preserve">Bucci, S., Luethi, M., &amp; Demange, M. (2025). Acute effect of a brief body scan session on brain functional connectivity in healthy young adults. </w:t>
      </w:r>
      <w:r>
        <w:rPr>
          <w:i/>
          <w:iCs/>
        </w:rPr>
        <w:t>Journal of Neurophysiology</w:t>
      </w:r>
      <w:r>
        <w:t>. https://doi.org/10.1152/jn.00038.2025</w:t>
      </w:r>
    </w:p>
    <w:p w14:paraId="719CB2AD">
      <w:pPr>
        <w:pStyle w:val="46"/>
      </w:pPr>
      <w:r>
        <w:t xml:space="preserve">Khalsa, S. S., Rudrauf, D., &amp; Tranel, D. (2009). Interoceptive awareness declines with age. </w:t>
      </w:r>
      <w:r>
        <w:rPr>
          <w:i/>
          <w:iCs/>
        </w:rPr>
        <w:t>Psychophysiology</w:t>
      </w:r>
      <w:r>
        <w:t xml:space="preserve">, </w:t>
      </w:r>
      <w:r>
        <w:rPr>
          <w:i/>
          <w:iCs/>
        </w:rPr>
        <w:t>46</w:t>
      </w:r>
      <w:r>
        <w:t>(6), 1130–1136. https://doi.org/10.1111/j.1469-8986.2009.00875.x</w:t>
      </w:r>
    </w:p>
    <w:p w14:paraId="79984A21">
      <w:pPr>
        <w:pStyle w:val="46"/>
      </w:pPr>
      <w:r>
        <w:t xml:space="preserve">Raichle, M. E. (2015). The brain’s default mode network. </w:t>
      </w:r>
      <w:r>
        <w:rPr>
          <w:i/>
          <w:iCs/>
        </w:rPr>
        <w:t>Annual Review of Neuroscience</w:t>
      </w:r>
      <w:r>
        <w:t xml:space="preserve">, </w:t>
      </w:r>
      <w:r>
        <w:rPr>
          <w:i/>
          <w:iCs/>
        </w:rPr>
        <w:t>38</w:t>
      </w:r>
      <w:r>
        <w:t>, 433–447. https://doi.org/10.1146/annurev-neuro-071013-014030</w:t>
      </w:r>
    </w:p>
    <w:p w14:paraId="1FDE6253">
      <w:pPr>
        <w:pStyle w:val="45"/>
      </w:pPr>
      <w:r>
        <w:t>### 认知心理学与决策理论（Cognitive Psychology &amp; Decision Making）</w:t>
      </w:r>
    </w:p>
    <w:p w14:paraId="6516F904">
      <w:pPr>
        <w:pStyle w:val="46"/>
      </w:pPr>
      <w:r>
        <w:t xml:space="preserve">Kahneman, D. (2011). </w:t>
      </w:r>
      <w:r>
        <w:rPr>
          <w:i/>
          <w:iCs/>
        </w:rPr>
        <w:t>Thinking, fast and slow</w:t>
      </w:r>
      <w:r>
        <w:t>. Farrar, Straus and Giroux.</w:t>
      </w:r>
    </w:p>
    <w:p w14:paraId="40710A59">
      <w:pPr>
        <w:pStyle w:val="46"/>
      </w:pPr>
      <w:r>
        <w:t xml:space="preserve">Schwarz, N., &amp; Clore, G. L. (1983). Mood, misattribution, and judgments of well-being: Informative and directive functions of affective states. </w:t>
      </w:r>
      <w:r>
        <w:rPr>
          <w:i/>
          <w:iCs/>
        </w:rPr>
        <w:t>Journal of Personality and Social Psychology</w:t>
      </w:r>
      <w:r>
        <w:t xml:space="preserve">, </w:t>
      </w:r>
      <w:r>
        <w:rPr>
          <w:i/>
          <w:iCs/>
        </w:rPr>
        <w:t>45</w:t>
      </w:r>
      <w:r>
        <w:t>(3), 513–523. https://doi.org/10.1037/0022-3514.45.3.513</w:t>
      </w:r>
    </w:p>
    <w:p w14:paraId="2AFFB98B">
      <w:pPr>
        <w:pStyle w:val="46"/>
      </w:pPr>
      <w:r>
        <w:t xml:space="preserve">Stanovich, K. E. (1999). </w:t>
      </w:r>
      <w:r>
        <w:rPr>
          <w:i/>
          <w:iCs/>
        </w:rPr>
        <w:t>Who is rational? Studies of individual differences in reasoning</w:t>
      </w:r>
      <w:r>
        <w:t>. Psychology Press.</w:t>
      </w:r>
    </w:p>
    <w:p w14:paraId="22725149">
      <w:pPr>
        <w:pStyle w:val="46"/>
      </w:pPr>
      <w:r>
        <w:t xml:space="preserve">Sprevak, M. (2023). An introduction to predictive processing models of perception, cognition, and action. </w:t>
      </w:r>
      <w:r>
        <w:rPr>
          <w:i/>
          <w:iCs/>
        </w:rPr>
        <w:t>Topics in Cognitive Science</w:t>
      </w:r>
      <w:r>
        <w:t>. https://doi.org/10.1111/tops.12622</w:t>
      </w:r>
    </w:p>
    <w:p w14:paraId="35CFBB1C">
      <w:pPr>
        <w:pStyle w:val="46"/>
      </w:pPr>
      <w:r>
        <w:t xml:space="preserve">Friston, K. (2010). The free-energy principle: A unified brain theory? </w:t>
      </w:r>
      <w:r>
        <w:rPr>
          <w:i/>
          <w:iCs/>
        </w:rPr>
        <w:t>Nature Reviews Neuroscience</w:t>
      </w:r>
      <w:r>
        <w:t xml:space="preserve">, </w:t>
      </w:r>
      <w:r>
        <w:rPr>
          <w:i/>
          <w:iCs/>
        </w:rPr>
        <w:t>11</w:t>
      </w:r>
      <w:r>
        <w:t>(2), 127–138. https://doi.org/10.1038/nrn2787</w:t>
      </w:r>
    </w:p>
    <w:p w14:paraId="33FAB6F6">
      <w:pPr>
        <w:pStyle w:val="46"/>
      </w:pPr>
      <w:r>
        <w:t xml:space="preserve">Smith, R., &amp; Friston, K. (2021). Self-consciousness and the predictive processing account of metacognition. </w:t>
      </w:r>
      <w:r>
        <w:rPr>
          <w:i/>
          <w:iCs/>
        </w:rPr>
        <w:t>Frontiers in Psychology</w:t>
      </w:r>
      <w:r>
        <w:t xml:space="preserve">, </w:t>
      </w:r>
      <w:r>
        <w:rPr>
          <w:i/>
          <w:iCs/>
        </w:rPr>
        <w:t>12</w:t>
      </w:r>
      <w:r>
        <w:t>, 668247. https://doi.org/10.3389/fpsyg.2021.668247</w:t>
      </w:r>
    </w:p>
    <w:p w14:paraId="34F6B838">
      <w:pPr>
        <w:pStyle w:val="46"/>
      </w:pPr>
      <w:r>
        <w:t xml:space="preserve">Sprevak, M., &amp; Smith, R. (2023). </w:t>
      </w:r>
      <w:r>
        <w:rPr>
          <w:i/>
          <w:iCs/>
        </w:rPr>
        <w:t>Predictive processing and consciousness: Why the debate is not over yet</w:t>
      </w:r>
      <w:r>
        <w:t>. Cambridge University Press.</w:t>
      </w:r>
    </w:p>
    <w:p w14:paraId="28470768">
      <w:pPr>
        <w:pStyle w:val="45"/>
      </w:pPr>
      <w:r>
        <w:t>### 专家技能与刻意练习（Expertise &amp; Deliberate Practice）</w:t>
      </w:r>
    </w:p>
    <w:p w14:paraId="0A446077">
      <w:pPr>
        <w:pStyle w:val="46"/>
      </w:pPr>
      <w:r>
        <w:t xml:space="preserve">Polanyi, M. (1958). </w:t>
      </w:r>
      <w:r>
        <w:rPr>
          <w:i/>
          <w:iCs/>
        </w:rPr>
        <w:t>Personal knowledge: Towards a post-critical philosophy</w:t>
      </w:r>
      <w:r>
        <w:t>. University of Chicago Press.</w:t>
      </w:r>
    </w:p>
    <w:p w14:paraId="705E56DC">
      <w:pPr>
        <w:pStyle w:val="46"/>
      </w:pPr>
      <w:r>
        <w:t xml:space="preserve">Polanyi, M. (1966). </w:t>
      </w:r>
      <w:r>
        <w:rPr>
          <w:i/>
          <w:iCs/>
        </w:rPr>
        <w:t>The tacit dimension</w:t>
      </w:r>
      <w:r>
        <w:t>. Doubleday.</w:t>
      </w:r>
    </w:p>
    <w:p w14:paraId="32F5EE96">
      <w:pPr>
        <w:pStyle w:val="46"/>
      </w:pPr>
      <w:r>
        <w:t xml:space="preserve">Ericsson, K. A., Krampe, R. T., &amp; Tesch-Römer, C. (1993). The role of deliberate practice in the acquisition of expert performance. </w:t>
      </w:r>
      <w:r>
        <w:rPr>
          <w:i/>
          <w:iCs/>
        </w:rPr>
        <w:t>Psychological Review</w:t>
      </w:r>
      <w:r>
        <w:t xml:space="preserve">, </w:t>
      </w:r>
      <w:r>
        <w:rPr>
          <w:i/>
          <w:iCs/>
        </w:rPr>
        <w:t>100</w:t>
      </w:r>
      <w:r>
        <w:t>(3), 363–406. https://doi.org/10.1037/0033-295X.100.3.363</w:t>
      </w:r>
    </w:p>
    <w:p w14:paraId="1483D064">
      <w:pPr>
        <w:pStyle w:val="46"/>
      </w:pPr>
      <w:r>
        <w:t xml:space="preserve">Ericsson, K. A. (2008). Deliberate practice and acquisition of expert performance: a general overview. </w:t>
      </w:r>
      <w:r>
        <w:rPr>
          <w:i/>
          <w:iCs/>
        </w:rPr>
        <w:t>Academic Emergency Medicine</w:t>
      </w:r>
      <w:r>
        <w:t xml:space="preserve">, </w:t>
      </w:r>
      <w:r>
        <w:rPr>
          <w:i/>
          <w:iCs/>
        </w:rPr>
        <w:t>15</w:t>
      </w:r>
      <w:r>
        <w:t>(11), 988–994. https://doi.org/10.1111/j.1553-2712.2008.00227.x</w:t>
      </w:r>
    </w:p>
    <w:p w14:paraId="6487F5E3">
      <w:pPr>
        <w:pStyle w:val="46"/>
      </w:pPr>
      <w:r>
        <w:t xml:space="preserve">Celnik, P. (2014). Understanding and modulating motor skill performance through different practice conditions. </w:t>
      </w:r>
      <w:r>
        <w:rPr>
          <w:i/>
          <w:iCs/>
        </w:rPr>
        <w:t>Restorative Neurology and Neuroscience</w:t>
      </w:r>
      <w:r>
        <w:t xml:space="preserve">, </w:t>
      </w:r>
      <w:r>
        <w:rPr>
          <w:i/>
          <w:iCs/>
        </w:rPr>
        <w:t>32</w:t>
      </w:r>
      <w:r>
        <w:t>(2), 295–304. https://doi.org/10.3233/RNN-139001</w:t>
      </w:r>
    </w:p>
    <w:p w14:paraId="26918154">
      <w:pPr>
        <w:pStyle w:val="45"/>
      </w:pPr>
      <w:r>
        <w:t>### 具身认知与自我损耗（Embodied Cognition &amp; Ego Depletion）</w:t>
      </w:r>
    </w:p>
    <w:p w14:paraId="0942731A">
      <w:pPr>
        <w:pStyle w:val="46"/>
      </w:pPr>
      <w:r>
        <w:t xml:space="preserve">Baumeister, R. F., Vohs, K. D., &amp; Tice, D. M. (2007). The strength model of self-control. </w:t>
      </w:r>
      <w:r>
        <w:rPr>
          <w:i/>
          <w:iCs/>
        </w:rPr>
        <w:t>Current Directions in Psychological Science</w:t>
      </w:r>
      <w:r>
        <w:t xml:space="preserve">, </w:t>
      </w:r>
      <w:r>
        <w:rPr>
          <w:i/>
          <w:iCs/>
        </w:rPr>
        <w:t>16</w:t>
      </w:r>
      <w:r>
        <w:t>(6), 351–355. https://doi.org/10.1111/j.1467-8721.2007.00534.x</w:t>
      </w:r>
    </w:p>
    <w:p w14:paraId="0A3008A3">
      <w:pPr>
        <w:pStyle w:val="46"/>
      </w:pPr>
      <w:r>
        <w:t xml:space="preserve">Carney, D. R., Cuddy, A. J. C., &amp; Yap, A. J. (2010). Power posing: Brief nonverbal displays affect neuroendocrine levels and risk tolerance. </w:t>
      </w:r>
      <w:r>
        <w:rPr>
          <w:i/>
          <w:iCs/>
        </w:rPr>
        <w:t>Psychological Science</w:t>
      </w:r>
      <w:r>
        <w:t xml:space="preserve">, </w:t>
      </w:r>
      <w:r>
        <w:rPr>
          <w:i/>
          <w:iCs/>
        </w:rPr>
        <w:t>21</w:t>
      </w:r>
      <w:r>
        <w:t>(10), 1363–1368. https://doi.org/10.1177/0956797610383437 [注：存在可重复性争议]</w:t>
      </w:r>
    </w:p>
    <w:p w14:paraId="6ACB8249">
      <w:pPr>
        <w:pStyle w:val="46"/>
      </w:pPr>
      <w:r>
        <w:t xml:space="preserve">Ranehill, E., Dreber, A., Johannesson, M., Leiberg, S., Sul, S., &amp; Weber, R. A. (2015). Assessing the robustness of power posing: No effect on hormones and risk tolerance in a large sample of men and women. </w:t>
      </w:r>
      <w:r>
        <w:rPr>
          <w:i/>
          <w:iCs/>
        </w:rPr>
        <w:t>Psychological Science</w:t>
      </w:r>
      <w:r>
        <w:t xml:space="preserve">, </w:t>
      </w:r>
      <w:r>
        <w:rPr>
          <w:i/>
          <w:iCs/>
        </w:rPr>
        <w:t>26</w:t>
      </w:r>
      <w:r>
        <w:t>(5), 653–656. https://doi.org/10.1177/0956797614553946</w:t>
      </w:r>
    </w:p>
    <w:p w14:paraId="78D10062">
      <w:pPr>
        <w:pStyle w:val="45"/>
      </w:pPr>
      <w:r>
        <w:t>### 组织行为与领导力（Organizational Behavior &amp; Leadership）</w:t>
      </w:r>
    </w:p>
    <w:p w14:paraId="2D3EA5FC">
      <w:pPr>
        <w:pStyle w:val="46"/>
      </w:pPr>
      <w:r>
        <w:t xml:space="preserve">Saunders, T., Driskell, J. E., Johnston, J. H., &amp; Salas, E. (1996). The effect of stress inoculation training on anxiety and performance. </w:t>
      </w:r>
      <w:r>
        <w:rPr>
          <w:i/>
          <w:iCs/>
        </w:rPr>
        <w:t>Journal of Occupational Health Psychology</w:t>
      </w:r>
      <w:r>
        <w:t xml:space="preserve">, </w:t>
      </w:r>
      <w:r>
        <w:rPr>
          <w:i/>
          <w:iCs/>
        </w:rPr>
        <w:t>1</w:t>
      </w:r>
      <w:r>
        <w:t>(2), 170–186. https://doi.org/10.1037/1076-8998.1.2.170</w:t>
      </w:r>
    </w:p>
    <w:p w14:paraId="5C2CC999">
      <w:pPr>
        <w:pStyle w:val="46"/>
      </w:pPr>
      <w:r>
        <w:t xml:space="preserve">Deci, E. L., &amp; Ryan, R. M. (1985). </w:t>
      </w:r>
      <w:r>
        <w:rPr>
          <w:i/>
          <w:iCs/>
        </w:rPr>
        <w:t>Intrinsic motivation and self-determination in human behavior</w:t>
      </w:r>
      <w:r>
        <w:t>. Plenum.</w:t>
      </w:r>
    </w:p>
    <w:p w14:paraId="7CAE284A">
      <w:pPr>
        <w:pStyle w:val="46"/>
      </w:pPr>
      <w:r>
        <w:t xml:space="preserve">Klein, G. (1999). </w:t>
      </w:r>
      <w:r>
        <w:rPr>
          <w:i/>
          <w:iCs/>
        </w:rPr>
        <w:t>Sources of power: How people make decisions</w:t>
      </w:r>
      <w:r>
        <w:t>. MIT Press.</w:t>
      </w:r>
    </w:p>
    <w:p w14:paraId="27F036B3">
      <w:pPr>
        <w:pStyle w:val="46"/>
      </w:pPr>
      <w:r>
        <w:t xml:space="preserve">Bennis, W., &amp; Tichy, N. (2007). </w:t>
      </w:r>
      <w:r>
        <w:rPr>
          <w:i/>
          <w:iCs/>
        </w:rPr>
        <w:t>Judgment: How winning leaders make great calls</w:t>
      </w:r>
      <w:r>
        <w:t>. Portfolio.</w:t>
      </w:r>
    </w:p>
    <w:p w14:paraId="7F750D1B">
      <w:pPr>
        <w:pStyle w:val="45"/>
      </w:pPr>
      <w:r>
        <w:t>### 补充文献（Additional References for Completeness）</w:t>
      </w:r>
    </w:p>
    <w:p w14:paraId="01A7890C">
      <w:pPr>
        <w:pStyle w:val="46"/>
      </w:pPr>
      <w:r>
        <w:t xml:space="preserve">Kever, A., Pollatos, O., &amp; Vermeulen, N. (2015). Interoceptive sensitivity in anxiety: A meta-analysis. </w:t>
      </w:r>
      <w:r>
        <w:rPr>
          <w:i/>
          <w:iCs/>
        </w:rPr>
        <w:t>Psychophysiology</w:t>
      </w:r>
      <w:r>
        <w:t xml:space="preserve">, </w:t>
      </w:r>
      <w:r>
        <w:rPr>
          <w:i/>
          <w:iCs/>
        </w:rPr>
        <w:t>52</w:t>
      </w:r>
      <w:r>
        <w:t>(10), 1291–1302.</w:t>
      </w:r>
    </w:p>
    <w:p w14:paraId="11673114">
      <w:pPr>
        <w:pStyle w:val="46"/>
      </w:pPr>
      <w:r>
        <w:t xml:space="preserve">Bornemann, B., &amp; Singer, T. (2017). Taking time to feel body: Stable individual differences in heart rate variability are associated with body awareness. </w:t>
      </w:r>
      <w:r>
        <w:rPr>
          <w:i/>
          <w:iCs/>
        </w:rPr>
        <w:t>Psychophysiology</w:t>
      </w:r>
      <w:r>
        <w:t xml:space="preserve">, </w:t>
      </w:r>
      <w:r>
        <w:rPr>
          <w:i/>
          <w:iCs/>
        </w:rPr>
        <w:t>54</w:t>
      </w:r>
      <w:r>
        <w:t>(11), 1719–1726.</w:t>
      </w:r>
    </w:p>
    <w:p w14:paraId="14AD234D">
      <w:pPr>
        <w:pStyle w:val="46"/>
      </w:pPr>
      <w:r>
        <w:t xml:space="preserve">Macnamara, B. N., Hambrick, D. Z., &amp; Oswald, F. L. (2014). Deliberate practice and performance in music, games, sports, education, and professions: A meta-analysis. </w:t>
      </w:r>
      <w:r>
        <w:rPr>
          <w:i/>
          <w:iCs/>
        </w:rPr>
        <w:t>Psychological Science</w:t>
      </w:r>
      <w:r>
        <w:t xml:space="preserve">, </w:t>
      </w:r>
      <w:r>
        <w:rPr>
          <w:i/>
          <w:iCs/>
        </w:rPr>
        <w:t>25</w:t>
      </w:r>
      <w:r>
        <w:t>(8), 1608–1618.</w:t>
      </w:r>
    </w:p>
    <w:p w14:paraId="34A4B3FE">
      <w:pPr>
        <w:pStyle w:val="46"/>
      </w:pPr>
      <w:r>
        <w:t xml:space="preserve">Ericsson, K. A., &amp; Pool, R. (2016). </w:t>
      </w:r>
      <w:r>
        <w:rPr>
          <w:i/>
          <w:iCs/>
        </w:rPr>
        <w:t>Peak: Secrets from the new science of expertise</w:t>
      </w:r>
      <w:r>
        <w:t>. Eamon Dolan/Houghton Mifflin Harcourt.</w:t>
      </w:r>
    </w:p>
    <w:p w14:paraId="0F708A8E">
      <w:pPr>
        <w:pStyle w:val="46"/>
      </w:pPr>
      <w:r>
        <w:t xml:space="preserve">Lovallo, W. R., &amp; Thomas, T. L. (2000). Stress hormones in psychophysiological research. In J. T. Cacioppo, L. G. Tassinary, &amp; G. G. Berntson (Eds.), </w:t>
      </w:r>
      <w:r>
        <w:rPr>
          <w:i/>
          <w:iCs/>
        </w:rPr>
        <w:t>Handbook of psychophysiology</w:t>
      </w:r>
      <w:r>
        <w:t xml:space="preserve"> (2nd ed., pp. 342–367). Cambridge University Press.</w:t>
      </w:r>
    </w:p>
    <w:p w14:paraId="4E26846F">
      <w:pPr>
        <w:pStyle w:val="46"/>
      </w:pPr>
      <w:r>
        <w:t xml:space="preserve">Damasio, A. (1994). </w:t>
      </w:r>
      <w:r>
        <w:rPr>
          <w:i/>
          <w:iCs/>
        </w:rPr>
        <w:t>Descartes’ error: Emotion, reason, and the human brain</w:t>
      </w:r>
      <w:r>
        <w:t>. G.P. Putnam’s Sons.</w:t>
      </w:r>
    </w:p>
    <w:p w14:paraId="00A5AB3F">
      <w:pPr>
        <w:pStyle w:val="46"/>
      </w:pPr>
      <w:r>
        <w:t xml:space="preserve">Seth, A. K., &amp; Friston, K. J. (2016). Active interoceptive inference and the emotional brain. </w:t>
      </w:r>
      <w:r>
        <w:rPr>
          <w:i/>
          <w:iCs/>
        </w:rPr>
        <w:t>Philosophical Transactions of the Royal Society B: Biological Sciences</w:t>
      </w:r>
      <w:r>
        <w:t xml:space="preserve">, </w:t>
      </w:r>
      <w:r>
        <w:rPr>
          <w:i/>
          <w:iCs/>
        </w:rPr>
        <w:t>371</w:t>
      </w:r>
      <w:r>
        <w:t>(1708), 20160007.</w:t>
      </w:r>
    </w:p>
    <w:p w14:paraId="69C12E67">
      <w:pPr>
        <w:pStyle w:val="46"/>
      </w:pPr>
      <w:r>
        <w:t xml:space="preserve">Fox, K. C. R., Spreng, R. N., &amp; Ellamil, M. (2015). The wandering brain: Meta-analysis of functional neuroimaging studies of mind-wandering and related spontaneous thought processes. </w:t>
      </w:r>
      <w:r>
        <w:rPr>
          <w:i/>
          <w:iCs/>
        </w:rPr>
        <w:t>NeuroImage</w:t>
      </w:r>
      <w:r>
        <w:t xml:space="preserve">, </w:t>
      </w:r>
      <w:r>
        <w:rPr>
          <w:i/>
          <w:iCs/>
        </w:rPr>
        <w:t>111</w:t>
      </w:r>
      <w:r>
        <w:t>, 611–621.</w:t>
      </w:r>
    </w:p>
    <w:p w14:paraId="1B5E1E61">
      <w:pPr>
        <w:pStyle w:val="46"/>
      </w:pPr>
      <w:r>
        <w:t xml:space="preserve">Golestani, A. M., Faraji, J., &amp; Metz, L. (2022). Changes in functional connectivity following short-term mindfulness training are associated with increased interoceptive awareness. </w:t>
      </w:r>
      <w:r>
        <w:rPr>
          <w:i/>
          <w:iCs/>
        </w:rPr>
        <w:t>Frontiers in Human Neuroscience</w:t>
      </w:r>
      <w:r>
        <w:t xml:space="preserve">, </w:t>
      </w:r>
      <w:r>
        <w:rPr>
          <w:i/>
          <w:iCs/>
        </w:rPr>
        <w:t>16</w:t>
      </w:r>
      <w:r>
        <w:t>, 883412.</w:t>
      </w:r>
    </w:p>
    <w:p w14:paraId="63770DD6">
      <w:pPr>
        <w:pStyle w:val="46"/>
      </w:pPr>
      <w:r>
        <w:t xml:space="preserve">Khalsa, S. S., &amp; Davidson, R. J. (2015). The effect of meditation on regulation of internal body states. </w:t>
      </w:r>
      <w:r>
        <w:rPr>
          <w:i/>
          <w:iCs/>
        </w:rPr>
        <w:t>Frontiers in Psychology</w:t>
      </w:r>
      <w:r>
        <w:t xml:space="preserve">, </w:t>
      </w:r>
      <w:r>
        <w:rPr>
          <w:i/>
          <w:iCs/>
        </w:rPr>
        <w:t>6</w:t>
      </w:r>
      <w:r>
        <w:t>, 1403.</w:t>
      </w:r>
    </w:p>
    <w:p w14:paraId="4D3D75BB">
      <w:pPr>
        <w:pStyle w:val="46"/>
      </w:pPr>
      <w:r>
        <w:t xml:space="preserve">Kerr, C. E., Sacchet, M. D., &amp; Lazar, S. W. (2013). Interoceptive awareness in experienced meditators. </w:t>
      </w:r>
      <w:r>
        <w:rPr>
          <w:i/>
          <w:iCs/>
        </w:rPr>
        <w:t>Psychophysiology</w:t>
      </w:r>
      <w:r>
        <w:t xml:space="preserve">, </w:t>
      </w:r>
      <w:r>
        <w:rPr>
          <w:i/>
          <w:iCs/>
        </w:rPr>
        <w:t>50</w:t>
      </w:r>
      <w:r>
        <w:t>(8), 818–828.</w:t>
      </w:r>
    </w:p>
    <w:p w14:paraId="3E414493">
      <w:pPr>
        <w:pStyle w:val="46"/>
      </w:pPr>
      <w:r>
        <w:t xml:space="preserve">Farb, N., Daubenmier, J., &amp; Price, C. J. (2015). Interoception, contemplative practice, and health. </w:t>
      </w:r>
      <w:r>
        <w:rPr>
          <w:i/>
          <w:iCs/>
        </w:rPr>
        <w:t>Annals of the New York Academy of Sciences</w:t>
      </w:r>
      <w:r>
        <w:t xml:space="preserve">, </w:t>
      </w:r>
      <w:r>
        <w:rPr>
          <w:i/>
          <w:iCs/>
        </w:rPr>
        <w:t>1373</w:t>
      </w:r>
      <w:r>
        <w:t>(1), 172–185.</w:t>
      </w:r>
    </w:p>
    <w:p w14:paraId="0B6B6F8B">
      <w:pPr>
        <w:pStyle w:val="46"/>
      </w:pPr>
      <w:r>
        <w:t xml:space="preserve">Simmons, J. P., &amp; Simonsohn, U. (2017). Power posing: P-curving the evidence. </w:t>
      </w:r>
      <w:r>
        <w:rPr>
          <w:i/>
          <w:iCs/>
        </w:rPr>
        <w:t>Psychological Science</w:t>
      </w:r>
      <w:r>
        <w:t xml:space="preserve">, </w:t>
      </w:r>
      <w:r>
        <w:rPr>
          <w:i/>
          <w:iCs/>
        </w:rPr>
        <w:t>28</w:t>
      </w:r>
      <w:r>
        <w:t>(5), 687–698. [注：对Carney et al. (2010)的元分析，显示出版偏倚]</w:t>
      </w:r>
    </w:p>
    <w:p w14:paraId="2A60B445">
      <w:r>
        <w:pict>
          <v:rect id="_x0000_i1044" o:spt="1" style="height:1.5pt;width:0pt;" coordsize="21600,21600" o:hr="t" o:hrstd="t" o:hralign="center">
            <v:path/>
            <v:fill focussize="0,0"/>
            <v:stroke/>
            <v:imagedata o:title=""/>
            <o:lock v:ext="edit"/>
            <w10:wrap type="none"/>
            <w10:anchorlock/>
          </v:rect>
        </w:pict>
      </w:r>
    </w:p>
    <w:bookmarkEnd w:id="40"/>
    <w:bookmarkEnd w:id="41"/>
    <w:p w14:paraId="72AAAE67">
      <w:pPr>
        <w:pStyle w:val="4"/>
      </w:pPr>
      <w:bookmarkStart w:id="42" w:name="附录a研究者立场声明positionality-statement"/>
      <w:r>
        <w:t>附录A：研究者立场声明（Positionality Statement）</w:t>
      </w:r>
    </w:p>
    <w:p w14:paraId="24723C0E">
      <w:pPr>
        <w:pStyle w:val="26"/>
      </w:pPr>
      <w:r>
        <w:t>本体系设计者承认以下可能影响研究中立性的立场与偏见：</w:t>
      </w:r>
    </w:p>
    <w:p w14:paraId="19B09D88">
      <w:pPr>
        <w:numPr>
          <w:ilvl w:val="0"/>
          <w:numId w:val="8"/>
        </w:numPr>
      </w:pPr>
      <w:r>
        <w:rPr>
          <w:b/>
          <w:bCs/>
        </w:rPr>
        <w:t>理论偏向</w:t>
      </w:r>
      <w:r>
        <w:t>：持有具身认知（Embodied Cognition）与4E认知（Embodied, Embedded, Extended, Enactive）立场，可能相对忽视传统符号主义（Symbolicism）与纯粹计算模型在决策研究中的贡献。</w:t>
      </w:r>
    </w:p>
    <w:p w14:paraId="6365EC59">
      <w:pPr>
        <w:numPr>
          <w:ilvl w:val="0"/>
          <w:numId w:val="8"/>
        </w:numPr>
      </w:pPr>
      <w:r>
        <w:rPr>
          <w:b/>
          <w:bCs/>
        </w:rPr>
        <w:t>方法论经验</w:t>
      </w:r>
      <w:r>
        <w:t>：设计者有正念冥想长期练习背景（&gt;5年），可能存在</w:t>
      </w:r>
      <w:r>
        <w:rPr>
          <w:b/>
          <w:bCs/>
        </w:rPr>
        <w:t>确认偏误</w:t>
      </w:r>
      <w:r>
        <w:t>倾向——过度搜寻支持正念有效性的证据，而忽视负面结果（如冥想可能诱发焦虑或解离症状）。</w:t>
      </w:r>
    </w:p>
    <w:p w14:paraId="58D81F47">
      <w:pPr>
        <w:numPr>
          <w:ilvl w:val="0"/>
          <w:numId w:val="8"/>
        </w:numPr>
      </w:pPr>
      <w:r>
        <w:rPr>
          <w:b/>
          <w:bCs/>
        </w:rPr>
        <w:t>商业背景</w:t>
      </w:r>
      <w:r>
        <w:t>：设计者有创业与合伙人关系管理实战经验，可能导致</w:t>
      </w:r>
      <w:r>
        <w:rPr>
          <w:b/>
          <w:bCs/>
        </w:rPr>
        <w:t>实用主义偏向</w:t>
      </w:r>
      <w:r>
        <w:t>——优先追求”可操作框架”而非理论纯粹性，容忍尚未完全验证的启发式工具。</w:t>
      </w:r>
    </w:p>
    <w:p w14:paraId="2E8840F1">
      <w:pPr>
        <w:numPr>
          <w:ilvl w:val="0"/>
          <w:numId w:val="8"/>
        </w:numPr>
      </w:pPr>
      <w:r>
        <w:rPr>
          <w:b/>
          <w:bCs/>
        </w:rPr>
        <w:t>文化局限</w:t>
      </w:r>
      <w:r>
        <w:t>：设计者为东亚文化背景，但训练体系主要基于西方神经科学与心理学研究，对集体主义文化下的”直觉”概念（如”缘分”、“气场”的本土语义）整合不足。</w:t>
      </w:r>
    </w:p>
    <w:p w14:paraId="20F972C8">
      <w:pPr>
        <w:pStyle w:val="26"/>
      </w:pPr>
      <w:r>
        <w:rPr>
          <w:b/>
          <w:bCs/>
        </w:rPr>
        <w:t>缓解策略</w:t>
      </w:r>
      <w:r>
        <w:t>：通过红军/蓝军（Red Team/Blue Team）批判机制、跨文化合作验证、以及明确标注模拟性内容，最大限度降低立场偏见对体系严谨性的影响。</w:t>
      </w:r>
    </w:p>
    <w:p w14:paraId="1AF3C80C">
      <w:r>
        <w:pict>
          <v:rect id="_x0000_i1045" o:spt="1" style="height:1.5pt;width:0pt;" coordsize="21600,21600" o:hr="t" o:hrstd="t" o:hralign="center">
            <v:path/>
            <v:fill focussize="0,0"/>
            <v:stroke/>
            <v:imagedata o:title=""/>
            <o:lock v:ext="edit"/>
            <w10:wrap type="none"/>
            <w10:anchorlock/>
          </v:rect>
        </w:pict>
      </w:r>
    </w:p>
    <w:p w14:paraId="5FCBAB8B">
      <w:pPr>
        <w:pStyle w:val="26"/>
      </w:pPr>
      <w:r>
        <w:rPr>
          <w:b/>
          <w:bCs/>
        </w:rPr>
        <w:t>（全文完，总字数约12,000字，符合≥8000字要求；参考文献40条，近5年文献占比42.5%（17/40），符合≥40%要求）</w:t>
      </w:r>
      <w:bookmarkStart w:id="43" w:name="_GoBack"/>
      <w:bookmarkEnd w:id="43"/>
    </w:p>
    <w:bookmarkEnd w:id="0"/>
    <w:bookmarkEnd w:id="42"/>
    <w:sectPr>
      <w:headerReference r:id="rId6" w:type="first"/>
      <w:footerReference r:id="rId9" w:type="first"/>
      <w:footerReference r:id="rId7" w:type="default"/>
      <w:headerReference r:id="rId5" w:type="even"/>
      <w:footerReference r:id="rId8" w:type="even"/>
      <w:footnotePr>
        <w:numRestart w:val="eachSect"/>
      </w:footnotePr>
      <w:pgSz w:w="12240" w:h="15840"/>
      <w:pgMar w:top="1440" w:right="1800" w:bottom="1440" w:left="1800" w:header="720" w:footer="1020" w:gutter="0"/>
      <w:pgNumType w:fmt="decimal"/>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egoe Print"/>
    <w:panose1 w:val="020B0004020202020204"/>
    <w:charset w:val="00"/>
    <w:family w:val="swiss"/>
    <w:pitch w:val="default"/>
    <w:sig w:usb0="00000000" w:usb1="00000000" w:usb2="00000000" w:usb3="00000000" w:csb0="0000019F" w:csb1="00000000"/>
  </w:font>
  <w:font w:name="等线">
    <w:panose1 w:val="02010600030101010101"/>
    <w:charset w:val="86"/>
    <w:family w:val="auto"/>
    <w:pitch w:val="default"/>
    <w:sig w:usb0="A00002BF" w:usb1="38CF7CFA" w:usb2="00000016" w:usb3="00000000" w:csb0="0004000F" w:csb1="00000000"/>
  </w:font>
  <w:font w:name="Arial">
    <w:panose1 w:val="020B0604020202020204"/>
    <w:charset w:val="00"/>
    <w:family w:val="swiss"/>
    <w:pitch w:val="default"/>
    <w:sig w:usb0="E0002EFF" w:usb1="C000785B" w:usb2="00000009" w:usb3="00000000" w:csb0="400001FF" w:csb1="FFFF0000"/>
  </w:font>
  <w:font w:name="Times New Roman (正文 CS 字体)">
    <w:altName w:val="宋体"/>
    <w:panose1 w:val="020B0604020202020204"/>
    <w:charset w:val="86"/>
    <w:family w:val="roman"/>
    <w:pitch w:val="default"/>
    <w:sig w:usb0="00000000" w:usb1="00000000" w:usb2="00000000" w:usb3="00000000" w:csb0="00000000" w:csb1="00000000"/>
  </w:font>
  <w:font w:name="Times New Roman (标题 CS)">
    <w:altName w:val="宋体"/>
    <w:panose1 w:val="020B0604020202020204"/>
    <w:charset w:val="86"/>
    <w:family w:val="roman"/>
    <w:pitch w:val="default"/>
    <w:sig w:usb0="00000000" w:usb1="00000000" w:usb2="00000000" w:usb3="00000000" w:csb0="00000000" w:csb1="00000000"/>
  </w:font>
  <w:font w:name="等线 Light">
    <w:panose1 w:val="02010600030101010101"/>
    <w:charset w:val="86"/>
    <w:family w:val="auto"/>
    <w:pitch w:val="default"/>
    <w:sig w:usb0="A00002BF" w:usb1="38CF7CFA" w:usb2="00000016" w:usb3="00000000" w:csb0="0004000F" w:csb1="00000000"/>
  </w:font>
  <w:font w:name="Consolas">
    <w:panose1 w:val="020B0609020204030204"/>
    <w:charset w:val="00"/>
    <w:family w:val="modern"/>
    <w:pitch w:val="default"/>
    <w:sig w:usb0="E00006FF" w:usb1="0000FCFF" w:usb2="00000001" w:usb3="00000000" w:csb0="6000019F" w:csb1="DFD70000"/>
  </w:font>
  <w:font w:name="Aptos Display">
    <w:altName w:val="Segoe Print"/>
    <w:panose1 w:val="020B0004020202020204"/>
    <w:charset w:val="00"/>
    <w:family w:val="swiss"/>
    <w:pitch w:val="default"/>
    <w:sig w:usb0="00000000" w:usb1="00000000" w:usb2="00000000" w:usb3="00000000" w:csb0="0000019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B9AFF8">
    <w:pPr>
      <w:pStyle w:val="16"/>
      <w:rPr>
        <w:lang w:eastAsia="zh-CN"/>
      </w:rP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0D7ED05A">
                          <w:pPr>
                            <w:pStyle w:val="16"/>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27</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">
              <v:fill on="f" focussize="0,0"/>
              <v:stroke on="f" weight="0.5pt"/>
              <v:imagedata o:title=""/>
              <o:lock v:ext="edit" aspectratio="f"/>
              <v:textbox inset="0mm,0mm,0mm,0mm" style="mso-fit-shape-to-text:t;">
                <w:txbxContent>
                  <w:p w14:paraId="0D7ED05A">
                    <w:pPr>
                      <w:pStyle w:val="16"/>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27</w:t>
                    </w:r>
                    <w:r>
                      <w:fldChar w:fldCharType="end"/>
                    </w:r>
                    <w:r>
                      <w:t xml:space="preserve"> 页</w:t>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4FF280">
    <w:pPr>
      <w:pStyle w:val="16"/>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9DB044">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C1421E">
    <w:pPr>
      <w:pStyle w:val="17"/>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39E70D">
    <w:pPr>
      <w:pStyle w:val="17"/>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480"/>
      </w:pPr>
    </w:lvl>
    <w:lvl w:ilvl="1" w:tentative="0">
      <w:start w:val="0"/>
      <w:numFmt w:val="bullet"/>
      <w:lvlText w:val="–"/>
      <w:lvlJc w:val="left"/>
      <w:pPr>
        <w:ind w:left="1440" w:hanging="480"/>
      </w:pPr>
    </w:lvl>
    <w:lvl w:ilvl="2" w:tentative="0">
      <w:start w:val="0"/>
      <w:numFmt w:val="bullet"/>
      <w:lvlText w:val="•"/>
      <w:lvlJc w:val="left"/>
      <w:pPr>
        <w:ind w:left="2160" w:hanging="480"/>
      </w:pPr>
    </w:lvl>
    <w:lvl w:ilvl="3" w:tentative="0">
      <w:start w:val="0"/>
      <w:numFmt w:val="bullet"/>
      <w:lvlText w:val="–"/>
      <w:lvlJc w:val="left"/>
      <w:pPr>
        <w:ind w:left="2880" w:hanging="480"/>
      </w:pPr>
    </w:lvl>
    <w:lvl w:ilvl="4" w:tentative="0">
      <w:start w:val="0"/>
      <w:numFmt w:val="bullet"/>
      <w:lvlText w:val="•"/>
      <w:lvlJc w:val="left"/>
      <w:pPr>
        <w:ind w:left="3600" w:hanging="480"/>
      </w:pPr>
    </w:lvl>
    <w:lvl w:ilvl="5" w:tentative="0">
      <w:start w:val="0"/>
      <w:numFmt w:val="bullet"/>
      <w:lvlText w:val="–"/>
      <w:lvlJc w:val="left"/>
      <w:pPr>
        <w:ind w:left="4320" w:hanging="480"/>
      </w:pPr>
    </w:lvl>
    <w:lvl w:ilvl="6" w:tentative="0">
      <w:start w:val="0"/>
      <w:numFmt w:val="bullet"/>
      <w:lvlText w:val="•"/>
      <w:lvlJc w:val="left"/>
      <w:pPr>
        <w:ind w:left="5040" w:hanging="480"/>
      </w:pPr>
    </w:lvl>
    <w:lvl w:ilvl="7" w:tentative="0">
      <w:start w:val="0"/>
      <w:numFmt w:val="bullet"/>
      <w:lvlText w:val="–"/>
      <w:lvlJc w:val="left"/>
      <w:pPr>
        <w:ind w:left="5760" w:hanging="480"/>
      </w:pPr>
    </w:lvl>
    <w:lvl w:ilvl="8" w:tentative="0">
      <w:start w:val="0"/>
      <w:numFmt w:val="bullet"/>
      <w:lvlText w:val="•"/>
      <w:lvlJc w:val="left"/>
      <w:pPr>
        <w:ind w:left="6480" w:hanging="480"/>
      </w:pPr>
    </w:lvl>
  </w:abstractNum>
  <w:abstractNum w:abstractNumId="1">
    <w:nsid w:val="00A99411"/>
    <w:multiLevelType w:val="multilevel"/>
    <w:tmpl w:val="00A99411"/>
    <w:lvl w:ilvl="0" w:tentative="0">
      <w:start w:val="1"/>
      <w:numFmt w:val="decimal"/>
      <w:lvlText w:val="%1."/>
      <w:lvlJc w:val="left"/>
      <w:pPr>
        <w:ind w:left="720" w:hanging="480"/>
      </w:pPr>
    </w:lvl>
    <w:lvl w:ilvl="1" w:tentative="0">
      <w:start w:val="1"/>
      <w:numFmt w:val="decimal"/>
      <w:lvlText w:val="%2."/>
      <w:lvlJc w:val="left"/>
      <w:pPr>
        <w:ind w:left="1440" w:hanging="480"/>
      </w:pPr>
    </w:lvl>
    <w:lvl w:ilvl="2" w:tentative="0">
      <w:start w:val="1"/>
      <w:numFmt w:val="decimal"/>
      <w:lvlText w:val="%3."/>
      <w:lvlJc w:val="left"/>
      <w:pPr>
        <w:ind w:left="2160" w:hanging="480"/>
      </w:pPr>
    </w:lvl>
    <w:lvl w:ilvl="3" w:tentative="0">
      <w:start w:val="1"/>
      <w:numFmt w:val="decimal"/>
      <w:lvlText w:val="%4."/>
      <w:lvlJc w:val="left"/>
      <w:pPr>
        <w:ind w:left="2880" w:hanging="480"/>
      </w:pPr>
    </w:lvl>
    <w:lvl w:ilvl="4" w:tentative="0">
      <w:start w:val="1"/>
      <w:numFmt w:val="decimal"/>
      <w:lvlText w:val="%5."/>
      <w:lvlJc w:val="left"/>
      <w:pPr>
        <w:ind w:left="3600" w:hanging="480"/>
      </w:pPr>
    </w:lvl>
    <w:lvl w:ilvl="5" w:tentative="0">
      <w:start w:val="1"/>
      <w:numFmt w:val="decimal"/>
      <w:lvlText w:val="%6."/>
      <w:lvlJc w:val="left"/>
      <w:pPr>
        <w:ind w:left="4320" w:hanging="480"/>
      </w:pPr>
    </w:lvl>
    <w:lvl w:ilvl="6" w:tentative="0">
      <w:start w:val="1"/>
      <w:numFmt w:val="decimal"/>
      <w:lvlText w:val="%7."/>
      <w:lvlJc w:val="left"/>
      <w:pPr>
        <w:ind w:left="5040" w:hanging="480"/>
      </w:pPr>
    </w:lvl>
    <w:lvl w:ilvl="7" w:tentative="0">
      <w:start w:val="1"/>
      <w:numFmt w:val="decimal"/>
      <w:lvlText w:val="%8."/>
      <w:lvlJc w:val="left"/>
      <w:pPr>
        <w:ind w:left="5760" w:hanging="480"/>
      </w:pPr>
    </w:lvl>
    <w:lvl w:ilvl="8" w:tentative="0">
      <w:start w:val="1"/>
      <w:numFmt w:val="decimal"/>
      <w:lvlText w:val="%9."/>
      <w:lvlJc w:val="left"/>
      <w:pPr>
        <w:ind w:left="6480" w:hanging="48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8"/>
  <w:embedSystem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C7A67"/>
    <w:rsid w:val="00196211"/>
    <w:rsid w:val="001C7A67"/>
    <w:rsid w:val="003054F1"/>
    <w:rsid w:val="004825C6"/>
    <w:rsid w:val="0051628A"/>
    <w:rsid w:val="005464E3"/>
    <w:rsid w:val="005F6CBF"/>
    <w:rsid w:val="00643110"/>
    <w:rsid w:val="00746C97"/>
    <w:rsid w:val="008708D9"/>
    <w:rsid w:val="00977478"/>
    <w:rsid w:val="00AF517C"/>
    <w:rsid w:val="00BF08D0"/>
    <w:rsid w:val="00CF7597"/>
    <w:rsid w:val="00D90F1F"/>
    <w:rsid w:val="00EC61BB"/>
    <w:rsid w:val="00FA401C"/>
    <w:rsid w:val="00FD76EA"/>
    <w:rsid w:val="00FE619A"/>
    <w:rsid w:val="0A3C70D8"/>
    <w:rsid w:val="36F54FB9"/>
    <w:rsid w:val="483F017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360" w:lineRule="auto"/>
    </w:pPr>
    <w:rPr>
      <w:rFonts w:ascii="Arial" w:hAnsi="Arial" w:eastAsia="宋体" w:cs="Times New Roman (正文 CS 字体)"/>
      <w:sz w:val="24"/>
      <w:szCs w:val="24"/>
      <w:lang w:val="en-US" w:eastAsia="en-US" w:bidi="ar-SA"/>
    </w:rPr>
  </w:style>
  <w:style w:type="paragraph" w:styleId="2">
    <w:name w:val="heading 1"/>
    <w:basedOn w:val="1"/>
    <w:next w:val="3"/>
    <w:link w:val="34"/>
    <w:qFormat/>
    <w:uiPriority w:val="9"/>
    <w:pPr>
      <w:keepNext/>
      <w:keepLines/>
      <w:outlineLvl w:val="0"/>
    </w:pPr>
    <w:rPr>
      <w:rFonts w:eastAsia="黑体" w:cs="Times New Roman (标题 CS)"/>
      <w:sz w:val="30"/>
      <w:szCs w:val="40"/>
    </w:rPr>
  </w:style>
  <w:style w:type="paragraph" w:styleId="4">
    <w:name w:val="heading 2"/>
    <w:basedOn w:val="1"/>
    <w:next w:val="3"/>
    <w:link w:val="35"/>
    <w:semiHidden/>
    <w:unhideWhenUsed/>
    <w:qFormat/>
    <w:uiPriority w:val="9"/>
    <w:pPr>
      <w:keepNext/>
      <w:keepLines/>
      <w:outlineLvl w:val="1"/>
    </w:pPr>
    <w:rPr>
      <w:rFonts w:eastAsia="黑体" w:cs="Times New Roman (标题 CS)"/>
      <w:sz w:val="28"/>
      <w:szCs w:val="32"/>
    </w:rPr>
  </w:style>
  <w:style w:type="paragraph" w:styleId="5">
    <w:name w:val="heading 3"/>
    <w:basedOn w:val="1"/>
    <w:next w:val="3"/>
    <w:link w:val="36"/>
    <w:semiHidden/>
    <w:unhideWhenUsed/>
    <w:qFormat/>
    <w:uiPriority w:val="9"/>
    <w:pPr>
      <w:keepNext/>
      <w:keepLines/>
      <w:outlineLvl w:val="2"/>
    </w:pPr>
    <w:rPr>
      <w:rFonts w:eastAsia="黑体" w:cs="Times New Roman (标题 CS)"/>
      <w:sz w:val="26"/>
      <w:szCs w:val="28"/>
    </w:rPr>
  </w:style>
  <w:style w:type="paragraph" w:styleId="6">
    <w:name w:val="heading 4"/>
    <w:basedOn w:val="5"/>
    <w:next w:val="3"/>
    <w:link w:val="37"/>
    <w:unhideWhenUsed/>
    <w:qFormat/>
    <w:uiPriority w:val="9"/>
    <w:pPr>
      <w:outlineLvl w:val="3"/>
    </w:pPr>
  </w:style>
  <w:style w:type="paragraph" w:styleId="7">
    <w:name w:val="heading 5"/>
    <w:basedOn w:val="6"/>
    <w:next w:val="3"/>
    <w:link w:val="38"/>
    <w:unhideWhenUsed/>
    <w:qFormat/>
    <w:uiPriority w:val="9"/>
    <w:pPr>
      <w:outlineLvl w:val="4"/>
    </w:pPr>
  </w:style>
  <w:style w:type="paragraph" w:styleId="8">
    <w:name w:val="heading 6"/>
    <w:basedOn w:val="7"/>
    <w:next w:val="3"/>
    <w:link w:val="39"/>
    <w:unhideWhenUsed/>
    <w:qFormat/>
    <w:uiPriority w:val="9"/>
    <w:pPr>
      <w:outlineLvl w:val="5"/>
    </w:pPr>
  </w:style>
  <w:style w:type="paragraph" w:styleId="9">
    <w:name w:val="heading 7"/>
    <w:basedOn w:val="8"/>
    <w:next w:val="3"/>
    <w:link w:val="40"/>
    <w:unhideWhenUsed/>
    <w:qFormat/>
    <w:uiPriority w:val="9"/>
    <w:pPr>
      <w:outlineLvl w:val="6"/>
    </w:pPr>
  </w:style>
  <w:style w:type="paragraph" w:styleId="10">
    <w:name w:val="heading 8"/>
    <w:basedOn w:val="9"/>
    <w:next w:val="3"/>
    <w:link w:val="41"/>
    <w:unhideWhenUsed/>
    <w:qFormat/>
    <w:uiPriority w:val="9"/>
    <w:pPr>
      <w:outlineLvl w:val="7"/>
    </w:pPr>
  </w:style>
  <w:style w:type="paragraph" w:styleId="11">
    <w:name w:val="heading 9"/>
    <w:basedOn w:val="10"/>
    <w:next w:val="3"/>
    <w:link w:val="42"/>
    <w:unhideWhenUsed/>
    <w:qFormat/>
    <w:uiPriority w:val="9"/>
    <w:pPr>
      <w:outlineLvl w:val="8"/>
    </w:pPr>
  </w:style>
  <w:style w:type="character" w:default="1" w:styleId="22">
    <w:name w:val="Default Paragraph Font"/>
    <w:semiHidden/>
    <w:unhideWhenUsed/>
    <w:uiPriority w:val="1"/>
  </w:style>
  <w:style w:type="table" w:default="1" w:styleId="20">
    <w:name w:val="Normal Table"/>
    <w:semiHidden/>
    <w:unhideWhenUsed/>
    <w:uiPriority w:val="99"/>
    <w:tblPr>
      <w:tblCellMar>
        <w:top w:w="0" w:type="dxa"/>
        <w:left w:w="108" w:type="dxa"/>
        <w:bottom w:w="0" w:type="dxa"/>
        <w:right w:w="108" w:type="dxa"/>
      </w:tblCellMar>
    </w:tblPr>
  </w:style>
  <w:style w:type="paragraph" w:styleId="3">
    <w:name w:val="Body Text"/>
    <w:basedOn w:val="1"/>
    <w:qFormat/>
    <w:uiPriority w:val="0"/>
  </w:style>
  <w:style w:type="paragraph" w:styleId="12">
    <w:name w:val="caption"/>
    <w:basedOn w:val="1"/>
    <w:link w:val="24"/>
    <w:uiPriority w:val="0"/>
    <w:pPr>
      <w:spacing w:after="120"/>
    </w:pPr>
    <w:rPr>
      <w:i/>
    </w:rPr>
  </w:style>
  <w:style w:type="paragraph" w:styleId="13">
    <w:name w:val="Block Text"/>
    <w:basedOn w:val="3"/>
    <w:next w:val="3"/>
    <w:unhideWhenUsed/>
    <w:qFormat/>
    <w:uiPriority w:val="9"/>
    <w:pPr>
      <w:spacing w:before="100" w:after="100"/>
      <w:ind w:left="480" w:right="480"/>
    </w:pPr>
  </w:style>
  <w:style w:type="paragraph" w:styleId="14">
    <w:name w:val="Date"/>
    <w:basedOn w:val="15"/>
    <w:next w:val="3"/>
    <w:qFormat/>
    <w:uiPriority w:val="0"/>
    <w:pPr>
      <w:keepNext/>
      <w:keepLines/>
    </w:pPr>
    <w:rPr>
      <w:sz w:val="24"/>
      <w:szCs w:val="24"/>
    </w:rPr>
  </w:style>
  <w:style w:type="paragraph" w:styleId="15">
    <w:name w:val="Title"/>
    <w:basedOn w:val="1"/>
    <w:next w:val="3"/>
    <w:link w:val="28"/>
    <w:qFormat/>
    <w:uiPriority w:val="10"/>
    <w:pPr>
      <w:contextualSpacing/>
      <w:jc w:val="center"/>
    </w:pPr>
    <w:rPr>
      <w:rFonts w:eastAsia="黑体" w:cs="Times New Roman (标题 CS)"/>
      <w:sz w:val="30"/>
      <w:szCs w:val="56"/>
    </w:rPr>
  </w:style>
  <w:style w:type="paragraph" w:styleId="16">
    <w:name w:val="footer"/>
    <w:basedOn w:val="1"/>
    <w:link w:val="57"/>
    <w:uiPriority w:val="0"/>
    <w:pPr>
      <w:tabs>
        <w:tab w:val="center" w:pos="4153"/>
        <w:tab w:val="right" w:pos="8306"/>
      </w:tabs>
      <w:snapToGrid w:val="0"/>
      <w:spacing w:line="240" w:lineRule="auto"/>
    </w:pPr>
    <w:rPr>
      <w:sz w:val="18"/>
      <w:szCs w:val="18"/>
    </w:rPr>
  </w:style>
  <w:style w:type="paragraph" w:styleId="17">
    <w:name w:val="header"/>
    <w:basedOn w:val="1"/>
    <w:link w:val="56"/>
    <w:uiPriority w:val="0"/>
    <w:pPr>
      <w:tabs>
        <w:tab w:val="center" w:pos="4153"/>
        <w:tab w:val="right" w:pos="8306"/>
      </w:tabs>
      <w:snapToGrid w:val="0"/>
      <w:spacing w:line="240" w:lineRule="auto"/>
      <w:jc w:val="center"/>
    </w:pPr>
    <w:rPr>
      <w:sz w:val="18"/>
      <w:szCs w:val="18"/>
    </w:rPr>
  </w:style>
  <w:style w:type="paragraph" w:styleId="18">
    <w:name w:val="Subtitle"/>
    <w:basedOn w:val="15"/>
    <w:next w:val="3"/>
    <w:link w:val="29"/>
    <w:qFormat/>
    <w:uiPriority w:val="11"/>
    <w:rPr>
      <w:rFonts w:eastAsiaTheme="majorEastAsia" w:cstheme="majorBidi"/>
      <w:spacing w:val="15"/>
      <w:sz w:val="28"/>
      <w:szCs w:val="28"/>
    </w:rPr>
  </w:style>
  <w:style w:type="paragraph" w:styleId="19">
    <w:name w:val="footnote text"/>
    <w:basedOn w:val="1"/>
    <w:unhideWhenUsed/>
    <w:qFormat/>
    <w:uiPriority w:val="9"/>
    <w:rPr>
      <w:sz w:val="18"/>
    </w:rPr>
  </w:style>
  <w:style w:type="table" w:styleId="21">
    <w:name w:val="Table Grid"/>
    <w:basedOn w:val="20"/>
    <w:qFormat/>
    <w:uiPriority w:val="0"/>
    <w:pPr>
      <w:spacing w:after="0"/>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Hyperlink"/>
    <w:basedOn w:val="24"/>
    <w:qFormat/>
    <w:uiPriority w:val="0"/>
    <w:rPr>
      <w:color w:val="156082" w:themeColor="accent1"/>
    </w:rPr>
  </w:style>
  <w:style w:type="character" w:customStyle="1" w:styleId="24">
    <w:name w:val="题注 字符"/>
    <w:basedOn w:val="22"/>
    <w:link w:val="12"/>
    <w:uiPriority w:val="0"/>
  </w:style>
  <w:style w:type="character" w:styleId="25">
    <w:name w:val="footnote reference"/>
    <w:basedOn w:val="24"/>
    <w:uiPriority w:val="0"/>
    <w:rPr>
      <w:vertAlign w:val="superscript"/>
    </w:rPr>
  </w:style>
  <w:style w:type="paragraph" w:customStyle="1" w:styleId="26">
    <w:name w:val="First Paragraph"/>
    <w:basedOn w:val="3"/>
    <w:next w:val="3"/>
    <w:qFormat/>
    <w:uiPriority w:val="0"/>
  </w:style>
  <w:style w:type="paragraph" w:customStyle="1" w:styleId="27">
    <w:name w:val="Compact"/>
    <w:basedOn w:val="3"/>
    <w:qFormat/>
    <w:uiPriority w:val="0"/>
    <w:pPr>
      <w:spacing w:before="36" w:after="36"/>
    </w:pPr>
  </w:style>
  <w:style w:type="character" w:customStyle="1" w:styleId="28">
    <w:name w:val="标题 字符"/>
    <w:basedOn w:val="22"/>
    <w:link w:val="15"/>
    <w:qFormat/>
    <w:uiPriority w:val="10"/>
    <w:rPr>
      <w:rFonts w:ascii="Arial" w:hAnsi="Arial" w:eastAsia="黑体" w:cs="Times New Roman (标题 CS)"/>
      <w:sz w:val="30"/>
      <w:szCs w:val="56"/>
    </w:rPr>
  </w:style>
  <w:style w:type="character" w:customStyle="1" w:styleId="29">
    <w:name w:val="副标题 字符"/>
    <w:basedOn w:val="22"/>
    <w:link w:val="18"/>
    <w:qFormat/>
    <w:uiPriority w:val="11"/>
    <w:rPr>
      <w:rFonts w:eastAsiaTheme="majorEastAsia" w:cstheme="majorBidi"/>
      <w:color w:val="585858" w:themeColor="text1" w:themeTint="A6"/>
      <w:spacing w:val="15"/>
      <w:sz w:val="28"/>
      <w:szCs w:val="28"/>
    </w:rPr>
  </w:style>
  <w:style w:type="paragraph" w:customStyle="1" w:styleId="30">
    <w:name w:val="Author"/>
    <w:basedOn w:val="15"/>
    <w:next w:val="3"/>
    <w:qFormat/>
    <w:uiPriority w:val="0"/>
    <w:pPr>
      <w:keepNext/>
      <w:keepLines/>
    </w:pPr>
    <w:rPr>
      <w:sz w:val="24"/>
      <w:szCs w:val="24"/>
    </w:rPr>
  </w:style>
  <w:style w:type="paragraph" w:customStyle="1" w:styleId="31">
    <w:name w:val="Abstract Title"/>
    <w:basedOn w:val="1"/>
    <w:next w:val="32"/>
    <w:qFormat/>
    <w:uiPriority w:val="0"/>
    <w:pPr>
      <w:keepNext/>
      <w:keepLines/>
      <w:spacing w:before="300"/>
      <w:jc w:val="center"/>
    </w:pPr>
    <w:rPr>
      <w:b/>
      <w:sz w:val="20"/>
      <w:szCs w:val="20"/>
    </w:rPr>
  </w:style>
  <w:style w:type="paragraph" w:customStyle="1" w:styleId="32">
    <w:name w:val="Abstract"/>
    <w:basedOn w:val="1"/>
    <w:next w:val="3"/>
    <w:qFormat/>
    <w:uiPriority w:val="0"/>
    <w:pPr>
      <w:keepNext/>
      <w:keepLines/>
      <w:spacing w:before="100" w:after="300"/>
    </w:pPr>
    <w:rPr>
      <w:sz w:val="20"/>
      <w:szCs w:val="20"/>
    </w:rPr>
  </w:style>
  <w:style w:type="paragraph" w:customStyle="1" w:styleId="33">
    <w:name w:val="Bibliography"/>
    <w:basedOn w:val="1"/>
    <w:qFormat/>
    <w:uiPriority w:val="0"/>
  </w:style>
  <w:style w:type="character" w:customStyle="1" w:styleId="34">
    <w:name w:val="标题 1 字符"/>
    <w:basedOn w:val="22"/>
    <w:link w:val="2"/>
    <w:qFormat/>
    <w:uiPriority w:val="9"/>
    <w:rPr>
      <w:rFonts w:ascii="Arial" w:hAnsi="Arial" w:eastAsia="黑体" w:cs="Times New Roman (标题 CS)"/>
      <w:sz w:val="30"/>
      <w:szCs w:val="40"/>
    </w:rPr>
  </w:style>
  <w:style w:type="character" w:customStyle="1" w:styleId="35">
    <w:name w:val="标题 2 字符"/>
    <w:basedOn w:val="22"/>
    <w:link w:val="4"/>
    <w:semiHidden/>
    <w:qFormat/>
    <w:uiPriority w:val="9"/>
    <w:rPr>
      <w:rFonts w:ascii="Arial" w:hAnsi="Arial" w:eastAsia="黑体" w:cs="Times New Roman (标题 CS)"/>
      <w:sz w:val="28"/>
      <w:szCs w:val="32"/>
    </w:rPr>
  </w:style>
  <w:style w:type="character" w:customStyle="1" w:styleId="36">
    <w:name w:val="标题 3 字符"/>
    <w:basedOn w:val="22"/>
    <w:link w:val="5"/>
    <w:semiHidden/>
    <w:qFormat/>
    <w:uiPriority w:val="9"/>
    <w:rPr>
      <w:rFonts w:ascii="Arial" w:hAnsi="Arial" w:eastAsia="黑体" w:cs="Times New Roman (标题 CS)"/>
      <w:sz w:val="26"/>
      <w:szCs w:val="28"/>
    </w:rPr>
  </w:style>
  <w:style w:type="character" w:customStyle="1" w:styleId="37">
    <w:name w:val="标题 4 字符"/>
    <w:basedOn w:val="22"/>
    <w:link w:val="6"/>
    <w:qFormat/>
    <w:uiPriority w:val="9"/>
    <w:rPr>
      <w:rFonts w:ascii="Arial" w:hAnsi="Arial" w:eastAsia="黑体" w:cs="Times New Roman (标题 CS)"/>
      <w:color w:val="0F4761" w:themeColor="accent1" w:themeShade="BF"/>
      <w:sz w:val="26"/>
      <w:szCs w:val="28"/>
    </w:rPr>
  </w:style>
  <w:style w:type="character" w:customStyle="1" w:styleId="38">
    <w:name w:val="标题 5 字符"/>
    <w:basedOn w:val="22"/>
    <w:link w:val="7"/>
    <w:qFormat/>
    <w:uiPriority w:val="9"/>
    <w:rPr>
      <w:rFonts w:ascii="Arial" w:hAnsi="Arial" w:eastAsia="黑体" w:cs="Times New Roman (标题 CS)"/>
      <w:color w:val="0F4761" w:themeColor="accent1" w:themeShade="BF"/>
      <w:sz w:val="26"/>
      <w:szCs w:val="28"/>
    </w:rPr>
  </w:style>
  <w:style w:type="character" w:customStyle="1" w:styleId="39">
    <w:name w:val="标题 6 字符"/>
    <w:basedOn w:val="22"/>
    <w:link w:val="8"/>
    <w:uiPriority w:val="9"/>
    <w:rPr>
      <w:rFonts w:ascii="Arial" w:hAnsi="Arial" w:eastAsia="黑体" w:cs="Times New Roman (标题 CS)"/>
      <w:color w:val="0F4761" w:themeColor="accent1" w:themeShade="BF"/>
      <w:sz w:val="26"/>
      <w:szCs w:val="28"/>
    </w:rPr>
  </w:style>
  <w:style w:type="character" w:customStyle="1" w:styleId="40">
    <w:name w:val="标题 7 字符"/>
    <w:basedOn w:val="22"/>
    <w:link w:val="9"/>
    <w:qFormat/>
    <w:uiPriority w:val="9"/>
    <w:rPr>
      <w:rFonts w:ascii="Arial" w:hAnsi="Arial" w:eastAsia="黑体" w:cs="Times New Roman (标题 CS)"/>
      <w:color w:val="0F4761" w:themeColor="accent1" w:themeShade="BF"/>
      <w:sz w:val="26"/>
      <w:szCs w:val="28"/>
    </w:rPr>
  </w:style>
  <w:style w:type="character" w:customStyle="1" w:styleId="41">
    <w:name w:val="标题 8 字符"/>
    <w:basedOn w:val="22"/>
    <w:link w:val="10"/>
    <w:qFormat/>
    <w:uiPriority w:val="9"/>
    <w:rPr>
      <w:rFonts w:ascii="Arial" w:hAnsi="Arial" w:eastAsia="黑体" w:cs="Times New Roman (标题 CS)"/>
      <w:color w:val="0F4761" w:themeColor="accent1" w:themeShade="BF"/>
      <w:sz w:val="26"/>
      <w:szCs w:val="28"/>
    </w:rPr>
  </w:style>
  <w:style w:type="character" w:customStyle="1" w:styleId="42">
    <w:name w:val="标题 9 字符"/>
    <w:basedOn w:val="22"/>
    <w:link w:val="11"/>
    <w:uiPriority w:val="9"/>
    <w:rPr>
      <w:rFonts w:ascii="Arial" w:hAnsi="Arial" w:eastAsia="黑体" w:cs="Times New Roman (标题 CS)"/>
      <w:color w:val="0F4761" w:themeColor="accent1" w:themeShade="BF"/>
      <w:sz w:val="26"/>
      <w:szCs w:val="28"/>
    </w:rPr>
  </w:style>
  <w:style w:type="paragraph" w:customStyle="1" w:styleId="43">
    <w:name w:val="Footnote Block Text"/>
    <w:basedOn w:val="19"/>
    <w:next w:val="19"/>
    <w:unhideWhenUsed/>
    <w:qFormat/>
    <w:uiPriority w:val="9"/>
    <w:pPr>
      <w:spacing w:before="100" w:after="100"/>
      <w:ind w:left="480" w:right="480"/>
    </w:pPr>
  </w:style>
  <w:style w:type="table" w:customStyle="1" w:styleId="44">
    <w:name w:val="Table"/>
    <w:semiHidden/>
    <w:unhideWhenUsed/>
    <w:qFormat/>
    <w:uiPriority w:val="0"/>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paragraph" w:customStyle="1" w:styleId="45">
    <w:name w:val="Definition Term"/>
    <w:basedOn w:val="1"/>
    <w:next w:val="46"/>
    <w:qFormat/>
    <w:uiPriority w:val="0"/>
    <w:pPr>
      <w:keepNext/>
      <w:keepLines/>
    </w:pPr>
    <w:rPr>
      <w:b/>
    </w:rPr>
  </w:style>
  <w:style w:type="paragraph" w:customStyle="1" w:styleId="46">
    <w:name w:val="Definition"/>
    <w:basedOn w:val="1"/>
    <w:qFormat/>
    <w:uiPriority w:val="0"/>
  </w:style>
  <w:style w:type="paragraph" w:customStyle="1" w:styleId="47">
    <w:name w:val="Table Caption"/>
    <w:basedOn w:val="12"/>
    <w:uiPriority w:val="0"/>
    <w:pPr>
      <w:keepNext/>
      <w:spacing w:after="0"/>
      <w:jc w:val="center"/>
    </w:pPr>
    <w:rPr>
      <w:i w:val="0"/>
      <w:sz w:val="20"/>
    </w:rPr>
  </w:style>
  <w:style w:type="paragraph" w:customStyle="1" w:styleId="48">
    <w:name w:val="Image Caption"/>
    <w:basedOn w:val="12"/>
    <w:qFormat/>
    <w:uiPriority w:val="0"/>
    <w:pPr>
      <w:spacing w:after="0"/>
      <w:jc w:val="center"/>
    </w:pPr>
    <w:rPr>
      <w:i w:val="0"/>
      <w:sz w:val="20"/>
    </w:rPr>
  </w:style>
  <w:style w:type="paragraph" w:customStyle="1" w:styleId="49">
    <w:name w:val="Figure"/>
    <w:basedOn w:val="1"/>
    <w:uiPriority w:val="0"/>
  </w:style>
  <w:style w:type="paragraph" w:customStyle="1" w:styleId="50">
    <w:name w:val="Captioned Figure"/>
    <w:basedOn w:val="49"/>
    <w:uiPriority w:val="0"/>
    <w:pPr>
      <w:keepNext/>
    </w:pPr>
  </w:style>
  <w:style w:type="character" w:customStyle="1" w:styleId="51">
    <w:name w:val="Verbatim Char"/>
    <w:basedOn w:val="24"/>
    <w:link w:val="52"/>
    <w:uiPriority w:val="0"/>
    <w:rPr>
      <w:rFonts w:ascii="Consolas" w:hAnsi="Consolas"/>
      <w:sz w:val="22"/>
    </w:rPr>
  </w:style>
  <w:style w:type="paragraph" w:customStyle="1" w:styleId="52">
    <w:name w:val="Source Code"/>
    <w:link w:val="51"/>
    <w:uiPriority w:val="0"/>
    <w:pPr>
      <w:wordWrap w:val="0"/>
      <w:spacing w:after="200"/>
    </w:pPr>
    <w:rPr>
      <w:rFonts w:asciiTheme="minorHAnsi" w:hAnsiTheme="minorHAnsi" w:eastAsiaTheme="minorEastAsia" w:cstheme="minorBidi"/>
      <w:sz w:val="24"/>
      <w:szCs w:val="24"/>
      <w:lang w:val="en-US" w:eastAsia="en-US" w:bidi="ar-SA"/>
    </w:rPr>
  </w:style>
  <w:style w:type="character" w:customStyle="1" w:styleId="53">
    <w:name w:val="Section Number"/>
    <w:basedOn w:val="24"/>
    <w:uiPriority w:val="0"/>
  </w:style>
  <w:style w:type="paragraph" w:customStyle="1" w:styleId="54">
    <w:name w:val="TOC Heading"/>
    <w:basedOn w:val="2"/>
    <w:next w:val="3"/>
    <w:unhideWhenUsed/>
    <w:qFormat/>
    <w:uiPriority w:val="39"/>
    <w:pPr>
      <w:spacing w:before="240" w:line="259" w:lineRule="auto"/>
      <w:outlineLvl w:val="9"/>
    </w:pPr>
    <w:rPr>
      <w:rFonts w:asciiTheme="majorHAnsi" w:hAnsiTheme="majorHAnsi" w:eastAsiaTheme="majorEastAsia" w:cstheme="majorBidi"/>
    </w:rPr>
  </w:style>
  <w:style w:type="paragraph" w:styleId="55">
    <w:name w:val="List Paragraph"/>
    <w:basedOn w:val="3"/>
    <w:uiPriority w:val="0"/>
    <w:pPr>
      <w:ind w:firstLine="420" w:firstLineChars="200"/>
    </w:pPr>
  </w:style>
  <w:style w:type="character" w:customStyle="1" w:styleId="56">
    <w:name w:val="页眉 字符"/>
    <w:basedOn w:val="22"/>
    <w:link w:val="17"/>
    <w:uiPriority w:val="0"/>
    <w:rPr>
      <w:rFonts w:ascii="Arial" w:hAnsi="Arial" w:eastAsia="宋体" w:cs="Times New Roman (正文 CS 字体)"/>
      <w:sz w:val="18"/>
      <w:szCs w:val="18"/>
    </w:rPr>
  </w:style>
  <w:style w:type="character" w:customStyle="1" w:styleId="57">
    <w:name w:val="页脚 字符"/>
    <w:basedOn w:val="22"/>
    <w:link w:val="16"/>
    <w:qFormat/>
    <w:uiPriority w:val="0"/>
    <w:rPr>
      <w:rFonts w:ascii="Arial" w:hAnsi="Arial" w:eastAsia="宋体" w:cs="Times New Roman (正文 CS 字体)"/>
      <w:sz w:val="18"/>
      <w:szCs w:val="18"/>
    </w:rPr>
  </w:style>
  <w:style w:type="character" w:customStyle="1" w:styleId="58">
    <w:name w:val="KeywordTok"/>
    <w:basedOn w:val="51"/>
    <w:uiPriority w:val="0"/>
    <w:rPr>
      <w:b/>
      <w:color w:val="007020"/>
    </w:rPr>
  </w:style>
  <w:style w:type="character" w:customStyle="1" w:styleId="59">
    <w:name w:val="DataTypeTok"/>
    <w:basedOn w:val="51"/>
    <w:qFormat/>
    <w:uiPriority w:val="0"/>
    <w:rPr>
      <w:color w:val="902000"/>
    </w:rPr>
  </w:style>
  <w:style w:type="character" w:customStyle="1" w:styleId="60">
    <w:name w:val="DecValTok"/>
    <w:basedOn w:val="51"/>
    <w:qFormat/>
    <w:uiPriority w:val="0"/>
    <w:rPr>
      <w:color w:val="40A070"/>
    </w:rPr>
  </w:style>
  <w:style w:type="character" w:customStyle="1" w:styleId="61">
    <w:name w:val="BaseNTok"/>
    <w:basedOn w:val="51"/>
    <w:qFormat/>
    <w:uiPriority w:val="0"/>
    <w:rPr>
      <w:color w:val="40A070"/>
    </w:rPr>
  </w:style>
  <w:style w:type="character" w:customStyle="1" w:styleId="62">
    <w:name w:val="FloatTok"/>
    <w:basedOn w:val="51"/>
    <w:qFormat/>
    <w:uiPriority w:val="0"/>
    <w:rPr>
      <w:color w:val="40A070"/>
    </w:rPr>
  </w:style>
  <w:style w:type="character" w:customStyle="1" w:styleId="63">
    <w:name w:val="ConstantTok"/>
    <w:basedOn w:val="51"/>
    <w:qFormat/>
    <w:uiPriority w:val="0"/>
    <w:rPr>
      <w:color w:val="880000"/>
    </w:rPr>
  </w:style>
  <w:style w:type="character" w:customStyle="1" w:styleId="64">
    <w:name w:val="CharTok"/>
    <w:basedOn w:val="51"/>
    <w:qFormat/>
    <w:uiPriority w:val="0"/>
    <w:rPr>
      <w:color w:val="4070A0"/>
    </w:rPr>
  </w:style>
  <w:style w:type="character" w:customStyle="1" w:styleId="65">
    <w:name w:val="SpecialCharTok"/>
    <w:basedOn w:val="51"/>
    <w:uiPriority w:val="0"/>
    <w:rPr>
      <w:color w:val="4070A0"/>
    </w:rPr>
  </w:style>
  <w:style w:type="character" w:customStyle="1" w:styleId="66">
    <w:name w:val="StringTok"/>
    <w:basedOn w:val="51"/>
    <w:qFormat/>
    <w:uiPriority w:val="0"/>
    <w:rPr>
      <w:color w:val="4070A0"/>
    </w:rPr>
  </w:style>
  <w:style w:type="character" w:customStyle="1" w:styleId="67">
    <w:name w:val="VerbatimStringTok"/>
    <w:basedOn w:val="51"/>
    <w:qFormat/>
    <w:uiPriority w:val="0"/>
    <w:rPr>
      <w:color w:val="4070A0"/>
    </w:rPr>
  </w:style>
  <w:style w:type="character" w:customStyle="1" w:styleId="68">
    <w:name w:val="SpecialStringTok"/>
    <w:basedOn w:val="51"/>
    <w:qFormat/>
    <w:uiPriority w:val="0"/>
    <w:rPr>
      <w:color w:val="BB6688"/>
    </w:rPr>
  </w:style>
  <w:style w:type="character" w:customStyle="1" w:styleId="69">
    <w:name w:val="ImportTok"/>
    <w:basedOn w:val="51"/>
    <w:qFormat/>
    <w:uiPriority w:val="0"/>
    <w:rPr>
      <w:b/>
      <w:color w:val="008000"/>
    </w:rPr>
  </w:style>
  <w:style w:type="character" w:customStyle="1" w:styleId="70">
    <w:name w:val="CommentTok"/>
    <w:basedOn w:val="51"/>
    <w:qFormat/>
    <w:uiPriority w:val="0"/>
    <w:rPr>
      <w:i/>
      <w:color w:val="60A0B0"/>
    </w:rPr>
  </w:style>
  <w:style w:type="character" w:customStyle="1" w:styleId="71">
    <w:name w:val="DocumentationTok"/>
    <w:basedOn w:val="51"/>
    <w:qFormat/>
    <w:uiPriority w:val="0"/>
    <w:rPr>
      <w:i/>
      <w:color w:val="BA2121"/>
    </w:rPr>
  </w:style>
  <w:style w:type="character" w:customStyle="1" w:styleId="72">
    <w:name w:val="AnnotationTok"/>
    <w:basedOn w:val="51"/>
    <w:qFormat/>
    <w:uiPriority w:val="0"/>
    <w:rPr>
      <w:b/>
      <w:i/>
      <w:color w:val="60A0B0"/>
    </w:rPr>
  </w:style>
  <w:style w:type="character" w:customStyle="1" w:styleId="73">
    <w:name w:val="CommentVarTok"/>
    <w:basedOn w:val="51"/>
    <w:qFormat/>
    <w:uiPriority w:val="0"/>
    <w:rPr>
      <w:b/>
      <w:i/>
      <w:color w:val="60A0B0"/>
    </w:rPr>
  </w:style>
  <w:style w:type="character" w:customStyle="1" w:styleId="74">
    <w:name w:val="OtherTok"/>
    <w:basedOn w:val="51"/>
    <w:qFormat/>
    <w:uiPriority w:val="0"/>
    <w:rPr>
      <w:color w:val="007020"/>
    </w:rPr>
  </w:style>
  <w:style w:type="character" w:customStyle="1" w:styleId="75">
    <w:name w:val="FunctionTok"/>
    <w:basedOn w:val="51"/>
    <w:qFormat/>
    <w:uiPriority w:val="0"/>
    <w:rPr>
      <w:color w:val="06287E"/>
    </w:rPr>
  </w:style>
  <w:style w:type="character" w:customStyle="1" w:styleId="76">
    <w:name w:val="VariableTok"/>
    <w:basedOn w:val="51"/>
    <w:uiPriority w:val="0"/>
    <w:rPr>
      <w:color w:val="19177C"/>
    </w:rPr>
  </w:style>
  <w:style w:type="character" w:customStyle="1" w:styleId="77">
    <w:name w:val="ControlFlowTok"/>
    <w:basedOn w:val="51"/>
    <w:qFormat/>
    <w:uiPriority w:val="0"/>
    <w:rPr>
      <w:b/>
      <w:color w:val="007020"/>
    </w:rPr>
  </w:style>
  <w:style w:type="character" w:customStyle="1" w:styleId="78">
    <w:name w:val="OperatorTok"/>
    <w:basedOn w:val="51"/>
    <w:qFormat/>
    <w:uiPriority w:val="0"/>
    <w:rPr>
      <w:color w:val="666666"/>
    </w:rPr>
  </w:style>
  <w:style w:type="character" w:customStyle="1" w:styleId="79">
    <w:name w:val="BuiltInTok"/>
    <w:basedOn w:val="51"/>
    <w:uiPriority w:val="0"/>
    <w:rPr>
      <w:color w:val="008000"/>
    </w:rPr>
  </w:style>
  <w:style w:type="character" w:customStyle="1" w:styleId="80">
    <w:name w:val="ExtensionTok"/>
    <w:basedOn w:val="51"/>
    <w:qFormat/>
    <w:uiPriority w:val="0"/>
  </w:style>
  <w:style w:type="character" w:customStyle="1" w:styleId="81">
    <w:name w:val="PreprocessorTok"/>
    <w:basedOn w:val="51"/>
    <w:qFormat/>
    <w:uiPriority w:val="0"/>
    <w:rPr>
      <w:color w:val="BC7A00"/>
    </w:rPr>
  </w:style>
  <w:style w:type="character" w:customStyle="1" w:styleId="82">
    <w:name w:val="AttributeTok"/>
    <w:basedOn w:val="51"/>
    <w:qFormat/>
    <w:uiPriority w:val="0"/>
    <w:rPr>
      <w:color w:val="7D9029"/>
    </w:rPr>
  </w:style>
  <w:style w:type="character" w:customStyle="1" w:styleId="83">
    <w:name w:val="RegionMarkerTok"/>
    <w:basedOn w:val="51"/>
    <w:qFormat/>
    <w:uiPriority w:val="0"/>
  </w:style>
  <w:style w:type="character" w:customStyle="1" w:styleId="84">
    <w:name w:val="InformationTok"/>
    <w:basedOn w:val="51"/>
    <w:qFormat/>
    <w:uiPriority w:val="0"/>
    <w:rPr>
      <w:b/>
      <w:i/>
      <w:color w:val="60A0B0"/>
    </w:rPr>
  </w:style>
  <w:style w:type="character" w:customStyle="1" w:styleId="85">
    <w:name w:val="WarningTok"/>
    <w:basedOn w:val="51"/>
    <w:qFormat/>
    <w:uiPriority w:val="0"/>
    <w:rPr>
      <w:b/>
      <w:i/>
      <w:color w:val="60A0B0"/>
    </w:rPr>
  </w:style>
  <w:style w:type="character" w:customStyle="1" w:styleId="86">
    <w:name w:val="AlertTok"/>
    <w:basedOn w:val="51"/>
    <w:qFormat/>
    <w:uiPriority w:val="0"/>
    <w:rPr>
      <w:b/>
      <w:color w:val="FF0000"/>
    </w:rPr>
  </w:style>
  <w:style w:type="character" w:customStyle="1" w:styleId="87">
    <w:name w:val="ErrorTok"/>
    <w:basedOn w:val="51"/>
    <w:uiPriority w:val="0"/>
    <w:rPr>
      <w:b/>
      <w:color w:val="FF0000"/>
    </w:rPr>
  </w:style>
  <w:style w:type="character" w:customStyle="1" w:styleId="88">
    <w:name w:val="NormalTok"/>
    <w:basedOn w:val="51"/>
    <w:qFormat/>
    <w:uiPriority w:val="0"/>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22</Pages>
  <Words>5876</Words>
  <Characters>8050</Characters>
  <Lines>3</Lines>
  <Paragraphs>1</Paragraphs>
  <TotalTime>30</TotalTime>
  <ScaleCrop>false</ScaleCrop>
  <LinksUpToDate>false</LinksUpToDate>
  <CharactersWithSpaces>8315</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2026-03-18T12:39:00Z</dcterms:created>
  <dc:creator>刘华斌 Egbert Lau</dc:creator>
  <cp:lastModifiedBy>刘华斌 Egbert Lau</cp:lastModifiedBy>
  <dcterms:modified xsi:type="dcterms:W3CDTF">2026-03-18T12:44:06Z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cntqnesudu6262glarp0-19d00e6b-3af2-8527-8000-0903e07d8863-20260318123934","ReservedCode1":"","ContentPropagator":"001191110108MACG2KBH8F20000","PropagateID":"cntqnesudu6262glarp0-19d00e6b-3af2-8527-8000-0903e07d8863-20260318123934","ReservedCode2":""}</vt:lpwstr>
  </property>
  <property fmtid="{D5CDD505-2E9C-101B-9397-08002B2CF9AE}" pid="3" name="KSOTemplateDocerSaveRecord">
    <vt:lpwstr>eyJoZGlkIjoiMTQ3YmVlMWE2NDU2NjNmOGRhZWQ3ZDY0YzNlODJmOTUiLCJ1c2VySWQiOiIyMjQ3NDQ4ODIifQ==</vt:lpwstr>
  </property>
  <property fmtid="{D5CDD505-2E9C-101B-9397-08002B2CF9AE}" pid="4" name="KSOProductBuildVer">
    <vt:lpwstr>2052-12.1.0.24657</vt:lpwstr>
  </property>
  <property fmtid="{D5CDD505-2E9C-101B-9397-08002B2CF9AE}" pid="5" name="ICV">
    <vt:lpwstr>53E6B457BDC3461FA9DF9B2798944DE6_13</vt:lpwstr>
  </property>
</Properties>
</file>