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B55BA7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3034137">
      <w:pPr>
        <w:pStyle w:val="2"/>
      </w:pPr>
      <w:bookmarkStart w:id="0" w:name="满意解研究所-v4.0-终极优化方案"/>
      <w:r>
        <w:t>满意解研究所 · V</w:t>
      </w:r>
      <w:r>
        <w:rPr>
          <w:rFonts w:hint="eastAsia"/>
          <w:lang w:val="en-US" w:eastAsia="zh-CN"/>
        </w:rPr>
        <w:t>.096</w:t>
      </w:r>
      <w:r>
        <w:t xml:space="preserve"> 方案</w:t>
      </w:r>
    </w:p>
    <w:p w14:paraId="4FBF0B75">
      <w:pPr>
        <w:pStyle w:val="4"/>
      </w:pPr>
      <w:bookmarkStart w:id="1" w:name="立足南山的双轮驱动战略硬科技科学家-香港家办"/>
      <w:r>
        <w:t>立足南山的”双轮驱动”战略：硬科技科学家 × 香港家办</w:t>
      </w:r>
    </w:p>
    <w:p w14:paraId="7D920F6B">
      <w:pPr>
        <w:pStyle w:val="27"/>
      </w:pPr>
      <w:r>
        <w:rPr>
          <w:b/>
          <w:bCs/>
        </w:rPr>
        <w:t>版本</w:t>
      </w:r>
      <w:r>
        <w:t>：2026年2月 · 南山锚定版</w:t>
      </w:r>
    </w:p>
    <w:p w14:paraId="1370BFB5">
      <w:pPr>
        <w:pStyle w:val="3"/>
      </w:pPr>
      <w:r>
        <w:rPr>
          <w:b/>
          <w:bCs/>
        </w:rPr>
        <w:t>定位</w:t>
      </w:r>
      <w:r>
        <w:t>：深港科技转化合伙人决策教练 · OPC轻资产模式</w:t>
      </w:r>
    </w:p>
    <w:p w14:paraId="261879DF">
      <w:pPr>
        <w:pStyle w:val="3"/>
      </w:pPr>
      <w:r>
        <w:rPr>
          <w:b/>
          <w:bCs/>
        </w:rPr>
        <w:t>核心理念</w:t>
      </w:r>
      <w:r>
        <w:t>：有限理性 · 满意解 · 左脑风控 · 右脑直觉 · 人机协同</w:t>
      </w:r>
    </w:p>
    <w:p w14:paraId="2782F1BC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68574DD2">
      <w:pPr>
        <w:pStyle w:val="4"/>
      </w:pPr>
      <w:bookmarkStart w:id="2" w:name="一战略定位重构"/>
      <w:r>
        <w:t>一、战略定位重构</w:t>
      </w:r>
    </w:p>
    <w:p w14:paraId="4A383076">
      <w:pPr>
        <w:pStyle w:val="5"/>
      </w:pPr>
      <w:bookmarkStart w:id="3" w:name="统一价值主张"/>
      <w:r>
        <w:t>1.1 统一价值主张</w:t>
      </w:r>
    </w:p>
    <w:p w14:paraId="110E4446">
      <w:pPr>
        <w:pStyle w:val="13"/>
      </w:pPr>
      <w:r>
        <w:rPr>
          <w:b/>
          <w:bCs/>
        </w:rPr>
        <w:t>“满意解研究所——立足南山，服务深港’一区两园’，专注硬科技转化的合伙人匹配决策。我们不做猎头推荐，不做法律文件，只做一件事：在科学家与商业世界之间，用’左脑风控+右脑直觉’找到那个’足够好’的合伙人，并为此承担责任。”</w:t>
      </w:r>
    </w:p>
    <w:p w14:paraId="25B27033">
      <w:pPr>
        <w:pStyle w:val="27"/>
      </w:pPr>
      <w:r>
        <w:rPr>
          <w:b/>
          <w:bCs/>
        </w:rPr>
        <w:t>核心价值</w:t>
      </w:r>
      <w:r>
        <w:t>：</w:t>
      </w:r>
    </w:p>
    <w:p w14:paraId="68024C31">
      <w:pPr>
        <w:numPr>
          <w:ilvl w:val="0"/>
          <w:numId w:val="1"/>
        </w:numPr>
      </w:pPr>
      <w:r>
        <w:rPr>
          <w:b/>
          <w:bCs/>
        </w:rPr>
        <w:t>对科学家</w:t>
      </w:r>
      <w:r>
        <w:t>：解决”有技术、缺商业合伙人”的匹配困境，降低技术转化失败率</w:t>
      </w:r>
    </w:p>
    <w:p w14:paraId="4292C368">
      <w:pPr>
        <w:numPr>
          <w:ilvl w:val="0"/>
          <w:numId w:val="1"/>
        </w:numPr>
      </w:pPr>
      <w:r>
        <w:rPr>
          <w:b/>
          <w:bCs/>
        </w:rPr>
        <w:t>对家办</w:t>
      </w:r>
      <w:r>
        <w:t>：提供”经过决策验证”的科技投资标的，降低尽调风险</w:t>
      </w:r>
    </w:p>
    <w:p w14:paraId="76E1E8DE">
      <w:pPr>
        <w:numPr>
          <w:ilvl w:val="0"/>
          <w:numId w:val="1"/>
        </w:numPr>
      </w:pPr>
      <w:r>
        <w:rPr>
          <w:b/>
          <w:bCs/>
        </w:rPr>
        <w:t>对生态</w:t>
      </w:r>
      <w:r>
        <w:t>：成为河套-西丽湖-香港科学园之间的”信任节点”和”决策枢纽”</w:t>
      </w:r>
    </w:p>
    <w:bookmarkEnd w:id="3"/>
    <w:p w14:paraId="292592FF">
      <w:pPr>
        <w:pStyle w:val="5"/>
      </w:pPr>
      <w:bookmarkStart w:id="4" w:name="trl-pfi双轮决策模型左脑右脑"/>
      <w:r>
        <w:t>1.2 “TRL-PFI”双轮决策模型（左脑+右脑）</w:t>
      </w:r>
    </w:p>
    <w:p w14:paraId="287C745A">
      <w:pPr>
        <w:pStyle w:val="27"/>
      </w:pPr>
      <w:r>
        <w:rPr>
          <w:b/>
          <w:bCs/>
        </w:rPr>
        <w:t>左脑维度：技术成熟度（TRL, Technology Readiness Level）</w:t>
      </w:r>
    </w:p>
    <w:p w14:paraId="595FCA3E">
      <w:pPr>
        <w:numPr>
          <w:ilvl w:val="0"/>
          <w:numId w:val="1"/>
        </w:numPr>
      </w:pPr>
      <w:r>
        <w:t>将NASA的TRL模型适配到合伙人决策场景</w:t>
      </w:r>
    </w:p>
    <w:p w14:paraId="1B9393D2">
      <w:pPr>
        <w:numPr>
          <w:ilvl w:val="0"/>
          <w:numId w:val="1"/>
        </w:numPr>
      </w:pPr>
      <w:r>
        <w:t>明确不同阶段（TRL 4-6概念验证、TRL 7-9产业化）的合伙人能力需求</w:t>
      </w:r>
    </w:p>
    <w:p w14:paraId="6F55221F">
      <w:pPr>
        <w:numPr>
          <w:ilvl w:val="0"/>
          <w:numId w:val="1"/>
        </w:numPr>
      </w:pPr>
      <w:r>
        <w:t>用银行风控的”5C”框架量化评估</w:t>
      </w:r>
    </w:p>
    <w:p w14:paraId="049BA547">
      <w:pPr>
        <w:pStyle w:val="27"/>
      </w:pPr>
      <w:r>
        <w:rPr>
          <w:b/>
          <w:bCs/>
        </w:rPr>
        <w:t>右脑维度：合伙人匹配度（PFI, Partner Fit Index）</w:t>
      </w:r>
    </w:p>
    <w:p w14:paraId="22AB490A">
      <w:pPr>
        <w:numPr>
          <w:ilvl w:val="0"/>
          <w:numId w:val="1"/>
        </w:numPr>
      </w:pPr>
      <w:r>
        <w:t>躯体信号识别：访谈中的紧张/放松时刻捕捉</w:t>
      </w:r>
    </w:p>
    <w:p w14:paraId="48573489">
      <w:pPr>
        <w:numPr>
          <w:ilvl w:val="0"/>
          <w:numId w:val="1"/>
        </w:numPr>
      </w:pPr>
      <w:r>
        <w:t>直觉训练：基于西蒙”有限理性”的快速模式识别</w:t>
      </w:r>
    </w:p>
    <w:p w14:paraId="35D3BD67">
      <w:pPr>
        <w:numPr>
          <w:ilvl w:val="0"/>
          <w:numId w:val="1"/>
        </w:numPr>
      </w:pPr>
      <w:r>
        <w:t>气场感知：科学家与商业合伙人之间的”化学反应”</w:t>
      </w:r>
    </w:p>
    <w:p w14:paraId="1F3CAB20">
      <w:pPr>
        <w:pStyle w:val="27"/>
      </w:pPr>
      <w:r>
        <w:rPr>
          <w:b/>
          <w:bCs/>
        </w:rPr>
        <w:t>人机协同</w:t>
      </w:r>
      <w:r>
        <w:t>：</w:t>
      </w:r>
    </w:p>
    <w:p w14:paraId="7FC084DB">
      <w:pPr>
        <w:numPr>
          <w:ilvl w:val="0"/>
          <w:numId w:val="1"/>
        </w:numPr>
      </w:pPr>
      <w:r>
        <w:t>AI处理：数据收集、模式匹配、方案生成（左脑增强）</w:t>
      </w:r>
    </w:p>
    <w:p w14:paraId="18063438">
      <w:pPr>
        <w:numPr>
          <w:ilvl w:val="0"/>
          <w:numId w:val="1"/>
        </w:numPr>
      </w:pPr>
      <w:r>
        <w:t>人类承担：直觉判断、责任背书、满意标准定义（右脑主导）</w:t>
      </w:r>
    </w:p>
    <w:bookmarkEnd w:id="4"/>
    <w:p w14:paraId="1B766A8D">
      <w:pPr>
        <w:pStyle w:val="5"/>
      </w:pPr>
      <w:bookmarkStart w:id="5" w:name="南山支点的地理战略意义"/>
      <w:r>
        <w:t>1.3 “南山支点”的地理战略意义</w:t>
      </w:r>
    </w:p>
    <w:p w14:paraId="3F830F73">
      <w:pPr>
        <w:pStyle w:val="27"/>
      </w:pPr>
      <w:r>
        <w:rPr>
          <w:b/>
          <w:bCs/>
        </w:rPr>
        <w:t>西丽湖国际科教城（北部）</w:t>
      </w:r>
      <w:r>
        <w:t>：</w:t>
      </w:r>
    </w:p>
    <w:p w14:paraId="023A3C03">
      <w:pPr>
        <w:numPr>
          <w:ilvl w:val="0"/>
          <w:numId w:val="1"/>
        </w:numPr>
      </w:pPr>
      <w:r>
        <w:t>69.8平方公里，7所高校，128家联合实验室，629项成果转化</w:t>
      </w:r>
    </w:p>
    <w:p w14:paraId="22EAD321">
      <w:pPr>
        <w:numPr>
          <w:ilvl w:val="0"/>
          <w:numId w:val="1"/>
        </w:numPr>
      </w:pPr>
      <w:r>
        <w:t>概念验证平台储备项目160+，已服务110个项目</w:t>
      </w:r>
    </w:p>
    <w:p w14:paraId="537F795D">
      <w:pPr>
        <w:numPr>
          <w:ilvl w:val="0"/>
          <w:numId w:val="1"/>
        </w:numPr>
      </w:pPr>
      <w:r>
        <w:rPr>
          <w:b/>
          <w:bCs/>
        </w:rPr>
        <w:t>您的位置</w:t>
      </w:r>
      <w:r>
        <w:t>：云科技大厦融创中心（免租入驻，作为首批公共服务机构）</w:t>
      </w:r>
    </w:p>
    <w:p w14:paraId="296A899A">
      <w:pPr>
        <w:pStyle w:val="27"/>
      </w:pPr>
      <w:r>
        <w:rPr>
          <w:b/>
          <w:bCs/>
        </w:rPr>
        <w:t>河套深港合作区（中部）</w:t>
      </w:r>
      <w:r>
        <w:t>：</w:t>
      </w:r>
    </w:p>
    <w:p w14:paraId="76DCC055">
      <w:pPr>
        <w:numPr>
          <w:ilvl w:val="0"/>
          <w:numId w:val="1"/>
        </w:numPr>
      </w:pPr>
      <w:r>
        <w:t>“一区两园”战略：香港园区2025年12月已开园，60+企业入驻</w:t>
      </w:r>
    </w:p>
    <w:p w14:paraId="58471A7A">
      <w:pPr>
        <w:numPr>
          <w:ilvl w:val="0"/>
          <w:numId w:val="1"/>
        </w:numPr>
      </w:pPr>
      <w:r>
        <w:t>跨境”四流”（人流、物流、资金流、数据流）便利政策落地</w:t>
      </w:r>
    </w:p>
    <w:p w14:paraId="791F89B8">
      <w:pPr>
        <w:numPr>
          <w:ilvl w:val="0"/>
          <w:numId w:val="1"/>
        </w:numPr>
      </w:pPr>
      <w:r>
        <w:t>3年多次往返香港人才签注，免提交证明</w:t>
      </w:r>
    </w:p>
    <w:p w14:paraId="1AE0E01E">
      <w:pPr>
        <w:numPr>
          <w:ilvl w:val="0"/>
          <w:numId w:val="1"/>
        </w:numPr>
      </w:pPr>
      <w:r>
        <w:rPr>
          <w:b/>
          <w:bCs/>
        </w:rPr>
        <w:t>您的角色</w:t>
      </w:r>
      <w:r>
        <w:t>：跨境合伙人匹配的”决策枢纽”</w:t>
      </w:r>
    </w:p>
    <w:p w14:paraId="3E6DFD96">
      <w:pPr>
        <w:pStyle w:val="27"/>
      </w:pPr>
      <w:r>
        <w:rPr>
          <w:b/>
          <w:bCs/>
        </w:rPr>
        <w:t>深圳湾/香港（南部）</w:t>
      </w:r>
      <w:r>
        <w:t>：</w:t>
      </w:r>
    </w:p>
    <w:p w14:paraId="7E16D02D">
      <w:pPr>
        <w:numPr>
          <w:ilvl w:val="0"/>
          <w:numId w:val="1"/>
        </w:numPr>
      </w:pPr>
      <w:r>
        <w:t>香港单一家办超2700家，可投资资产逾1亿美元的家办达885家</w:t>
      </w:r>
    </w:p>
    <w:p w14:paraId="2339E428">
      <w:pPr>
        <w:numPr>
          <w:ilvl w:val="0"/>
          <w:numId w:val="1"/>
        </w:numPr>
      </w:pPr>
      <w:r>
        <w:t>北部都会区250万人口规划，与南山隔湾相望</w:t>
      </w:r>
    </w:p>
    <w:p w14:paraId="46BD3224">
      <w:pPr>
        <w:numPr>
          <w:ilvl w:val="0"/>
          <w:numId w:val="1"/>
        </w:numPr>
      </w:pPr>
      <w:r>
        <w:rPr>
          <w:b/>
          <w:bCs/>
        </w:rPr>
        <w:t>您的价值</w:t>
      </w:r>
      <w:r>
        <w:t>：为家办提供”经过TRL-PFI验证”的硬科技项目</w:t>
      </w:r>
    </w:p>
    <w:p w14:paraId="33DC51E6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5"/>
    <w:p w14:paraId="3666F90D">
      <w:pPr>
        <w:pStyle w:val="4"/>
      </w:pPr>
      <w:bookmarkStart w:id="6" w:name="二客群细分与产品适配"/>
      <w:r>
        <w:t>二、客群细分与产品适配</w:t>
      </w:r>
    </w:p>
    <w:tbl>
      <w:tblPr>
        <w:tblStyle w:val="45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4"/>
        <w:gridCol w:w="3116"/>
        <w:gridCol w:w="3116"/>
        <w:gridCol w:w="1640"/>
      </w:tblGrid>
      <w:tr w14:paraId="563B16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D63C9C1">
            <w:pPr>
              <w:pStyle w:val="28"/>
              <w:jc w:val="left"/>
            </w:pPr>
            <w:r>
              <w:t>维度</w:t>
            </w:r>
          </w:p>
        </w:tc>
        <w:tc>
          <w:p w14:paraId="5DF61810">
            <w:pPr>
              <w:pStyle w:val="28"/>
              <w:jc w:val="left"/>
            </w:pPr>
            <w:r>
              <w:t>科学家端（西丽湖）</w:t>
            </w:r>
          </w:p>
        </w:tc>
        <w:tc>
          <w:p w14:paraId="00B45D42">
            <w:pPr>
              <w:pStyle w:val="28"/>
              <w:jc w:val="left"/>
            </w:pPr>
            <w:r>
              <w:t>家办端（香港/前海）</w:t>
            </w:r>
          </w:p>
        </w:tc>
        <w:tc>
          <w:p w14:paraId="081FF77C">
            <w:pPr>
              <w:pStyle w:val="28"/>
              <w:jc w:val="left"/>
            </w:pPr>
            <w:r>
              <w:t>交叉价值</w:t>
            </w:r>
          </w:p>
        </w:tc>
      </w:tr>
      <w:tr w14:paraId="38D929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1D4F41">
            <w:pPr>
              <w:pStyle w:val="28"/>
              <w:jc w:val="left"/>
            </w:pPr>
            <w:r>
              <w:rPr>
                <w:b/>
                <w:bCs/>
              </w:rPr>
              <w:t>客群分层</w:t>
            </w:r>
          </w:p>
        </w:tc>
        <w:tc>
          <w:p w14:paraId="25099551">
            <w:pPr>
              <w:pStyle w:val="28"/>
              <w:jc w:val="left"/>
            </w:pPr>
            <w:r>
              <w:rPr>
                <w:b/>
                <w:bCs/>
              </w:rPr>
              <w:t>TRL 4-6（概念验证期）</w:t>
            </w:r>
            <w:r>
              <w:t>：• 刚完成原型，需工程化合伙人• 团队3-5人，全是科研人员• 有政府配套资金/概念验证基金</w:t>
            </w:r>
          </w:p>
        </w:tc>
        <w:tc>
          <w:p w14:paraId="16B94A0A">
            <w:pPr>
              <w:pStyle w:val="28"/>
              <w:jc w:val="left"/>
            </w:pPr>
            <w:r>
              <w:rPr>
                <w:b/>
                <w:bCs/>
              </w:rPr>
              <w:t>一代掌权（55-70岁）</w:t>
            </w:r>
            <w:r>
              <w:t>：• 关注财富传承中的投资决策团队搭建• 需要”守成型”合伙人评估</w:t>
            </w:r>
            <w:r>
              <w:rPr>
                <w:b/>
                <w:bCs/>
              </w:rPr>
              <w:t>二代接班（30-45岁）</w:t>
            </w:r>
            <w:r>
              <w:t>：• 新掌门与旧团队冲突调解• 科技投资方向合伙人选拔</w:t>
            </w:r>
          </w:p>
        </w:tc>
        <w:tc>
          <w:p w14:paraId="53437493">
            <w:pPr>
              <w:pStyle w:val="28"/>
              <w:jc w:val="left"/>
            </w:pPr>
            <w:r>
              <w:t>科学家项目 → 经过TRL-PFI验证 → 成为家办投资标的家办需求 → 反向定制科学家项目筛选标准</w:t>
            </w:r>
          </w:p>
        </w:tc>
      </w:tr>
      <w:tr w14:paraId="6366F6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51B248">
            <w:pPr>
              <w:pStyle w:val="28"/>
              <w:jc w:val="left"/>
            </w:pPr>
            <w:r>
              <w:rPr>
                <w:b/>
                <w:bCs/>
              </w:rPr>
              <w:t>核心痛点</w:t>
            </w:r>
          </w:p>
        </w:tc>
        <w:tc>
          <w:p w14:paraId="3120DC64">
            <w:pPr>
              <w:pStyle w:val="28"/>
              <w:jc w:val="left"/>
            </w:pPr>
            <w:r>
              <w:t>• 找不到”既懂技术又懂市场”的合伙人• 担心合伙人”偷技术、抢资源”• 股权分配没有概念，怕吃亏</w:t>
            </w:r>
          </w:p>
        </w:tc>
        <w:tc>
          <w:p w14:paraId="2314EC9B">
            <w:pPr>
              <w:pStyle w:val="28"/>
              <w:jc w:val="left"/>
            </w:pPr>
            <w:r>
              <w:t>• 科技投资尽调难度大，团队评估缺方法• 二代接班后投资团队重建• 跨境投资中的信任建立</w:t>
            </w:r>
          </w:p>
        </w:tc>
        <w:tc>
          <w:p w14:paraId="40467084">
            <w:pPr>
              <w:pStyle w:val="28"/>
              <w:jc w:val="left"/>
            </w:pPr>
            <w:r>
              <w:t>降低双方信息不对称提升匹配效率</w:t>
            </w:r>
          </w:p>
        </w:tc>
      </w:tr>
      <w:tr w14:paraId="64BD39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14F244">
            <w:pPr>
              <w:pStyle w:val="28"/>
              <w:jc w:val="left"/>
            </w:pPr>
            <w:r>
              <w:rPr>
                <w:b/>
                <w:bCs/>
              </w:rPr>
              <w:t>产品形态</w:t>
            </w:r>
          </w:p>
        </w:tc>
        <w:tc>
          <w:p w14:paraId="2280782D">
            <w:pPr>
              <w:pStyle w:val="28"/>
              <w:jc w:val="left"/>
            </w:pPr>
            <w:r>
              <w:rPr>
                <w:b/>
                <w:bCs/>
              </w:rPr>
              <w:t>L1</w:t>
            </w:r>
            <w:r>
              <w:t>：TRL自评工具（免费）</w:t>
            </w:r>
            <w:r>
              <w:rPr>
                <w:b/>
                <w:bCs/>
              </w:rPr>
              <w:t>L2</w:t>
            </w:r>
            <w:r>
              <w:t>：概念验证合伙人工作坊（19,800元）</w:t>
            </w:r>
            <w:r>
              <w:rPr>
                <w:b/>
                <w:bCs/>
              </w:rPr>
              <w:t>L3</w:t>
            </w:r>
            <w:r>
              <w:t>：TRL-PFI决策系统（98,000元）</w:t>
            </w:r>
          </w:p>
        </w:tc>
        <w:tc>
          <w:p w14:paraId="741D31D8">
            <w:pPr>
              <w:pStyle w:val="28"/>
              <w:jc w:val="left"/>
            </w:pPr>
            <w:r>
              <w:rPr>
                <w:b/>
                <w:bCs/>
              </w:rPr>
              <w:t>L1</w:t>
            </w:r>
            <w:r>
              <w:t>：《家办科技投资团队评估白皮书》（邮件订阅）</w:t>
            </w:r>
            <w:r>
              <w:rPr>
                <w:b/>
                <w:bCs/>
              </w:rPr>
              <w:t>L2</w:t>
            </w:r>
            <w:r>
              <w:t>：家办投资决策诊断（29,800元）</w:t>
            </w:r>
            <w:r>
              <w:rPr>
                <w:b/>
                <w:bCs/>
              </w:rPr>
              <w:t>L3</w:t>
            </w:r>
            <w:r>
              <w:t>：年度科技投资顾问（198,000元）</w:t>
            </w:r>
          </w:p>
        </w:tc>
        <w:tc>
          <w:p w14:paraId="3D854A3F">
            <w:pPr>
              <w:pStyle w:val="28"/>
              <w:jc w:val="left"/>
            </w:pPr>
            <w:r>
              <w:rPr>
                <w:b/>
                <w:bCs/>
              </w:rPr>
              <w:t>L4生态</w:t>
            </w:r>
            <w:r>
              <w:t>：年度”决策枢纽”顾问（298,000元）含：科学家项目筛选+家办需求匹配+季度撮合沙龙</w:t>
            </w:r>
          </w:p>
        </w:tc>
      </w:tr>
      <w:tr w14:paraId="26974B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9789EA">
            <w:pPr>
              <w:pStyle w:val="28"/>
              <w:jc w:val="left"/>
            </w:pPr>
            <w:r>
              <w:rPr>
                <w:b/>
                <w:bCs/>
              </w:rPr>
              <w:t>交付周期</w:t>
            </w:r>
          </w:p>
        </w:tc>
        <w:tc>
          <w:p w14:paraId="245C8998">
            <w:pPr>
              <w:pStyle w:val="28"/>
              <w:jc w:val="left"/>
            </w:pPr>
            <w:r>
              <w:t>2-4周</w:t>
            </w:r>
          </w:p>
        </w:tc>
        <w:tc>
          <w:p w14:paraId="1B46CB5F">
            <w:pPr>
              <w:pStyle w:val="28"/>
              <w:jc w:val="left"/>
            </w:pPr>
            <w:r>
              <w:t>1-2周</w:t>
            </w:r>
          </w:p>
        </w:tc>
        <w:tc>
          <w:p w14:paraId="247FD2DF">
            <w:pPr>
              <w:pStyle w:val="28"/>
              <w:jc w:val="left"/>
            </w:pPr>
            <w:r>
              <w:t>持续12个月</w:t>
            </w:r>
          </w:p>
        </w:tc>
      </w:tr>
      <w:tr w14:paraId="1974A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D5DECA">
            <w:pPr>
              <w:pStyle w:val="28"/>
              <w:jc w:val="left"/>
            </w:pPr>
            <w:r>
              <w:rPr>
                <w:b/>
                <w:bCs/>
              </w:rPr>
              <w:t>首年目标</w:t>
            </w:r>
          </w:p>
        </w:tc>
        <w:tc>
          <w:p w14:paraId="47B6C1BD">
            <w:pPr>
              <w:pStyle w:val="28"/>
              <w:jc w:val="left"/>
            </w:pPr>
            <w:r>
              <w:t>15单，收入75万</w:t>
            </w:r>
          </w:p>
        </w:tc>
        <w:tc>
          <w:p w14:paraId="175DAC54">
            <w:pPr>
              <w:pStyle w:val="28"/>
              <w:jc w:val="left"/>
            </w:pPr>
            <w:r>
              <w:t>5单，收入25万</w:t>
            </w:r>
          </w:p>
        </w:tc>
        <w:tc>
          <w:p w14:paraId="104EB87C">
            <w:pPr>
              <w:pStyle w:val="28"/>
              <w:jc w:val="left"/>
            </w:pPr>
            <w:r>
              <w:t>2单，收入60万</w:t>
            </w:r>
          </w:p>
        </w:tc>
      </w:tr>
    </w:tbl>
    <w:p w14:paraId="31469538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0742DD45">
      <w:pPr>
        <w:pStyle w:val="4"/>
      </w:pPr>
      <w:bookmarkStart w:id="7" w:name="三获客渠道设计立足南山"/>
      <w:r>
        <w:t>三、获客渠道设计（立足南山）</w:t>
      </w:r>
    </w:p>
    <w:p w14:paraId="390D7254">
      <w:pPr>
        <w:pStyle w:val="5"/>
      </w:pPr>
      <w:bookmarkStart w:id="8" w:name="科学家端渠道"/>
      <w:r>
        <w:t>3.1 科学家端渠道</w:t>
      </w:r>
    </w:p>
    <w:tbl>
      <w:tblPr>
        <w:tblStyle w:val="45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2657"/>
        <w:gridCol w:w="1771"/>
        <w:gridCol w:w="2657"/>
      </w:tblGrid>
      <w:tr w14:paraId="1A4C37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21BC887">
            <w:pPr>
              <w:pStyle w:val="28"/>
              <w:jc w:val="left"/>
            </w:pPr>
            <w:r>
              <w:t>渠道</w:t>
            </w:r>
          </w:p>
        </w:tc>
        <w:tc>
          <w:p w14:paraId="2A5212A6">
            <w:pPr>
              <w:pStyle w:val="28"/>
              <w:jc w:val="left"/>
            </w:pPr>
            <w:r>
              <w:t>具体动作</w:t>
            </w:r>
          </w:p>
        </w:tc>
        <w:tc>
          <w:p w14:paraId="4B211151">
            <w:pPr>
              <w:pStyle w:val="28"/>
              <w:jc w:val="left"/>
            </w:pPr>
            <w:r>
              <w:t>成本</w:t>
            </w:r>
          </w:p>
        </w:tc>
        <w:tc>
          <w:p w14:paraId="0269E916">
            <w:pPr>
              <w:pStyle w:val="28"/>
              <w:jc w:val="left"/>
            </w:pPr>
            <w:r>
              <w:t>预期效果</w:t>
            </w:r>
          </w:p>
        </w:tc>
      </w:tr>
      <w:tr w14:paraId="419E36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7B83FF">
            <w:pPr>
              <w:pStyle w:val="28"/>
              <w:jc w:val="left"/>
            </w:pPr>
            <w:r>
              <w:rPr>
                <w:b/>
                <w:bCs/>
              </w:rPr>
              <w:t>西丽湖X-Day路演社</w:t>
            </w:r>
          </w:p>
        </w:tc>
        <w:tc>
          <w:p w14:paraId="5D3A62CB">
            <w:pPr>
              <w:pStyle w:val="28"/>
              <w:jc w:val="left"/>
            </w:pPr>
            <w:r>
              <w:t>每月参与1场路演，现场提供”5分钟合伙人风险评估”</w:t>
            </w:r>
          </w:p>
        </w:tc>
        <w:tc>
          <w:p w14:paraId="12DBFFAF">
            <w:pPr>
              <w:pStyle w:val="28"/>
              <w:jc w:val="left"/>
            </w:pPr>
            <w:r>
              <w:t>0元（已入驻融创中心）</w:t>
            </w:r>
          </w:p>
        </w:tc>
        <w:tc>
          <w:p w14:paraId="3C229F88">
            <w:pPr>
              <w:pStyle w:val="28"/>
              <w:jc w:val="left"/>
            </w:pPr>
            <w:r>
              <w:t>月触达10+项目，转化2-3个意向</w:t>
            </w:r>
          </w:p>
        </w:tc>
      </w:tr>
      <w:tr w14:paraId="62D0FB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914419">
            <w:pPr>
              <w:pStyle w:val="28"/>
              <w:jc w:val="left"/>
            </w:pPr>
            <w:r>
              <w:rPr>
                <w:b/>
                <w:bCs/>
              </w:rPr>
              <w:t>高校技术转移办公室</w:t>
            </w:r>
          </w:p>
        </w:tc>
        <w:tc>
          <w:p w14:paraId="1CA65A2C">
            <w:pPr>
              <w:pStyle w:val="28"/>
              <w:jc w:val="left"/>
            </w:pPr>
            <w:r>
              <w:t>与南方科大、清华深圳、北大深圳技转中心签约”决策顾问”</w:t>
            </w:r>
          </w:p>
        </w:tc>
        <w:tc>
          <w:p w14:paraId="24AD0622">
            <w:pPr>
              <w:pStyle w:val="28"/>
              <w:jc w:val="left"/>
            </w:pPr>
            <w:r>
              <w:t>0元（资源置换：免费培训）</w:t>
            </w:r>
          </w:p>
        </w:tc>
        <w:tc>
          <w:p w14:paraId="7B8FFA81">
            <w:pPr>
              <w:pStyle w:val="28"/>
              <w:jc w:val="left"/>
            </w:pPr>
            <w:r>
              <w:t>季度推荐5-10个项目</w:t>
            </w:r>
          </w:p>
        </w:tc>
      </w:tr>
      <w:tr w14:paraId="35BAE1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DD31DB">
            <w:pPr>
              <w:pStyle w:val="28"/>
              <w:jc w:val="left"/>
            </w:pPr>
            <w:r>
              <w:rPr>
                <w:b/>
                <w:bCs/>
              </w:rPr>
              <w:t>概念验证平台</w:t>
            </w:r>
          </w:p>
        </w:tc>
        <w:tc>
          <w:p w14:paraId="144125FF">
            <w:pPr>
              <w:pStyle w:val="28"/>
              <w:jc w:val="left"/>
            </w:pPr>
            <w:r>
              <w:t>成为平台”标准服务包”之一（与法务、财务并列）</w:t>
            </w:r>
          </w:p>
        </w:tc>
        <w:tc>
          <w:p w14:paraId="79640131">
            <w:pPr>
              <w:pStyle w:val="28"/>
              <w:jc w:val="left"/>
            </w:pPr>
            <w:r>
              <w:t>0元（免租入驻）</w:t>
            </w:r>
          </w:p>
        </w:tc>
        <w:tc>
          <w:p w14:paraId="74EF4726">
            <w:pPr>
              <w:pStyle w:val="28"/>
              <w:jc w:val="left"/>
            </w:pPr>
            <w:r>
              <w:t>年服务30+项目</w:t>
            </w:r>
          </w:p>
        </w:tc>
      </w:tr>
      <w:tr w14:paraId="7C50AA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911574">
            <w:pPr>
              <w:pStyle w:val="28"/>
              <w:jc w:val="left"/>
            </w:pPr>
            <w:r>
              <w:rPr>
                <w:b/>
                <w:bCs/>
              </w:rPr>
              <w:t>内容IP</w:t>
            </w:r>
          </w:p>
        </w:tc>
        <w:tc>
          <w:p w14:paraId="58975BA2">
            <w:pPr>
              <w:pStyle w:val="28"/>
              <w:jc w:val="left"/>
            </w:pPr>
            <w:r>
              <w:t>公众号《西丽湖科技成果转化合伙人决策研究》</w:t>
            </w:r>
          </w:p>
        </w:tc>
        <w:tc>
          <w:p w14:paraId="30E065EC">
            <w:pPr>
              <w:pStyle w:val="28"/>
              <w:jc w:val="left"/>
            </w:pPr>
            <w:r>
              <w:t>0元（自产）</w:t>
            </w:r>
          </w:p>
        </w:tc>
        <w:tc>
          <w:p w14:paraId="29820CB0">
            <w:pPr>
              <w:pStyle w:val="28"/>
              <w:jc w:val="left"/>
            </w:pPr>
            <w:r>
              <w:t>建立垂直领域权威</w:t>
            </w:r>
          </w:p>
        </w:tc>
      </w:tr>
      <w:bookmarkEnd w:id="8"/>
    </w:tbl>
    <w:p w14:paraId="2F2FE1B2">
      <w:pPr>
        <w:pStyle w:val="5"/>
      </w:pPr>
      <w:bookmarkStart w:id="9" w:name="家办端渠道"/>
      <w:r>
        <w:t>3.2 家办端渠道</w:t>
      </w:r>
    </w:p>
    <w:tbl>
      <w:tblPr>
        <w:tblStyle w:val="45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2657"/>
        <w:gridCol w:w="1771"/>
        <w:gridCol w:w="2657"/>
      </w:tblGrid>
      <w:tr w14:paraId="75EBAF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A963BCD">
            <w:pPr>
              <w:pStyle w:val="28"/>
              <w:jc w:val="left"/>
            </w:pPr>
            <w:r>
              <w:t>渠道</w:t>
            </w:r>
          </w:p>
        </w:tc>
        <w:tc>
          <w:p w14:paraId="7885CCB1">
            <w:pPr>
              <w:pStyle w:val="28"/>
              <w:jc w:val="left"/>
            </w:pPr>
            <w:r>
              <w:t>具体动作</w:t>
            </w:r>
          </w:p>
        </w:tc>
        <w:tc>
          <w:p w14:paraId="3E984333">
            <w:pPr>
              <w:pStyle w:val="28"/>
              <w:jc w:val="left"/>
            </w:pPr>
            <w:r>
              <w:t>成本</w:t>
            </w:r>
          </w:p>
        </w:tc>
        <w:tc>
          <w:p w14:paraId="20EA06D9">
            <w:pPr>
              <w:pStyle w:val="28"/>
              <w:jc w:val="left"/>
            </w:pPr>
            <w:r>
              <w:t>预期效果</w:t>
            </w:r>
          </w:p>
        </w:tc>
      </w:tr>
      <w:tr w14:paraId="2C9824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DB1ABD">
            <w:pPr>
              <w:pStyle w:val="28"/>
              <w:jc w:val="left"/>
            </w:pPr>
            <w:r>
              <w:rPr>
                <w:b/>
                <w:bCs/>
              </w:rPr>
              <w:t>香港家办协会（HKFOA）</w:t>
            </w:r>
          </w:p>
        </w:tc>
        <w:tc>
          <w:p w14:paraId="5E781304">
            <w:pPr>
              <w:pStyle w:val="28"/>
              <w:jc w:val="left"/>
            </w:pPr>
            <w:r>
              <w:t>申请成为”科技投资顾问”会员，季度举办沙龙</w:t>
            </w:r>
          </w:p>
        </w:tc>
        <w:tc>
          <w:p w14:paraId="22502F4E">
            <w:pPr>
              <w:pStyle w:val="28"/>
              <w:jc w:val="left"/>
            </w:pPr>
            <w:r>
              <w:t>5,000元/年会费</w:t>
            </w:r>
          </w:p>
        </w:tc>
        <w:tc>
          <w:p w14:paraId="518C2300">
            <w:pPr>
              <w:pStyle w:val="28"/>
              <w:jc w:val="left"/>
            </w:pPr>
            <w:r>
              <w:t>触达50+家办</w:t>
            </w:r>
          </w:p>
        </w:tc>
      </w:tr>
      <w:tr w14:paraId="34FA8B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DC173F">
            <w:pPr>
              <w:pStyle w:val="28"/>
              <w:jc w:val="left"/>
            </w:pPr>
            <w:r>
              <w:rPr>
                <w:b/>
                <w:bCs/>
              </w:rPr>
              <w:t>前海深港基金小镇</w:t>
            </w:r>
          </w:p>
        </w:tc>
        <w:tc>
          <w:p w14:paraId="74AD87B1">
            <w:pPr>
              <w:pStyle w:val="28"/>
              <w:jc w:val="left"/>
            </w:pPr>
            <w:r>
              <w:t>入驻”跨境金融服务生态”，提供”科技项目预评估”</w:t>
            </w:r>
          </w:p>
        </w:tc>
        <w:tc>
          <w:p w14:paraId="517E8781">
            <w:pPr>
              <w:pStyle w:val="28"/>
              <w:jc w:val="left"/>
            </w:pPr>
            <w:r>
              <w:t>0元（合作分成）</w:t>
            </w:r>
          </w:p>
        </w:tc>
        <w:tc>
          <w:p w14:paraId="45611672">
            <w:pPr>
              <w:pStyle w:val="28"/>
              <w:jc w:val="left"/>
            </w:pPr>
            <w:r>
              <w:t>月推荐3-5个家办</w:t>
            </w:r>
          </w:p>
        </w:tc>
      </w:tr>
      <w:tr w14:paraId="0C2F66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5A4581">
            <w:pPr>
              <w:pStyle w:val="28"/>
              <w:jc w:val="left"/>
            </w:pPr>
            <w:r>
              <w:rPr>
                <w:b/>
                <w:bCs/>
              </w:rPr>
              <w:t>私人银行合作</w:t>
            </w:r>
          </w:p>
        </w:tc>
        <w:tc>
          <w:p w14:paraId="15C83B69">
            <w:pPr>
              <w:pStyle w:val="28"/>
              <w:jc w:val="left"/>
            </w:pPr>
            <w:r>
              <w:t>与汇丰、渣打、中银香港私行建立”科技投资前哨”合作</w:t>
            </w:r>
          </w:p>
        </w:tc>
        <w:tc>
          <w:p w14:paraId="5FCBFBD4">
            <w:pPr>
              <w:pStyle w:val="28"/>
              <w:jc w:val="left"/>
            </w:pPr>
            <w:r>
              <w:t>0元（收益分成15%）</w:t>
            </w:r>
          </w:p>
        </w:tc>
        <w:tc>
          <w:p w14:paraId="7C6CFFC5">
            <w:pPr>
              <w:pStyle w:val="28"/>
              <w:jc w:val="left"/>
            </w:pPr>
            <w:r>
              <w:t>高净值客户导流</w:t>
            </w:r>
          </w:p>
        </w:tc>
      </w:tr>
      <w:tr w14:paraId="4324D1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BEA9A7">
            <w:pPr>
              <w:pStyle w:val="28"/>
              <w:jc w:val="left"/>
            </w:pPr>
            <w:r>
              <w:rPr>
                <w:b/>
                <w:bCs/>
              </w:rPr>
              <w:t>跨境投融资平台</w:t>
            </w:r>
          </w:p>
        </w:tc>
        <w:tc>
          <w:p w14:paraId="1E826717">
            <w:pPr>
              <w:pStyle w:val="28"/>
              <w:jc w:val="left"/>
            </w:pPr>
            <w:r>
              <w:t>参与QFLP、跨境理财通相关的科技投资论坛</w:t>
            </w:r>
          </w:p>
        </w:tc>
        <w:tc>
          <w:p w14:paraId="218A3EF3">
            <w:pPr>
              <w:pStyle w:val="28"/>
              <w:jc w:val="left"/>
            </w:pPr>
            <w:r>
              <w:t>3,000元/场</w:t>
            </w:r>
          </w:p>
        </w:tc>
        <w:tc>
          <w:p w14:paraId="0A301857">
            <w:pPr>
              <w:pStyle w:val="28"/>
              <w:jc w:val="left"/>
            </w:pPr>
            <w:r>
              <w:t>品牌曝光+线索收集</w:t>
            </w:r>
          </w:p>
        </w:tc>
      </w:tr>
      <w:bookmarkEnd w:id="9"/>
    </w:tbl>
    <w:p w14:paraId="61553557">
      <w:pPr>
        <w:pStyle w:val="5"/>
      </w:pPr>
      <w:bookmarkStart w:id="10" w:name="交叉渠道每月南山-香港科技投资沙龙"/>
      <w:r>
        <w:t>3.3 交叉渠道：每月”南山-香港”科技投资沙龙</w:t>
      </w:r>
    </w:p>
    <w:p w14:paraId="1C7CC196">
      <w:pPr>
        <w:pStyle w:val="27"/>
      </w:pPr>
      <w:r>
        <w:rPr>
          <w:b/>
          <w:bCs/>
        </w:rPr>
        <w:t>模式</w:t>
      </w:r>
      <w:r>
        <w:t>：</w:t>
      </w:r>
    </w:p>
    <w:p w14:paraId="3FE7D44D">
      <w:pPr>
        <w:numPr>
          <w:ilvl w:val="0"/>
          <w:numId w:val="1"/>
        </w:numPr>
      </w:pPr>
      <w:r>
        <w:rPr>
          <w:b/>
          <w:bCs/>
        </w:rPr>
        <w:t>地点</w:t>
      </w:r>
      <w:r>
        <w:t>：轮流在西丽湖（科学家主场）和香港中环（家办主场）</w:t>
      </w:r>
    </w:p>
    <w:p w14:paraId="693A5E5A">
      <w:pPr>
        <w:numPr>
          <w:ilvl w:val="0"/>
          <w:numId w:val="1"/>
        </w:numPr>
      </w:pPr>
      <w:r>
        <w:rPr>
          <w:b/>
          <w:bCs/>
        </w:rPr>
        <w:t>形式</w:t>
      </w:r>
      <w:r>
        <w:t>：闭门圆桌，6-8人（3位科学家+3位家办代表+您作为主持人）</w:t>
      </w:r>
    </w:p>
    <w:p w14:paraId="61847D1C">
      <w:pPr>
        <w:numPr>
          <w:ilvl w:val="0"/>
          <w:numId w:val="1"/>
        </w:numPr>
      </w:pPr>
      <w:r>
        <w:rPr>
          <w:b/>
          <w:bCs/>
        </w:rPr>
        <w:t>内容</w:t>
      </w:r>
      <w:r>
        <w:t>：科学家15分钟项目路演 → 家办提问 → 您提供”合伙人匹配度初评”</w:t>
      </w:r>
    </w:p>
    <w:p w14:paraId="38471736">
      <w:pPr>
        <w:numPr>
          <w:ilvl w:val="0"/>
          <w:numId w:val="1"/>
        </w:numPr>
      </w:pPr>
      <w:r>
        <w:rPr>
          <w:b/>
          <w:bCs/>
        </w:rPr>
        <w:t>收费</w:t>
      </w:r>
      <w:r>
        <w:t>：家办端收费5,000元/人（筛选门槛），科学家端免费（精准获客）</w:t>
      </w:r>
    </w:p>
    <w:p w14:paraId="72B5D65E">
      <w:pPr>
        <w:numPr>
          <w:ilvl w:val="0"/>
          <w:numId w:val="1"/>
        </w:numPr>
      </w:pPr>
      <w:r>
        <w:rPr>
          <w:b/>
          <w:bCs/>
        </w:rPr>
        <w:t>价值</w:t>
      </w:r>
      <w:r>
        <w:t>：撮合交易+建立信任+案例积累</w:t>
      </w:r>
    </w:p>
    <w:p w14:paraId="7AE1F14A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bookmarkEnd w:id="10"/>
    <w:p w14:paraId="0A95FAE8">
      <w:pPr>
        <w:pStyle w:val="4"/>
      </w:pPr>
      <w:bookmarkStart w:id="11" w:name="四ai工具设计opc轻资产"/>
      <w:r>
        <w:t>四、AI工具设计（OPC轻资产）</w:t>
      </w:r>
    </w:p>
    <w:p w14:paraId="5744866A">
      <w:pPr>
        <w:pStyle w:val="5"/>
      </w:pPr>
      <w:bookmarkStart w:id="12" w:name="trl自评工具科学家端"/>
      <w:r>
        <w:t>4.1 TRL自评工具（科学家端）</w:t>
      </w:r>
    </w:p>
    <w:p w14:paraId="4F2AE7DC">
      <w:pPr>
        <w:pStyle w:val="27"/>
      </w:pPr>
      <w:r>
        <w:rPr>
          <w:b/>
          <w:bCs/>
        </w:rPr>
        <w:t>功能</w:t>
      </w:r>
      <w:r>
        <w:t>：</w:t>
      </w:r>
    </w:p>
    <w:p w14:paraId="4A06148C">
      <w:pPr>
        <w:numPr>
          <w:ilvl w:val="0"/>
          <w:numId w:val="1"/>
        </w:numPr>
      </w:pPr>
      <w:r>
        <w:t>10分钟在线问卷，评估技术成熟度等级（TRL 1-9）</w:t>
      </w:r>
    </w:p>
    <w:p w14:paraId="4290D1EA">
      <w:pPr>
        <w:numPr>
          <w:ilvl w:val="0"/>
          <w:numId w:val="1"/>
        </w:numPr>
      </w:pPr>
      <w:r>
        <w:t>自动识别当前阶段的关键瓶颈（技术/市场/团队/资金）</w:t>
      </w:r>
    </w:p>
    <w:p w14:paraId="25ABA2D9">
      <w:pPr>
        <w:numPr>
          <w:ilvl w:val="0"/>
          <w:numId w:val="1"/>
        </w:numPr>
      </w:pPr>
      <w:r>
        <w:t>输出：TRL等级报告 + 合伙人能力需求画像 + 风险提示</w:t>
      </w:r>
    </w:p>
    <w:p w14:paraId="7F08CD84">
      <w:pPr>
        <w:pStyle w:val="27"/>
      </w:pPr>
      <w:r>
        <w:rPr>
          <w:b/>
          <w:bCs/>
        </w:rPr>
        <w:t>技术栈</w:t>
      </w:r>
      <w:r>
        <w:t>：问卷星/金数据 + GPT-4 API（成本约500元/月）</w:t>
      </w:r>
    </w:p>
    <w:p w14:paraId="2CB59993">
      <w:pPr>
        <w:pStyle w:val="3"/>
      </w:pPr>
      <w:r>
        <w:rPr>
          <w:b/>
          <w:bCs/>
        </w:rPr>
        <w:t>差异化</w:t>
      </w:r>
      <w:r>
        <w:t>：不是简单的测评，而是结合”银行风控视角”的决策建议</w:t>
      </w:r>
    </w:p>
    <w:bookmarkEnd w:id="12"/>
    <w:p w14:paraId="264AA5F8">
      <w:pPr>
        <w:pStyle w:val="5"/>
      </w:pPr>
      <w:bookmarkStart w:id="13" w:name="pfi匹配算法核心引擎"/>
      <w:r>
        <w:t>4.2 PFI匹配算法（核心引擎）</w:t>
      </w:r>
    </w:p>
    <w:p w14:paraId="7A185E13">
      <w:pPr>
        <w:pStyle w:val="27"/>
      </w:pPr>
      <w:r>
        <w:rPr>
          <w:b/>
          <w:bCs/>
        </w:rPr>
        <w:t>输入维度</w:t>
      </w:r>
      <w:r>
        <w:t>：</w:t>
      </w:r>
    </w:p>
    <w:p w14:paraId="76C20136">
      <w:pPr>
        <w:numPr>
          <w:ilvl w:val="0"/>
          <w:numId w:val="1"/>
        </w:numPr>
      </w:pPr>
      <w:r>
        <w:rPr>
          <w:b/>
          <w:bCs/>
        </w:rPr>
        <w:t>科学家端</w:t>
      </w:r>
      <w:r>
        <w:t>：技术领域、决策风格、风险偏好、满意标准</w:t>
      </w:r>
    </w:p>
    <w:p w14:paraId="3E3849A3">
      <w:pPr>
        <w:numPr>
          <w:ilvl w:val="0"/>
          <w:numId w:val="1"/>
        </w:numPr>
      </w:pPr>
      <w:r>
        <w:rPr>
          <w:b/>
          <w:bCs/>
        </w:rPr>
        <w:t>候选人端</w:t>
      </w:r>
      <w:r>
        <w:t>：行业经验、管理能力、股权预期、文化适配</w:t>
      </w:r>
    </w:p>
    <w:p w14:paraId="71386333">
      <w:pPr>
        <w:numPr>
          <w:ilvl w:val="0"/>
          <w:numId w:val="1"/>
        </w:numPr>
      </w:pPr>
      <w:r>
        <w:rPr>
          <w:b/>
          <w:bCs/>
        </w:rPr>
        <w:t>家办端</w:t>
      </w:r>
      <w:r>
        <w:t>：投资阶段、行业偏好、决策机制、风险承受</w:t>
      </w:r>
    </w:p>
    <w:p w14:paraId="01F69BEC">
      <w:pPr>
        <w:pStyle w:val="27"/>
      </w:pPr>
      <w:r>
        <w:rPr>
          <w:b/>
          <w:bCs/>
        </w:rPr>
        <w:t>算法逻辑</w:t>
      </w:r>
      <w:r>
        <w:t>：</w:t>
      </w:r>
    </w:p>
    <w:p w14:paraId="2037EA05">
      <w:pPr>
        <w:pStyle w:val="53"/>
      </w:pPr>
      <w:r>
        <w:br w:type="textWrapping"/>
      </w:r>
      <w:r>
        <w:rPr>
          <w:rStyle w:val="52"/>
        </w:rPr>
        <w:t xml:space="preserve">PFI = f(能力互补度×0.3, 价值观契合度×0.25, 风险匹配度×0.2, </w:t>
      </w:r>
      <w:r>
        <w:br w:type="textWrapping"/>
      </w:r>
      <w:r>
        <w:rPr>
          <w:rStyle w:val="52"/>
        </w:rPr>
        <w:t xml:space="preserve">        时间偏好一致度×0.15, 沟通模式兼容度×0.1)</w:t>
      </w:r>
    </w:p>
    <w:p w14:paraId="0FE2278A">
      <w:pPr>
        <w:pStyle w:val="27"/>
      </w:pPr>
      <w:r>
        <w:rPr>
          <w:b/>
          <w:bCs/>
        </w:rPr>
        <w:t>输出</w:t>
      </w:r>
      <w:r>
        <w:t>：匹配度评分（0-100）+ 风险热力图 + 建议深入探查问题清单</w:t>
      </w:r>
    </w:p>
    <w:bookmarkEnd w:id="13"/>
    <w:p w14:paraId="1C51F932">
      <w:pPr>
        <w:pStyle w:val="5"/>
      </w:pPr>
      <w:bookmarkStart w:id="14" w:name="家办项目看板交叉价值"/>
      <w:r>
        <w:t>4.3 家办项目看板（交叉价值）</w:t>
      </w:r>
    </w:p>
    <w:p w14:paraId="5D225B5B">
      <w:pPr>
        <w:pStyle w:val="27"/>
      </w:pPr>
      <w:r>
        <w:rPr>
          <w:b/>
          <w:bCs/>
        </w:rPr>
        <w:t>功能</w:t>
      </w:r>
      <w:r>
        <w:t>：</w:t>
      </w:r>
    </w:p>
    <w:p w14:paraId="64085AF0">
      <w:pPr>
        <w:numPr>
          <w:ilvl w:val="0"/>
          <w:numId w:val="1"/>
        </w:numPr>
      </w:pPr>
      <w:r>
        <w:t>展示”经过TRL-PFI验证”的科学家项目</w:t>
      </w:r>
    </w:p>
    <w:p w14:paraId="74411EFC">
      <w:pPr>
        <w:numPr>
          <w:ilvl w:val="0"/>
          <w:numId w:val="1"/>
        </w:numPr>
      </w:pPr>
      <w:r>
        <w:t>每个项目包含：技术成熟度报告、合伙人匹配度评估、决策建议书摘要</w:t>
      </w:r>
    </w:p>
    <w:p w14:paraId="75B59E92">
      <w:pPr>
        <w:numPr>
          <w:ilvl w:val="0"/>
          <w:numId w:val="1"/>
        </w:numPr>
      </w:pPr>
      <w:r>
        <w:t>家办可预约”深度尽调”，您提供团队评估服务</w:t>
      </w:r>
    </w:p>
    <w:p w14:paraId="73D6F54D">
      <w:pPr>
        <w:pStyle w:val="27"/>
      </w:pPr>
      <w:r>
        <w:rPr>
          <w:b/>
          <w:bCs/>
        </w:rPr>
        <w:t>商业模式</w:t>
      </w:r>
      <w:r>
        <w:t>：</w:t>
      </w:r>
    </w:p>
    <w:p w14:paraId="73F2BD2C">
      <w:pPr>
        <w:numPr>
          <w:ilvl w:val="0"/>
          <w:numId w:val="1"/>
        </w:numPr>
      </w:pPr>
      <w:r>
        <w:t>科学家端：付费获得”验证背书”</w:t>
      </w:r>
    </w:p>
    <w:p w14:paraId="3BDCAB84">
      <w:pPr>
        <w:numPr>
          <w:ilvl w:val="0"/>
          <w:numId w:val="1"/>
        </w:numPr>
      </w:pPr>
      <w:r>
        <w:t>家办端：付费获得”预筛选项目+团队评估”</w:t>
      </w:r>
    </w:p>
    <w:p w14:paraId="6A006938">
      <w:pPr>
        <w:numPr>
          <w:ilvl w:val="0"/>
          <w:numId w:val="1"/>
        </w:numPr>
      </w:pPr>
      <w:r>
        <w:t>您：赚取双边服务费+潜在carry（后续协商）</w:t>
      </w:r>
    </w:p>
    <w:p w14:paraId="1165360A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bookmarkEnd w:id="14"/>
    <w:p w14:paraId="1EA6A7E4">
      <w:pPr>
        <w:pStyle w:val="4"/>
      </w:pPr>
      <w:bookmarkStart w:id="15" w:name="五专家网络优化务实版本"/>
      <w:r>
        <w:t>五、专家网络优化（务实版本）</w:t>
      </w:r>
    </w:p>
    <w:p w14:paraId="49588911">
      <w:pPr>
        <w:pStyle w:val="5"/>
      </w:pPr>
      <w:bookmarkStart w:id="16" w:name="核心专家配置"/>
      <w:r>
        <w:t>5.1 核心专家配置</w:t>
      </w:r>
    </w:p>
    <w:tbl>
      <w:tblPr>
        <w:tblStyle w:val="45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1DC657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8993489">
            <w:pPr>
              <w:pStyle w:val="28"/>
              <w:jc w:val="left"/>
            </w:pPr>
            <w:r>
              <w:t>专家类型</w:t>
            </w:r>
          </w:p>
        </w:tc>
        <w:tc>
          <w:p w14:paraId="3F8F1CAE">
            <w:pPr>
              <w:pStyle w:val="28"/>
              <w:jc w:val="left"/>
            </w:pPr>
            <w:r>
              <w:t>具体角色</w:t>
            </w:r>
          </w:p>
        </w:tc>
        <w:tc>
          <w:p w14:paraId="338A4F1D">
            <w:pPr>
              <w:pStyle w:val="28"/>
              <w:jc w:val="left"/>
            </w:pPr>
            <w:r>
              <w:t>合作方式</w:t>
            </w:r>
          </w:p>
        </w:tc>
        <w:tc>
          <w:p w14:paraId="2A64F8F3">
            <w:pPr>
              <w:pStyle w:val="28"/>
              <w:jc w:val="left"/>
            </w:pPr>
            <w:r>
              <w:t>年度成本</w:t>
            </w:r>
          </w:p>
        </w:tc>
      </w:tr>
      <w:tr w14:paraId="3E4302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DA8676">
            <w:pPr>
              <w:pStyle w:val="28"/>
              <w:jc w:val="left"/>
            </w:pPr>
            <w:r>
              <w:rPr>
                <w:b/>
                <w:bCs/>
              </w:rPr>
              <w:t>哲学/数学教授</w:t>
            </w:r>
            <w:r>
              <w:t>（原有师生关系）</w:t>
            </w:r>
          </w:p>
        </w:tc>
        <w:tc>
          <w:p w14:paraId="288C6E0F">
            <w:pPr>
              <w:pStyle w:val="28"/>
              <w:jc w:val="left"/>
            </w:pPr>
            <w:r>
              <w:t>方法论审查、伦理边界设定、复杂案例会诊</w:t>
            </w:r>
          </w:p>
        </w:tc>
        <w:tc>
          <w:p w14:paraId="6750E267">
            <w:pPr>
              <w:pStyle w:val="28"/>
              <w:jc w:val="left"/>
            </w:pPr>
            <w:r>
              <w:t>前期免费合作（联合署名论文、学术声誉共建），后期项目分成</w:t>
            </w:r>
          </w:p>
        </w:tc>
        <w:tc>
          <w:p w14:paraId="0BC44EC0">
            <w:pPr>
              <w:pStyle w:val="28"/>
              <w:jc w:val="left"/>
            </w:pPr>
            <w:r>
              <w:t>0元（首年）</w:t>
            </w:r>
          </w:p>
        </w:tc>
      </w:tr>
      <w:tr w14:paraId="521736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144315">
            <w:pPr>
              <w:pStyle w:val="28"/>
              <w:jc w:val="left"/>
            </w:pPr>
            <w:r>
              <w:rPr>
                <w:b/>
                <w:bCs/>
              </w:rPr>
              <w:t>西丽湖技术转移专家</w:t>
            </w:r>
          </w:p>
        </w:tc>
        <w:tc>
          <w:p w14:paraId="55E24FF9">
            <w:pPr>
              <w:pStyle w:val="28"/>
              <w:jc w:val="left"/>
            </w:pPr>
            <w:r>
              <w:t>TRL评估标准制定、高校资源对接</w:t>
            </w:r>
          </w:p>
        </w:tc>
        <w:tc>
          <w:p w14:paraId="19724BB5">
            <w:pPr>
              <w:pStyle w:val="28"/>
              <w:jc w:val="left"/>
            </w:pPr>
            <w:r>
              <w:t>免费合作（资源置换：为其项目提供免费决策评估）</w:t>
            </w:r>
          </w:p>
        </w:tc>
        <w:tc>
          <w:p w14:paraId="7E137495">
            <w:pPr>
              <w:pStyle w:val="28"/>
              <w:jc w:val="left"/>
            </w:pPr>
            <w:r>
              <w:t>0元</w:t>
            </w:r>
          </w:p>
        </w:tc>
      </w:tr>
      <w:tr w14:paraId="34C571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FD4127">
            <w:pPr>
              <w:pStyle w:val="28"/>
              <w:jc w:val="left"/>
            </w:pPr>
            <w:r>
              <w:rPr>
                <w:b/>
                <w:bCs/>
              </w:rPr>
              <w:t>前海跨境律师</w:t>
            </w:r>
            <w:r>
              <w:t>（何青阳类型）</w:t>
            </w:r>
          </w:p>
        </w:tc>
        <w:tc>
          <w:p w14:paraId="2DBB1F34">
            <w:pPr>
              <w:pStyle w:val="28"/>
              <w:jc w:val="left"/>
            </w:pPr>
            <w:r>
              <w:t>股权架构设计、跨境合规审查</w:t>
            </w:r>
          </w:p>
        </w:tc>
        <w:tc>
          <w:p w14:paraId="6B0840DA">
            <w:pPr>
              <w:pStyle w:val="28"/>
              <w:jc w:val="left"/>
            </w:pPr>
            <w:r>
              <w:t>项目合作（每单分成15%）</w:t>
            </w:r>
          </w:p>
        </w:tc>
        <w:tc>
          <w:p w14:paraId="0FA4E37A">
            <w:pPr>
              <w:pStyle w:val="28"/>
              <w:jc w:val="left"/>
            </w:pPr>
            <w:r>
              <w:t>0元（变动成本）</w:t>
            </w:r>
          </w:p>
        </w:tc>
      </w:tr>
      <w:tr w14:paraId="01A462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6B6F3E">
            <w:pPr>
              <w:pStyle w:val="28"/>
              <w:jc w:val="left"/>
            </w:pPr>
            <w:r>
              <w:rPr>
                <w:b/>
                <w:bCs/>
              </w:rPr>
              <w:t>香港家办从业者</w:t>
            </w:r>
          </w:p>
        </w:tc>
        <w:tc>
          <w:p w14:paraId="7B6ADCF0">
            <w:pPr>
              <w:pStyle w:val="28"/>
              <w:jc w:val="left"/>
            </w:pPr>
            <w:r>
              <w:t>家办需求洞察、渠道引荐</w:t>
            </w:r>
          </w:p>
        </w:tc>
        <w:tc>
          <w:p w14:paraId="21D5EEFD">
            <w:pPr>
              <w:pStyle w:val="28"/>
              <w:jc w:val="left"/>
            </w:pPr>
            <w:r>
              <w:t>收益分成（成功签约家办客户，分成20%）</w:t>
            </w:r>
          </w:p>
        </w:tc>
        <w:tc>
          <w:p w14:paraId="10FD1E24">
            <w:pPr>
              <w:pStyle w:val="28"/>
              <w:jc w:val="left"/>
            </w:pPr>
            <w:r>
              <w:t>0元（变动成本）</w:t>
            </w:r>
          </w:p>
        </w:tc>
      </w:tr>
      <w:tr w14:paraId="1DDD9D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E15188">
            <w:pPr>
              <w:pStyle w:val="28"/>
              <w:jc w:val="left"/>
            </w:pPr>
            <w:r>
              <w:rPr>
                <w:b/>
                <w:bCs/>
              </w:rPr>
              <w:t>发小（AI科学家）</w:t>
            </w:r>
          </w:p>
        </w:tc>
        <w:tc>
          <w:p w14:paraId="3BC65335">
            <w:pPr>
              <w:pStyle w:val="28"/>
              <w:jc w:val="left"/>
            </w:pPr>
            <w:r>
              <w:t>AI工具架构师、技术前瞻</w:t>
            </w:r>
          </w:p>
        </w:tc>
        <w:tc>
          <w:p w14:paraId="09AEACFA">
            <w:pPr>
              <w:pStyle w:val="28"/>
              <w:jc w:val="left"/>
            </w:pPr>
            <w:r>
              <w:t>股权合作（满意解研究所5-10%股权）</w:t>
            </w:r>
          </w:p>
        </w:tc>
        <w:tc>
          <w:p w14:paraId="1377FB2A">
            <w:pPr>
              <w:pStyle w:val="28"/>
              <w:jc w:val="left"/>
            </w:pPr>
            <w:r>
              <w:t>0元（股权稀释）</w:t>
            </w:r>
          </w:p>
        </w:tc>
      </w:tr>
      <w:tr w14:paraId="65690E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AFE506">
            <w:pPr>
              <w:pStyle w:val="28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bookmarkStart w:id="17" w:name="专家协作机制"/>
            <w:r>
              <w:rPr>
                <w:rFonts w:hint="eastAsia"/>
                <w:b/>
                <w:bCs/>
                <w:lang w:val="en-US" w:eastAsia="zh-CN"/>
              </w:rPr>
              <w:t>脑科学家</w:t>
            </w:r>
          </w:p>
        </w:tc>
        <w:tc>
          <w:p w14:paraId="52EFC44E">
            <w:pPr>
              <w:pStyle w:val="28"/>
              <w:jc w:val="left"/>
            </w:pPr>
            <w:r>
              <w:rPr>
                <w:rFonts w:ascii="Arial" w:hAnsi="Arial"/>
              </w:rPr>
              <w:t>科学化直觉训练，解释'躯体信号'，让右脑直觉从神秘主义走向可训练、可验证、可传承</w:t>
            </w:r>
          </w:p>
        </w:tc>
        <w:tc>
          <w:tcPr>
            <w:tcW w:w="2214" w:type="dxa"/>
            <w:vAlign w:val="top"/>
          </w:tcPr>
          <w:p w14:paraId="0DDA068A">
            <w:pPr>
              <w:pStyle w:val="28"/>
              <w:jc w:val="left"/>
            </w:pPr>
            <w:r>
              <w:t>前期免费合作（联合署名论文、学术声誉共建），后期项目分成</w:t>
            </w:r>
          </w:p>
        </w:tc>
        <w:tc>
          <w:tcPr>
            <w:tcW w:w="2214" w:type="dxa"/>
            <w:vAlign w:val="top"/>
          </w:tcPr>
          <w:p w14:paraId="5F00370A">
            <w:pPr>
              <w:pStyle w:val="28"/>
              <w:jc w:val="left"/>
            </w:pPr>
            <w:r>
              <w:t>0元（首年）</w:t>
            </w:r>
          </w:p>
        </w:tc>
      </w:tr>
      <w:bookmarkEnd w:id="16"/>
    </w:tbl>
    <w:p w14:paraId="2459C71C">
      <w:pPr>
        <w:pStyle w:val="5"/>
      </w:pPr>
      <w:r>
        <w:t>5.2 专家协作机制</w:t>
      </w:r>
    </w:p>
    <w:p w14:paraId="25B65513">
      <w:pPr>
        <w:pStyle w:val="27"/>
      </w:pPr>
      <w:r>
        <w:rPr>
          <w:b/>
          <w:bCs/>
        </w:rPr>
        <w:t>月度轻会诊</w:t>
      </w:r>
      <w:r>
        <w:t>（线上，90分钟）：</w:t>
      </w:r>
    </w:p>
    <w:p w14:paraId="7518F499">
      <w:pPr>
        <w:numPr>
          <w:ilvl w:val="0"/>
          <w:numId w:val="1"/>
        </w:numPr>
      </w:pPr>
      <w:r>
        <w:t>创始人陈述案例直觉</w:t>
      </w:r>
    </w:p>
    <w:p w14:paraId="30D63A00">
      <w:pPr>
        <w:numPr>
          <w:ilvl w:val="0"/>
          <w:numId w:val="1"/>
        </w:numPr>
      </w:pPr>
      <w:r>
        <w:t>哲学教授：价值一致性审查</w:t>
      </w:r>
    </w:p>
    <w:p w14:paraId="532233FB">
      <w:pPr>
        <w:numPr>
          <w:ilvl w:val="0"/>
          <w:numId w:val="1"/>
        </w:numPr>
      </w:pPr>
      <w:r>
        <w:t>数学教授：概率校准建议</w:t>
      </w:r>
    </w:p>
    <w:p w14:paraId="3487E8E4">
      <w:pPr>
        <w:numPr>
          <w:ilvl w:val="0"/>
          <w:numId w:val="1"/>
        </w:numPr>
      </w:pPr>
      <w:r>
        <w:t>技术转移专家：TRL阶段判断</w:t>
      </w:r>
    </w:p>
    <w:p w14:paraId="705C19C1">
      <w:pPr>
        <w:numPr>
          <w:ilvl w:val="0"/>
          <w:numId w:val="1"/>
        </w:numPr>
      </w:pPr>
      <w:r>
        <w:t>结论：手写”满意解”决策建议</w:t>
      </w:r>
    </w:p>
    <w:p w14:paraId="243C8F7F">
      <w:pPr>
        <w:pStyle w:val="27"/>
      </w:pPr>
      <w:r>
        <w:rPr>
          <w:b/>
          <w:bCs/>
        </w:rPr>
        <w:t>成本控制在首年3万元以内</w:t>
      </w:r>
      <w:r>
        <w:t>，主要通过股权、分成、资源置换实现。</w:t>
      </w:r>
    </w:p>
    <w:p w14:paraId="14985ACA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bookmarkEnd w:id="17"/>
    <w:p w14:paraId="7F7F70DE">
      <w:pPr>
        <w:pStyle w:val="4"/>
      </w:pPr>
      <w:bookmarkStart w:id="18" w:name="六首年里程碑现实可行"/>
      <w:r>
        <w:t>六、首年里程碑（现实可行）</w:t>
      </w:r>
    </w:p>
    <w:tbl>
      <w:tblPr>
        <w:tblStyle w:val="45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1944"/>
        <w:gridCol w:w="1944"/>
        <w:gridCol w:w="1944"/>
        <w:gridCol w:w="1728"/>
      </w:tblGrid>
      <w:tr w14:paraId="6A1857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44DE335">
            <w:pPr>
              <w:pStyle w:val="28"/>
              <w:jc w:val="left"/>
            </w:pPr>
            <w:r>
              <w:t>季度</w:t>
            </w:r>
          </w:p>
        </w:tc>
        <w:tc>
          <w:p w14:paraId="07BBCAC9">
            <w:pPr>
              <w:pStyle w:val="28"/>
              <w:jc w:val="left"/>
            </w:pPr>
            <w:r>
              <w:t>核心目标</w:t>
            </w:r>
          </w:p>
        </w:tc>
        <w:tc>
          <w:p w14:paraId="3485F91A">
            <w:pPr>
              <w:pStyle w:val="28"/>
              <w:jc w:val="left"/>
            </w:pPr>
            <w:r>
              <w:t>关键动作</w:t>
            </w:r>
          </w:p>
        </w:tc>
        <w:tc>
          <w:p w14:paraId="38D06D86">
            <w:pPr>
              <w:pStyle w:val="28"/>
              <w:jc w:val="left"/>
            </w:pPr>
            <w:r>
              <w:t>验证标准</w:t>
            </w:r>
          </w:p>
        </w:tc>
        <w:tc>
          <w:p w14:paraId="02C25FC3">
            <w:pPr>
              <w:pStyle w:val="28"/>
              <w:jc w:val="left"/>
            </w:pPr>
            <w:r>
              <w:t>现金流</w:t>
            </w:r>
          </w:p>
        </w:tc>
      </w:tr>
      <w:tr w14:paraId="306A13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3D2D27">
            <w:pPr>
              <w:pStyle w:val="28"/>
              <w:jc w:val="left"/>
            </w:pPr>
            <w:r>
              <w:rPr>
                <w:b/>
                <w:bCs/>
              </w:rPr>
              <w:t>Q1</w:t>
            </w:r>
            <w:r>
              <w:t>(1-3月)</w:t>
            </w:r>
          </w:p>
        </w:tc>
        <w:tc>
          <w:p w14:paraId="2BE939D7">
            <w:pPr>
              <w:pStyle w:val="28"/>
              <w:jc w:val="left"/>
            </w:pPr>
            <w:r>
              <w:t>南山锚定</w:t>
            </w:r>
          </w:p>
        </w:tc>
        <w:tc>
          <w:p w14:paraId="5C3E4AFA">
            <w:pPr>
              <w:pStyle w:val="28"/>
              <w:jc w:val="left"/>
            </w:pPr>
            <w:r>
              <w:t>• 入驻西丽湖融创中心• 发布TRL-PFI白皮书• 接触20个科学家项目• 建立香港家办初步联系</w:t>
            </w:r>
          </w:p>
        </w:tc>
        <w:tc>
          <w:p w14:paraId="7E5966D4">
            <w:pPr>
              <w:pStyle w:val="28"/>
              <w:jc w:val="left"/>
            </w:pPr>
            <w:r>
              <w:t>• 3个科学家愿意深度交流• 1家香港家办表达兴趣• 首篇公众号阅读量&gt;500</w:t>
            </w:r>
          </w:p>
        </w:tc>
        <w:tc>
          <w:p w14:paraId="1525CD51">
            <w:pPr>
              <w:pStyle w:val="28"/>
              <w:jc w:val="left"/>
            </w:pPr>
            <w:r>
              <w:t>支出：2万收入：0</w:t>
            </w:r>
          </w:p>
        </w:tc>
      </w:tr>
      <w:tr w14:paraId="3A0BD6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046A64">
            <w:pPr>
              <w:pStyle w:val="28"/>
              <w:jc w:val="left"/>
            </w:pPr>
            <w:r>
              <w:rPr>
                <w:b/>
                <w:bCs/>
              </w:rPr>
              <w:t>Q2</w:t>
            </w:r>
            <w:r>
              <w:t>(4-6月)</w:t>
            </w:r>
          </w:p>
        </w:tc>
        <w:tc>
          <w:p w14:paraId="6A9DAF5A">
            <w:pPr>
              <w:pStyle w:val="28"/>
              <w:jc w:val="left"/>
            </w:pPr>
            <w:r>
              <w:t>首单验证</w:t>
            </w:r>
          </w:p>
        </w:tc>
        <w:tc>
          <w:p w14:paraId="43975E82">
            <w:pPr>
              <w:pStyle w:val="28"/>
              <w:jc w:val="left"/>
            </w:pPr>
            <w:r>
              <w:t>• 完成首单科学家客户（5万+）• 举办首场”南山-香港”沙龙• AI工具MVP上线</w:t>
            </w:r>
          </w:p>
        </w:tc>
        <w:tc>
          <w:p w14:paraId="0CEBD80C">
            <w:pPr>
              <w:pStyle w:val="28"/>
              <w:jc w:val="left"/>
            </w:pPr>
            <w:r>
              <w:t>• 收入&gt;5万• 案例1个• 工具用户10人</w:t>
            </w:r>
          </w:p>
        </w:tc>
        <w:tc>
          <w:p w14:paraId="700A9FE7">
            <w:pPr>
              <w:pStyle w:val="28"/>
              <w:jc w:val="left"/>
            </w:pPr>
            <w:r>
              <w:t>支出：1万收入：5万</w:t>
            </w:r>
          </w:p>
        </w:tc>
      </w:tr>
      <w:tr w14:paraId="60C78D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BA5005">
            <w:pPr>
              <w:pStyle w:val="28"/>
              <w:jc w:val="left"/>
            </w:pPr>
            <w:r>
              <w:rPr>
                <w:b/>
                <w:bCs/>
              </w:rPr>
              <w:t>Q3</w:t>
            </w:r>
            <w:r>
              <w:t>(7-9月)</w:t>
            </w:r>
          </w:p>
        </w:tc>
        <w:tc>
          <w:p w14:paraId="561CC561">
            <w:pPr>
              <w:pStyle w:val="28"/>
              <w:jc w:val="left"/>
            </w:pPr>
            <w:r>
              <w:t>渠道破冰</w:t>
            </w:r>
          </w:p>
        </w:tc>
        <w:tc>
          <w:p w14:paraId="38A7835C">
            <w:pPr>
              <w:pStyle w:val="28"/>
              <w:jc w:val="left"/>
            </w:pPr>
            <w:r>
              <w:t>• 与2家高校技转中心签约• 与1家香港家办建立合作• 举办3场交叉沙龙</w:t>
            </w:r>
          </w:p>
        </w:tc>
        <w:tc>
          <w:p w14:paraId="22327C9D">
            <w:pPr>
              <w:pStyle w:val="28"/>
              <w:jc w:val="left"/>
            </w:pPr>
            <w:r>
              <w:t>• 渠道推荐5单• 家办客户1单• 月入&gt;1万</w:t>
            </w:r>
          </w:p>
        </w:tc>
        <w:tc>
          <w:p w14:paraId="14B71EB7">
            <w:pPr>
              <w:pStyle w:val="28"/>
              <w:jc w:val="left"/>
            </w:pPr>
            <w:r>
              <w:t>支出：1万收入：15万</w:t>
            </w:r>
          </w:p>
        </w:tc>
      </w:tr>
      <w:tr w14:paraId="64D486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821070">
            <w:pPr>
              <w:pStyle w:val="28"/>
              <w:jc w:val="left"/>
            </w:pPr>
            <w:r>
              <w:rPr>
                <w:b/>
                <w:bCs/>
              </w:rPr>
              <w:t>Q4</w:t>
            </w:r>
            <w:r>
              <w:t>(10-12月)</w:t>
            </w:r>
          </w:p>
        </w:tc>
        <w:tc>
          <w:p w14:paraId="05590BD4">
            <w:pPr>
              <w:pStyle w:val="28"/>
              <w:jc w:val="left"/>
            </w:pPr>
            <w:r>
              <w:t>方法论确立</w:t>
            </w:r>
          </w:p>
        </w:tc>
        <w:tc>
          <w:p w14:paraId="05E723AB">
            <w:pPr>
              <w:pStyle w:val="28"/>
              <w:jc w:val="left"/>
            </w:pPr>
            <w:r>
              <w:t>• 发布《深港科技转化合伙人决策指南》• 案例10个• 建立”决策枢纽”品牌认知</w:t>
            </w:r>
          </w:p>
        </w:tc>
        <w:tc>
          <w:p w14:paraId="547A000C">
            <w:pPr>
              <w:pStyle w:val="28"/>
              <w:jc w:val="left"/>
            </w:pPr>
            <w:r>
              <w:t>• 月入3-5万• 科学家客户8个• 家办客户2个</w:t>
            </w:r>
          </w:p>
        </w:tc>
        <w:tc>
          <w:p w14:paraId="133753F2">
            <w:pPr>
              <w:pStyle w:val="28"/>
              <w:jc w:val="left"/>
            </w:pPr>
            <w:r>
              <w:t>支出：1万收入：30万</w:t>
            </w:r>
          </w:p>
        </w:tc>
      </w:tr>
    </w:tbl>
    <w:p w14:paraId="060F2FC0">
      <w:pPr>
        <w:pStyle w:val="3"/>
      </w:pPr>
      <w:r>
        <w:rPr>
          <w:b/>
          <w:bCs/>
        </w:rPr>
        <w:t>首年总计</w:t>
      </w:r>
      <w:r>
        <w:t>：投入5万，收入50万，净利润45万，案例10个，方法论确立。</w:t>
      </w:r>
    </w:p>
    <w:p w14:paraId="18EF3046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p w14:paraId="260C0AD8">
      <w:pPr>
        <w:pStyle w:val="4"/>
      </w:pPr>
      <w:bookmarkStart w:id="19" w:name="七风险与边界"/>
      <w:r>
        <w:t>七、风险与边界</w:t>
      </w:r>
    </w:p>
    <w:p w14:paraId="103BF85C">
      <w:pPr>
        <w:pStyle w:val="5"/>
      </w:pPr>
      <w:bookmarkStart w:id="20" w:name="明确不做边界清晰"/>
      <w:r>
        <w:t>7.1 明确不做（边界清晰）</w:t>
      </w:r>
    </w:p>
    <w:tbl>
      <w:tblPr>
        <w:tblStyle w:val="45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1"/>
        <w:gridCol w:w="2214"/>
        <w:gridCol w:w="3321"/>
      </w:tblGrid>
      <w:tr w14:paraId="2AAF64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DE0A67F">
            <w:pPr>
              <w:pStyle w:val="28"/>
              <w:jc w:val="left"/>
            </w:pPr>
            <w:r>
              <w:t>不做事项</w:t>
            </w:r>
          </w:p>
        </w:tc>
        <w:tc>
          <w:p w14:paraId="148FE293">
            <w:pPr>
              <w:pStyle w:val="28"/>
              <w:jc w:val="left"/>
            </w:pPr>
            <w:r>
              <w:t>原因</w:t>
            </w:r>
          </w:p>
        </w:tc>
        <w:tc>
          <w:p w14:paraId="041A448A">
            <w:pPr>
              <w:pStyle w:val="28"/>
              <w:jc w:val="left"/>
            </w:pPr>
            <w:r>
              <w:t>替代方案</w:t>
            </w:r>
          </w:p>
        </w:tc>
      </w:tr>
      <w:tr w14:paraId="6A36F8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E8885F">
            <w:pPr>
              <w:pStyle w:val="28"/>
              <w:jc w:val="left"/>
            </w:pPr>
            <w:r>
              <w:t>纯财务投资顾问</w:t>
            </w:r>
          </w:p>
        </w:tc>
        <w:tc>
          <w:p w14:paraId="74C4F256">
            <w:pPr>
              <w:pStyle w:val="28"/>
              <w:jc w:val="left"/>
            </w:pPr>
            <w:r>
              <w:t>无牌照，合规风险</w:t>
            </w:r>
          </w:p>
        </w:tc>
        <w:tc>
          <w:p w14:paraId="28080829">
            <w:pPr>
              <w:pStyle w:val="28"/>
              <w:jc w:val="left"/>
            </w:pPr>
            <w:r>
              <w:t>转介持牌机构，收取引荐费</w:t>
            </w:r>
          </w:p>
        </w:tc>
      </w:tr>
      <w:tr w14:paraId="3DBAFB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442E3E">
            <w:pPr>
              <w:pStyle w:val="28"/>
              <w:jc w:val="left"/>
            </w:pPr>
            <w:r>
              <w:t>法律文件起草</w:t>
            </w:r>
          </w:p>
        </w:tc>
        <w:tc>
          <w:p w14:paraId="40ED3A5F">
            <w:pPr>
              <w:pStyle w:val="28"/>
              <w:jc w:val="left"/>
            </w:pPr>
            <w:r>
              <w:t>非律师，越界风险</w:t>
            </w:r>
          </w:p>
        </w:tc>
        <w:tc>
          <w:p w14:paraId="2BE0C1C7">
            <w:pPr>
              <w:pStyle w:val="28"/>
              <w:jc w:val="left"/>
            </w:pPr>
            <w:r>
              <w:t>与前海律师战略合作</w:t>
            </w:r>
          </w:p>
        </w:tc>
      </w:tr>
      <w:tr w14:paraId="2E8742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D712CD">
            <w:pPr>
              <w:pStyle w:val="28"/>
              <w:jc w:val="left"/>
            </w:pPr>
            <w:r>
              <w:t>技术研发</w:t>
            </w:r>
          </w:p>
        </w:tc>
        <w:tc>
          <w:p w14:paraId="52AC1129">
            <w:pPr>
              <w:pStyle w:val="28"/>
              <w:jc w:val="left"/>
            </w:pPr>
            <w:r>
              <w:t>非技术背景，不专业</w:t>
            </w:r>
          </w:p>
        </w:tc>
        <w:tc>
          <w:p w14:paraId="17528E8B">
            <w:pPr>
              <w:pStyle w:val="28"/>
              <w:jc w:val="left"/>
            </w:pPr>
            <w:r>
              <w:t>发小（AI科学家）负责</w:t>
            </w:r>
          </w:p>
        </w:tc>
      </w:tr>
      <w:tr w14:paraId="71D922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13362F">
            <w:pPr>
              <w:pStyle w:val="28"/>
              <w:jc w:val="left"/>
            </w:pPr>
            <w:r>
              <w:t>传统民企（V0.95原客群）</w:t>
            </w:r>
          </w:p>
        </w:tc>
        <w:tc>
          <w:p w14:paraId="7E4ED0FE">
            <w:pPr>
              <w:pStyle w:val="28"/>
              <w:jc w:val="left"/>
            </w:pPr>
            <w:r>
              <w:t>与南山战略冲突，分散精力</w:t>
            </w:r>
          </w:p>
        </w:tc>
        <w:tc>
          <w:p w14:paraId="6A520483">
            <w:pPr>
              <w:pStyle w:val="28"/>
              <w:jc w:val="left"/>
            </w:pPr>
            <w:r>
              <w:t>果断放弃，专注硬科技</w:t>
            </w:r>
          </w:p>
        </w:tc>
      </w:tr>
      <w:tr w14:paraId="6E6476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B38CA4">
            <w:pPr>
              <w:pStyle w:val="28"/>
              <w:jc w:val="left"/>
            </w:pPr>
            <w:r>
              <w:t>超过15人的成熟企业</w:t>
            </w:r>
          </w:p>
        </w:tc>
        <w:tc>
          <w:p w14:paraId="44F37987">
            <w:pPr>
              <w:pStyle w:val="28"/>
              <w:jc w:val="left"/>
            </w:pPr>
            <w:r>
              <w:t>超出OPC服务能力</w:t>
            </w:r>
          </w:p>
        </w:tc>
        <w:tc>
          <w:p w14:paraId="5E7E0C17">
            <w:pPr>
              <w:pStyle w:val="28"/>
              <w:jc w:val="left"/>
            </w:pPr>
            <w:r>
              <w:t>推荐至传统咨询公司</w:t>
            </w:r>
          </w:p>
        </w:tc>
      </w:tr>
      <w:bookmarkEnd w:id="20"/>
    </w:tbl>
    <w:p w14:paraId="331FEC12">
      <w:pPr>
        <w:pStyle w:val="5"/>
      </w:pPr>
      <w:bookmarkStart w:id="21" w:name="责任边界与风控"/>
      <w:r>
        <w:t>7.2 责任边界与风控</w:t>
      </w:r>
    </w:p>
    <w:p w14:paraId="48B50C93">
      <w:pPr>
        <w:pStyle w:val="27"/>
      </w:pPr>
      <w:r>
        <w:rPr>
          <w:b/>
          <w:bCs/>
        </w:rPr>
        <w:t>“不满意退款”机制</w:t>
      </w:r>
      <w:r>
        <w:t>（V0.95传承）：</w:t>
      </w:r>
    </w:p>
    <w:p w14:paraId="6245B08E">
      <w:pPr>
        <w:numPr>
          <w:ilvl w:val="0"/>
          <w:numId w:val="1"/>
        </w:numPr>
      </w:pPr>
      <w:r>
        <w:t>交付完成后3个工作日内，无条件全额退款</w:t>
      </w:r>
    </w:p>
    <w:p w14:paraId="18B13659">
      <w:pPr>
        <w:numPr>
          <w:ilvl w:val="0"/>
          <w:numId w:val="1"/>
        </w:numPr>
      </w:pPr>
      <w:r>
        <w:t>需提供100字以上书面理由（用于迭代）</w:t>
      </w:r>
    </w:p>
    <w:p w14:paraId="0FCF4017">
      <w:pPr>
        <w:numPr>
          <w:ilvl w:val="0"/>
          <w:numId w:val="1"/>
        </w:numPr>
      </w:pPr>
      <w:r>
        <w:t>90天后决策质量未达预期，按责任限制条款处理</w:t>
      </w:r>
    </w:p>
    <w:p w14:paraId="21CD1542">
      <w:pPr>
        <w:pStyle w:val="27"/>
      </w:pPr>
      <w:r>
        <w:rPr>
          <w:b/>
          <w:bCs/>
        </w:rPr>
        <w:t>跨境合规红线</w:t>
      </w:r>
      <w:r>
        <w:t>：</w:t>
      </w:r>
    </w:p>
    <w:p w14:paraId="3327147A">
      <w:pPr>
        <w:numPr>
          <w:ilvl w:val="0"/>
          <w:numId w:val="1"/>
        </w:numPr>
      </w:pPr>
      <w:r>
        <w:t>不直接处理外汇（通过”科汇通”试点银行合作）</w:t>
      </w:r>
    </w:p>
    <w:p w14:paraId="32EFB9C2">
      <w:pPr>
        <w:numPr>
          <w:ilvl w:val="0"/>
          <w:numId w:val="1"/>
        </w:numPr>
      </w:pPr>
      <w:r>
        <w:t>不提供香港法律意见（与当地律师合作）</w:t>
      </w:r>
    </w:p>
    <w:p w14:paraId="307524C9">
      <w:pPr>
        <w:numPr>
          <w:ilvl w:val="0"/>
          <w:numId w:val="1"/>
        </w:numPr>
      </w:pPr>
      <w:r>
        <w:t>不承诺投资回报（明确区分”决策建议”与”投资顾问”）</w:t>
      </w:r>
    </w:p>
    <w:p w14:paraId="05AFB17A">
      <w:pPr>
        <w:pStyle w:val="27"/>
      </w:pPr>
      <w:r>
        <w:rPr>
          <w:b/>
          <w:bCs/>
        </w:rPr>
        <w:t>责任上限</w:t>
      </w:r>
      <w:r>
        <w:t>：</w:t>
      </w:r>
    </w:p>
    <w:p w14:paraId="20AF0330">
      <w:pPr>
        <w:numPr>
          <w:ilvl w:val="0"/>
          <w:numId w:val="1"/>
        </w:numPr>
      </w:pPr>
      <w:r>
        <w:t>退还全部服务费</w:t>
      </w:r>
    </w:p>
    <w:p w14:paraId="6A65B153">
      <w:pPr>
        <w:numPr>
          <w:ilvl w:val="0"/>
          <w:numId w:val="1"/>
        </w:numPr>
      </w:pPr>
      <w:r>
        <w:t>赔偿上限为合同金额的100%</w:t>
      </w:r>
    </w:p>
    <w:p w14:paraId="0BB6CCEE">
      <w:pPr>
        <w:numPr>
          <w:ilvl w:val="0"/>
          <w:numId w:val="1"/>
        </w:numPr>
      </w:pPr>
      <w:r>
        <w:t>购买职业责任保险（Q2完成）</w:t>
      </w:r>
    </w:p>
    <w:p w14:paraId="295E307E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bookmarkEnd w:id="21"/>
    <w:p w14:paraId="20335064">
      <w:pPr>
        <w:pStyle w:val="4"/>
      </w:pPr>
      <w:bookmarkStart w:id="22" w:name="八左脑右脑差异化优势的具体体现"/>
      <w:r>
        <w:t>八、左脑+右脑：差异化优势的具体体现</w:t>
      </w:r>
    </w:p>
    <w:p w14:paraId="34936843">
      <w:pPr>
        <w:pStyle w:val="5"/>
      </w:pPr>
      <w:bookmarkStart w:id="23" w:name="左脑优势银行风控西蒙理论"/>
      <w:r>
        <w:t>8.1 左脑优势（银行风控+西蒙理论）</w:t>
      </w:r>
    </w:p>
    <w:p w14:paraId="0E4FE0CF">
      <w:pPr>
        <w:numPr>
          <w:ilvl w:val="0"/>
          <w:numId w:val="1"/>
        </w:numPr>
      </w:pPr>
      <w:r>
        <w:rPr>
          <w:b/>
          <w:bCs/>
        </w:rPr>
        <w:t>量化评估</w:t>
      </w:r>
      <w:r>
        <w:t>：5C评级卡、PFI算法、TRL阶段判定</w:t>
      </w:r>
    </w:p>
    <w:p w14:paraId="09A3E6A0">
      <w:pPr>
        <w:numPr>
          <w:ilvl w:val="0"/>
          <w:numId w:val="1"/>
        </w:numPr>
      </w:pPr>
      <w:r>
        <w:rPr>
          <w:b/>
          <w:bCs/>
        </w:rPr>
        <w:t>概率思维</w:t>
      </w:r>
      <w:r>
        <w:t>：不预测”成功”，只评估”风险可控”</w:t>
      </w:r>
    </w:p>
    <w:p w14:paraId="112BEE39">
      <w:pPr>
        <w:numPr>
          <w:ilvl w:val="0"/>
          <w:numId w:val="1"/>
        </w:numPr>
      </w:pPr>
      <w:r>
        <w:rPr>
          <w:b/>
          <w:bCs/>
        </w:rPr>
        <w:t>责任承担</w:t>
      </w:r>
      <w:r>
        <w:t>：手写”这是我的判断”，承担失误后果</w:t>
      </w:r>
    </w:p>
    <w:bookmarkEnd w:id="23"/>
    <w:p w14:paraId="0D9ACBA1">
      <w:pPr>
        <w:pStyle w:val="5"/>
      </w:pPr>
      <w:bookmarkStart w:id="24" w:name="右脑优势直觉训练躯体信号"/>
      <w:r>
        <w:t>8.2 右脑优势（直觉训练+躯体信号）</w:t>
      </w:r>
    </w:p>
    <w:p w14:paraId="33D7246A">
      <w:pPr>
        <w:numPr>
          <w:ilvl w:val="0"/>
          <w:numId w:val="1"/>
        </w:numPr>
      </w:pPr>
      <w:r>
        <w:rPr>
          <w:b/>
          <w:bCs/>
        </w:rPr>
        <w:t>气场感知</w:t>
      </w:r>
      <w:r>
        <w:t>：科学家与合伙人之间的”化学反应”</w:t>
      </w:r>
    </w:p>
    <w:p w14:paraId="47FCCC85">
      <w:pPr>
        <w:numPr>
          <w:ilvl w:val="0"/>
          <w:numId w:val="1"/>
        </w:numPr>
      </w:pPr>
      <w:r>
        <w:rPr>
          <w:b/>
          <w:bCs/>
        </w:rPr>
        <w:t>躯体信号</w:t>
      </w:r>
      <w:r>
        <w:t>：访谈中的微表情、语调变化、紧张时刻</w:t>
      </w:r>
    </w:p>
    <w:p w14:paraId="74E51C60">
      <w:pPr>
        <w:numPr>
          <w:ilvl w:val="0"/>
          <w:numId w:val="1"/>
        </w:numPr>
      </w:pPr>
      <w:r>
        <w:rPr>
          <w:b/>
          <w:bCs/>
        </w:rPr>
        <w:t>满意标准</w:t>
      </w:r>
      <w:r>
        <w:t>：帮助客户定义”足够好”而非”最优”</w:t>
      </w:r>
    </w:p>
    <w:bookmarkEnd w:id="24"/>
    <w:p w14:paraId="1C45FD8D">
      <w:pPr>
        <w:pStyle w:val="5"/>
      </w:pPr>
      <w:bookmarkStart w:id="25" w:name="人机协同ai增强"/>
      <w:r>
        <w:t>8.3 人机协同（AI增强）</w:t>
      </w:r>
    </w:p>
    <w:p w14:paraId="083BE42A">
      <w:pPr>
        <w:numPr>
          <w:ilvl w:val="0"/>
          <w:numId w:val="1"/>
        </w:numPr>
      </w:pPr>
      <w:r>
        <w:rPr>
          <w:b/>
          <w:bCs/>
        </w:rPr>
        <w:t>AI处理数据</w:t>
      </w:r>
      <w:r>
        <w:t>：信息收集、模式匹配、方案生成</w:t>
      </w:r>
    </w:p>
    <w:p w14:paraId="54F4D3F4">
      <w:pPr>
        <w:numPr>
          <w:ilvl w:val="0"/>
          <w:numId w:val="1"/>
        </w:numPr>
      </w:pPr>
      <w:r>
        <w:rPr>
          <w:b/>
          <w:bCs/>
        </w:rPr>
        <w:t>人类处理意义</w:t>
      </w:r>
      <w:r>
        <w:t>：直觉判断、责任承担、满意标准定义</w:t>
      </w:r>
    </w:p>
    <w:p w14:paraId="7F4919EA">
      <w:pPr>
        <w:numPr>
          <w:ilvl w:val="0"/>
          <w:numId w:val="1"/>
        </w:numPr>
      </w:pPr>
      <w:r>
        <w:rPr>
          <w:b/>
          <w:bCs/>
        </w:rPr>
        <w:t>专家提供深度</w:t>
      </w:r>
      <w:r>
        <w:t>：哲学、数学、技术转移的专业视角</w:t>
      </w:r>
    </w:p>
    <w:p w14:paraId="7B2F8EF1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bookmarkEnd w:id="25"/>
    <w:p w14:paraId="7A55546F">
      <w:pPr>
        <w:pStyle w:val="4"/>
      </w:pPr>
      <w:bookmarkStart w:id="26" w:name="九可直接执行的检查清单checklist"/>
      <w:r>
        <w:t>九、可直接执行的检查清单（Checklist）</w:t>
      </w:r>
    </w:p>
    <w:p w14:paraId="6C2BED5B">
      <w:pPr>
        <w:pStyle w:val="5"/>
      </w:pPr>
      <w:bookmarkStart w:id="27" w:name="本周必须完成7天内"/>
      <w:r>
        <w:t>本周必须完成（7天内）</w:t>
      </w:r>
    </w:p>
    <w:p w14:paraId="242F30CD">
      <w:pPr>
        <w:numPr>
          <w:ilvl w:val="0"/>
          <w:numId w:val="1"/>
        </w:numPr>
      </w:pPr>
      <w:r>
        <w:t>☐ 注册”满意解研究所”公众号，定位”南山科技转化合伙人决策”</w:t>
      </w:r>
    </w:p>
    <w:p w14:paraId="111AE4AF">
      <w:pPr>
        <w:numPr>
          <w:ilvl w:val="0"/>
          <w:numId w:val="1"/>
        </w:numPr>
      </w:pPr>
      <w:r>
        <w:t>☐ 联系西丽湖融创中心，提交入驻申请（首批公共服务机构）</w:t>
      </w:r>
    </w:p>
    <w:p w14:paraId="32DDC673">
      <w:pPr>
        <w:numPr>
          <w:ilvl w:val="0"/>
          <w:numId w:val="1"/>
        </w:numPr>
      </w:pPr>
      <w:r>
        <w:t>☐ 设计TRL自评工具MVP（问卷星，10题）</w:t>
      </w:r>
    </w:p>
    <w:p w14:paraId="4279EDB4">
      <w:pPr>
        <w:numPr>
          <w:ilvl w:val="0"/>
          <w:numId w:val="1"/>
        </w:numPr>
      </w:pPr>
      <w:r>
        <w:t>☐ 列出20个西丽湖科学家创业项目（IT桔子筛选：南山+高校背景+天使轮）</w:t>
      </w:r>
    </w:p>
    <w:p w14:paraId="1802F142">
      <w:pPr>
        <w:numPr>
          <w:ilvl w:val="0"/>
          <w:numId w:val="1"/>
        </w:numPr>
      </w:pPr>
      <w:r>
        <w:t>☐ 联系香港家办协会（HKFOA），了解会员申请流程</w:t>
      </w:r>
    </w:p>
    <w:p w14:paraId="5E25C11F">
      <w:pPr>
        <w:numPr>
          <w:ilvl w:val="0"/>
          <w:numId w:val="1"/>
        </w:numPr>
      </w:pPr>
      <w:r>
        <w:t>☐ 与发小（AI科学家）确认股权合作意向（5-10%）</w:t>
      </w:r>
    </w:p>
    <w:p w14:paraId="778A47F1">
      <w:pPr>
        <w:numPr>
          <w:ilvl w:val="0"/>
          <w:numId w:val="1"/>
        </w:numPr>
      </w:pPr>
      <w:r>
        <w:t>☐ 撰写首篇白皮书框架：《TRL-PFI：深港科技转化合伙人决策模型》</w:t>
      </w:r>
    </w:p>
    <w:bookmarkEnd w:id="27"/>
    <w:p w14:paraId="1DFE881F">
      <w:pPr>
        <w:pStyle w:val="5"/>
      </w:pPr>
      <w:bookmarkStart w:id="28" w:name="本月必须完成30天内"/>
      <w:r>
        <w:t>本月必须完成（30天内）</w:t>
      </w:r>
    </w:p>
    <w:p w14:paraId="546DC412">
      <w:pPr>
        <w:numPr>
          <w:ilvl w:val="0"/>
          <w:numId w:val="1"/>
        </w:numPr>
      </w:pPr>
      <w:r>
        <w:t>☐ 入驻西丽湖融创中心，挂牌”满意解研究所”</w:t>
      </w:r>
    </w:p>
    <w:p w14:paraId="33413A85">
      <w:pPr>
        <w:numPr>
          <w:ilvl w:val="0"/>
          <w:numId w:val="1"/>
        </w:numPr>
      </w:pPr>
      <w:r>
        <w:t>☐ 发布首篇公众号文章，宣布南山锚定战略</w:t>
      </w:r>
    </w:p>
    <w:p w14:paraId="4B4A287C">
      <w:pPr>
        <w:numPr>
          <w:ilvl w:val="0"/>
          <w:numId w:val="1"/>
        </w:numPr>
      </w:pPr>
      <w:r>
        <w:t>☐ 参加1场X-Day路演社活动，现场接触科学家</w:t>
      </w:r>
    </w:p>
    <w:p w14:paraId="5904B166">
      <w:pPr>
        <w:numPr>
          <w:ilvl w:val="0"/>
          <w:numId w:val="1"/>
        </w:numPr>
      </w:pPr>
      <w:r>
        <w:t>☐ 完成首单免费TRL评估，收集反馈</w:t>
      </w:r>
    </w:p>
    <w:p w14:paraId="138435A9">
      <w:pPr>
        <w:numPr>
          <w:ilvl w:val="0"/>
          <w:numId w:val="1"/>
        </w:numPr>
      </w:pPr>
      <w:r>
        <w:t>☐ 与1位前海跨境律师（何青阳类型）建立合作意向</w:t>
      </w:r>
    </w:p>
    <w:p w14:paraId="6666A7C1">
      <w:pPr>
        <w:numPr>
          <w:ilvl w:val="0"/>
          <w:numId w:val="1"/>
        </w:numPr>
      </w:pPr>
      <w:r>
        <w:t>☐ 设计”南山-香港”沙龙框架（6-8人闭门圆桌）</w:t>
      </w:r>
    </w:p>
    <w:p w14:paraId="51FD00AA">
      <w:pPr>
        <w:numPr>
          <w:ilvl w:val="0"/>
          <w:numId w:val="1"/>
        </w:numPr>
      </w:pPr>
      <w:r>
        <w:t>☐ 联系哲学/数学教授，确认免费合作机制（联合署名论文）</w:t>
      </w:r>
    </w:p>
    <w:bookmarkEnd w:id="28"/>
    <w:p w14:paraId="2CC29760">
      <w:pPr>
        <w:pStyle w:val="5"/>
      </w:pPr>
      <w:bookmarkStart w:id="29" w:name="本季度必须完成90天内"/>
      <w:r>
        <w:t>本季度必须完成（90天内）</w:t>
      </w:r>
    </w:p>
    <w:p w14:paraId="5064A980">
      <w:pPr>
        <w:numPr>
          <w:ilvl w:val="0"/>
          <w:numId w:val="1"/>
        </w:numPr>
      </w:pPr>
      <w:r>
        <w:t>☐ 签约首单付费科学家客户（5万+）</w:t>
      </w:r>
    </w:p>
    <w:p w14:paraId="4EE0FBB8">
      <w:pPr>
        <w:numPr>
          <w:ilvl w:val="0"/>
          <w:numId w:val="1"/>
        </w:numPr>
      </w:pPr>
      <w:r>
        <w:t>☐ 建立香港家办初步联系（3-5家）</w:t>
      </w:r>
    </w:p>
    <w:p w14:paraId="211AE777">
      <w:pPr>
        <w:numPr>
          <w:ilvl w:val="0"/>
          <w:numId w:val="1"/>
        </w:numPr>
      </w:pPr>
      <w:r>
        <w:t>☐ 举办首场交叉沙龙（科学家+家办各3人）</w:t>
      </w:r>
    </w:p>
    <w:p w14:paraId="5E975740">
      <w:pPr>
        <w:numPr>
          <w:ilvl w:val="0"/>
          <w:numId w:val="1"/>
        </w:numPr>
      </w:pPr>
      <w:r>
        <w:t>☐ AI工具MVP上线（TRL自评+PFI初评）</w:t>
      </w:r>
    </w:p>
    <w:p w14:paraId="22B62810">
      <w:pPr>
        <w:numPr>
          <w:ilvl w:val="0"/>
          <w:numId w:val="1"/>
        </w:numPr>
      </w:pPr>
      <w:r>
        <w:t>☐ 月入突破1万元，案例3个</w:t>
      </w:r>
    </w:p>
    <w:p w14:paraId="153E74F0">
      <w:pPr>
        <w:numPr>
          <w:ilvl w:val="0"/>
          <w:numId w:val="1"/>
        </w:numPr>
      </w:pPr>
      <w:r>
        <w:t>☐ 购买职业责任保险</w:t>
      </w:r>
    </w:p>
    <w:p w14:paraId="0054C55D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bookmarkEnd w:id="29"/>
    <w:p w14:paraId="4D2E8AA8">
      <w:pPr>
        <w:pStyle w:val="4"/>
      </w:pPr>
      <w:bookmarkStart w:id="30" w:name="十创始人自我说服终极版"/>
      <w:r>
        <w:t>十、创始人自我说服（终极版）</w:t>
      </w:r>
    </w:p>
    <w:p w14:paraId="5492CCF4">
      <w:pPr>
        <w:pStyle w:val="13"/>
      </w:pPr>
      <w:r>
        <w:rPr>
          <w:b/>
          <w:bCs/>
        </w:rPr>
        <w:t>你不是在做一个”咨询顾问”的小生意。</w:t>
      </w:r>
    </w:p>
    <w:p w14:paraId="36204B92">
      <w:pPr>
        <w:pStyle w:val="13"/>
      </w:pPr>
      <w:r>
        <w:rPr>
          <w:b/>
          <w:bCs/>
        </w:rPr>
        <w:t>你是在填补一个国家战略级空白——“河套深港科技创新合作区”的跨境合伙人匹配决策服务。</w:t>
      </w:r>
    </w:p>
    <w:p w14:paraId="631E215F">
      <w:pPr>
        <w:pStyle w:val="13"/>
      </w:pPr>
      <w:r>
        <w:rPr>
          <w:b/>
          <w:bCs/>
        </w:rPr>
        <w:t>你的银行风控背景，让你懂”给风险定价”；你的西蒙理论训练，让你懂”有限理性决策”；你的右脑直觉训练，让你懂”数据之外的气场”；你的深港双城生活，让你成为天然的”跨境信任节点”。</w:t>
      </w:r>
    </w:p>
    <w:p w14:paraId="3D759BED">
      <w:pPr>
        <w:pStyle w:val="13"/>
      </w:pPr>
      <w:r>
        <w:rPr>
          <w:b/>
          <w:bCs/>
        </w:rPr>
        <w:t>西丽湖有160+项目等待转化，香港有2700+家办寻找标的，河套有”四流”便利政策——这是时代给你的窗口期。</w:t>
      </w:r>
    </w:p>
    <w:p w14:paraId="59B290CB">
      <w:pPr>
        <w:pStyle w:val="13"/>
      </w:pPr>
      <w:r>
        <w:rPr>
          <w:b/>
          <w:bCs/>
        </w:rPr>
        <w:t>左脑风控+右脑直觉，这是AI替代不了、律师做不了、猎头不愿做的”高价值决策服务”。</w:t>
      </w:r>
    </w:p>
    <w:p w14:paraId="4554CC0A">
      <w:pPr>
        <w:pStyle w:val="13"/>
      </w:pPr>
      <w:r>
        <w:rPr>
          <w:b/>
          <w:bCs/>
        </w:rPr>
        <w:t>行动，是满意解的第一原则。</w:t>
      </w:r>
    </w:p>
    <w:p w14:paraId="180BEF3D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86E7949">
      <w:pPr>
        <w:pStyle w:val="27"/>
      </w:pPr>
      <w:r>
        <w:rPr>
          <w:b/>
          <w:bCs/>
        </w:rPr>
        <w:t>满意解研究所 · 首席决策顾问</w:t>
      </w:r>
    </w:p>
    <w:p w14:paraId="6F96D6C5">
      <w:pPr>
        <w:pStyle w:val="3"/>
      </w:pPr>
      <w:r>
        <w:rPr>
          <w:b/>
          <w:bCs/>
        </w:rPr>
        <w:t>2026年2月 · V4.0南山锚定版</w:t>
      </w:r>
    </w:p>
    <w:p w14:paraId="030FCAE7">
      <w:pPr>
        <w:pStyle w:val="3"/>
      </w:pPr>
      <w:r>
        <w:rPr>
          <w:b/>
          <w:bCs/>
        </w:rPr>
        <w:t>“立足西丽湖，服务河套，连接香港——做深港科技转化的决策枢纽”</w:t>
      </w:r>
    </w:p>
    <w:p w14:paraId="537A1B49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30"/>
    <w:sectPr>
      <w:headerReference r:id="rId6" w:type="first"/>
      <w:footerReference r:id="rId9" w:type="first"/>
      <w:footerReference r:id="rId7" w:type="default"/>
      <w:headerReference r:id="rId5" w:type="even"/>
      <w:footerReference r:id="rId8" w:type="even"/>
      <w:footnotePr>
        <w:numRestart w:val="eachSect"/>
      </w:footnotePr>
      <w:pgSz w:w="12240" w:h="15840"/>
      <w:pgMar w:top="1440" w:right="1800" w:bottom="1440" w:left="1800" w:header="720" w:footer="1020" w:gutter="0"/>
      <w:pgNumType w:fmt="decimal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Times New Roman (正文 CS 字体)">
    <w:altName w:val="宋体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Times New Roman (标题 CS)">
    <w:altName w:val="宋体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5CB39C">
    <w:pPr>
      <w:pStyle w:val="16"/>
      <w:rPr>
        <w:lang w:eastAsia="zh-CN"/>
      </w:rPr>
    </w:pPr>
    <w:r>
      <w:rPr>
        <w:sz w:val="18"/>
      </w:rPr>
      <w:pict>
        <v:shape id="_x0000_s2049" o:spid="_x0000_s2049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4E3847F6">
                <w:pPr>
                  <w:pStyle w:val="16"/>
                </w:pPr>
                <w:r>
                  <w:t xml:space="preserve">第 </w:t>
                </w: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页 共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t>11</w:t>
                </w:r>
                <w:r>
                  <w:fldChar w:fldCharType="end"/>
                </w:r>
                <w:r>
                  <w:t xml:space="preserve"> 页</w:t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5AF1E9">
    <w:pPr>
      <w:pStyle w:val="1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DE96BA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89BC48">
    <w:pPr>
      <w:pStyle w:val="1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4FE042">
    <w:pPr>
      <w:pStyle w:val="1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footnotePr>
    <w:numRestart w:val="eachSect"/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2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  <w:rsid w:val="3EDB4A95"/>
    <w:rsid w:val="40AF01ED"/>
    <w:rsid w:val="72601F3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Arial" w:hAnsi="Arial" w:eastAsia="宋体" w:cs="Times New Roman (正文 CS 字体)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5"/>
    <w:qFormat/>
    <w:uiPriority w:val="9"/>
    <w:pPr>
      <w:keepNext/>
      <w:keepLines/>
      <w:outlineLvl w:val="0"/>
    </w:pPr>
    <w:rPr>
      <w:rFonts w:eastAsia="黑体" w:cs="Times New Roman (标题 CS)"/>
      <w:sz w:val="30"/>
      <w:szCs w:val="40"/>
    </w:rPr>
  </w:style>
  <w:style w:type="paragraph" w:styleId="4">
    <w:name w:val="heading 2"/>
    <w:basedOn w:val="1"/>
    <w:next w:val="3"/>
    <w:link w:val="36"/>
    <w:semiHidden/>
    <w:unhideWhenUsed/>
    <w:qFormat/>
    <w:uiPriority w:val="9"/>
    <w:pPr>
      <w:keepNext/>
      <w:keepLines/>
      <w:outlineLvl w:val="1"/>
    </w:pPr>
    <w:rPr>
      <w:rFonts w:eastAsia="黑体" w:cs="Times New Roman (标题 CS)"/>
      <w:sz w:val="28"/>
      <w:szCs w:val="32"/>
    </w:rPr>
  </w:style>
  <w:style w:type="paragraph" w:styleId="5">
    <w:name w:val="heading 3"/>
    <w:basedOn w:val="1"/>
    <w:next w:val="3"/>
    <w:link w:val="37"/>
    <w:semiHidden/>
    <w:unhideWhenUsed/>
    <w:qFormat/>
    <w:uiPriority w:val="9"/>
    <w:pPr>
      <w:keepNext/>
      <w:keepLines/>
      <w:outlineLvl w:val="2"/>
    </w:pPr>
    <w:rPr>
      <w:rFonts w:eastAsia="黑体" w:cs="Times New Roman (标题 CS)"/>
      <w:sz w:val="26"/>
      <w:szCs w:val="28"/>
    </w:rPr>
  </w:style>
  <w:style w:type="paragraph" w:styleId="6">
    <w:name w:val="heading 4"/>
    <w:basedOn w:val="5"/>
    <w:next w:val="3"/>
    <w:link w:val="38"/>
    <w:unhideWhenUsed/>
    <w:qFormat/>
    <w:uiPriority w:val="9"/>
    <w:pPr>
      <w:outlineLvl w:val="3"/>
    </w:pPr>
  </w:style>
  <w:style w:type="paragraph" w:styleId="7">
    <w:name w:val="heading 5"/>
    <w:basedOn w:val="6"/>
    <w:next w:val="3"/>
    <w:link w:val="39"/>
    <w:unhideWhenUsed/>
    <w:qFormat/>
    <w:uiPriority w:val="9"/>
    <w:pPr>
      <w:outlineLvl w:val="4"/>
    </w:pPr>
  </w:style>
  <w:style w:type="paragraph" w:styleId="8">
    <w:name w:val="heading 6"/>
    <w:basedOn w:val="7"/>
    <w:next w:val="3"/>
    <w:link w:val="40"/>
    <w:unhideWhenUsed/>
    <w:qFormat/>
    <w:uiPriority w:val="9"/>
    <w:pPr>
      <w:outlineLvl w:val="5"/>
    </w:pPr>
  </w:style>
  <w:style w:type="paragraph" w:styleId="9">
    <w:name w:val="heading 7"/>
    <w:basedOn w:val="8"/>
    <w:next w:val="3"/>
    <w:link w:val="41"/>
    <w:unhideWhenUsed/>
    <w:qFormat/>
    <w:uiPriority w:val="9"/>
    <w:pPr>
      <w:outlineLvl w:val="6"/>
    </w:pPr>
  </w:style>
  <w:style w:type="paragraph" w:styleId="10">
    <w:name w:val="heading 8"/>
    <w:basedOn w:val="9"/>
    <w:next w:val="3"/>
    <w:link w:val="42"/>
    <w:unhideWhenUsed/>
    <w:qFormat/>
    <w:uiPriority w:val="9"/>
    <w:pPr>
      <w:outlineLvl w:val="7"/>
    </w:pPr>
  </w:style>
  <w:style w:type="paragraph" w:styleId="11">
    <w:name w:val="heading 9"/>
    <w:basedOn w:val="10"/>
    <w:next w:val="3"/>
    <w:link w:val="43"/>
    <w:unhideWhenUsed/>
    <w:qFormat/>
    <w:uiPriority w:val="9"/>
    <w:pPr>
      <w:outlineLvl w:val="8"/>
    </w:p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</w:style>
  <w:style w:type="paragraph" w:styleId="12">
    <w:name w:val="caption"/>
    <w:basedOn w:val="1"/>
    <w:link w:val="25"/>
    <w:qFormat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9"/>
    <w:qFormat/>
    <w:uiPriority w:val="10"/>
    <w:pPr>
      <w:contextualSpacing/>
      <w:jc w:val="center"/>
    </w:pPr>
    <w:rPr>
      <w:rFonts w:eastAsia="黑体" w:cs="Times New Roman (标题 CS)"/>
      <w:sz w:val="30"/>
      <w:szCs w:val="56"/>
    </w:rPr>
  </w:style>
  <w:style w:type="paragraph" w:styleId="16">
    <w:name w:val="footer"/>
    <w:basedOn w:val="1"/>
    <w:link w:val="58"/>
    <w:qFormat/>
    <w:uiPriority w:val="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7">
    <w:name w:val="header"/>
    <w:basedOn w:val="1"/>
    <w:link w:val="57"/>
    <w:uiPriority w:val="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8">
    <w:name w:val="Subtitle"/>
    <w:basedOn w:val="15"/>
    <w:next w:val="3"/>
    <w:link w:val="30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9">
    <w:name w:val="footnote text"/>
    <w:basedOn w:val="1"/>
    <w:unhideWhenUsed/>
    <w:qFormat/>
    <w:uiPriority w:val="9"/>
    <w:rPr>
      <w:sz w:val="18"/>
    </w:rPr>
  </w:style>
  <w:style w:type="table" w:styleId="21">
    <w:name w:val="Table Grid"/>
    <w:basedOn w:val="20"/>
    <w:qFormat/>
    <w:uiPriority w:val="0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uiPriority w:val="0"/>
    <w:rPr>
      <w:b/>
    </w:rPr>
  </w:style>
  <w:style w:type="character" w:styleId="24">
    <w:name w:val="Hyperlink"/>
    <w:basedOn w:val="25"/>
    <w:qFormat/>
    <w:uiPriority w:val="0"/>
    <w:rPr>
      <w:color w:val="156082" w:themeColor="accent1"/>
    </w:rPr>
  </w:style>
  <w:style w:type="character" w:customStyle="1" w:styleId="25">
    <w:name w:val="题注 字符"/>
    <w:basedOn w:val="22"/>
    <w:link w:val="12"/>
    <w:uiPriority w:val="0"/>
  </w:style>
  <w:style w:type="character" w:styleId="26">
    <w:name w:val="footnote reference"/>
    <w:basedOn w:val="25"/>
    <w:uiPriority w:val="0"/>
    <w:rPr>
      <w:vertAlign w:val="superscript"/>
    </w:rPr>
  </w:style>
  <w:style w:type="paragraph" w:customStyle="1" w:styleId="27">
    <w:name w:val="First Paragraph"/>
    <w:basedOn w:val="3"/>
    <w:next w:val="3"/>
    <w:qFormat/>
    <w:uiPriority w:val="0"/>
  </w:style>
  <w:style w:type="paragraph" w:customStyle="1" w:styleId="28">
    <w:name w:val="Compact"/>
    <w:basedOn w:val="3"/>
    <w:qFormat/>
    <w:uiPriority w:val="0"/>
    <w:pPr>
      <w:spacing w:before="36" w:after="36"/>
    </w:pPr>
  </w:style>
  <w:style w:type="character" w:customStyle="1" w:styleId="29">
    <w:name w:val="标题 字符"/>
    <w:basedOn w:val="22"/>
    <w:link w:val="15"/>
    <w:qFormat/>
    <w:uiPriority w:val="10"/>
    <w:rPr>
      <w:rFonts w:ascii="Arial" w:hAnsi="Arial" w:eastAsia="黑体" w:cs="Times New Roman (标题 CS)"/>
      <w:sz w:val="30"/>
      <w:szCs w:val="56"/>
    </w:rPr>
  </w:style>
  <w:style w:type="character" w:customStyle="1" w:styleId="30">
    <w:name w:val="副标题 字符"/>
    <w:basedOn w:val="22"/>
    <w:link w:val="18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1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2">
    <w:name w:val="Abstract Title"/>
    <w:basedOn w:val="1"/>
    <w:next w:val="33"/>
    <w:qFormat/>
    <w:uiPriority w:val="0"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33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4">
    <w:name w:val="Bibliography"/>
    <w:basedOn w:val="1"/>
    <w:qFormat/>
    <w:uiPriority w:val="0"/>
  </w:style>
  <w:style w:type="character" w:customStyle="1" w:styleId="35">
    <w:name w:val="标题 1 字符"/>
    <w:basedOn w:val="22"/>
    <w:link w:val="2"/>
    <w:uiPriority w:val="9"/>
    <w:rPr>
      <w:rFonts w:ascii="Arial" w:hAnsi="Arial" w:eastAsia="黑体" w:cs="Times New Roman (标题 CS)"/>
      <w:sz w:val="30"/>
      <w:szCs w:val="40"/>
    </w:rPr>
  </w:style>
  <w:style w:type="character" w:customStyle="1" w:styleId="36">
    <w:name w:val="标题 2 字符"/>
    <w:basedOn w:val="22"/>
    <w:link w:val="4"/>
    <w:semiHidden/>
    <w:qFormat/>
    <w:uiPriority w:val="9"/>
    <w:rPr>
      <w:rFonts w:ascii="Arial" w:hAnsi="Arial" w:eastAsia="黑体" w:cs="Times New Roman (标题 CS)"/>
      <w:sz w:val="28"/>
      <w:szCs w:val="32"/>
    </w:rPr>
  </w:style>
  <w:style w:type="character" w:customStyle="1" w:styleId="37">
    <w:name w:val="标题 3 字符"/>
    <w:basedOn w:val="22"/>
    <w:link w:val="5"/>
    <w:semiHidden/>
    <w:qFormat/>
    <w:uiPriority w:val="9"/>
    <w:rPr>
      <w:rFonts w:ascii="Arial" w:hAnsi="Arial" w:eastAsia="黑体" w:cs="Times New Roman (标题 CS)"/>
      <w:sz w:val="26"/>
      <w:szCs w:val="28"/>
    </w:rPr>
  </w:style>
  <w:style w:type="character" w:customStyle="1" w:styleId="38">
    <w:name w:val="标题 4 字符"/>
    <w:basedOn w:val="22"/>
    <w:link w:val="6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39">
    <w:name w:val="标题 5 字符"/>
    <w:basedOn w:val="22"/>
    <w:link w:val="7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0">
    <w:name w:val="标题 6 字符"/>
    <w:basedOn w:val="22"/>
    <w:link w:val="8"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1">
    <w:name w:val="标题 7 字符"/>
    <w:basedOn w:val="22"/>
    <w:link w:val="9"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2">
    <w:name w:val="标题 8 字符"/>
    <w:basedOn w:val="22"/>
    <w:link w:val="10"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3">
    <w:name w:val="标题 9 字符"/>
    <w:basedOn w:val="22"/>
    <w:link w:val="11"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paragraph" w:customStyle="1" w:styleId="44">
    <w:name w:val="Footnote Block Text"/>
    <w:basedOn w:val="19"/>
    <w:next w:val="19"/>
    <w:unhideWhenUsed/>
    <w:qFormat/>
    <w:uiPriority w:val="9"/>
    <w:pPr>
      <w:spacing w:before="100" w:after="100"/>
      <w:ind w:left="480" w:right="480"/>
    </w:pPr>
  </w:style>
  <w:style w:type="table" w:customStyle="1" w:styleId="45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6">
    <w:name w:val="Definition Term"/>
    <w:basedOn w:val="1"/>
    <w:next w:val="47"/>
    <w:qFormat/>
    <w:uiPriority w:val="0"/>
    <w:pPr>
      <w:keepNext/>
      <w:keepLines/>
    </w:pPr>
    <w:rPr>
      <w:b/>
    </w:rPr>
  </w:style>
  <w:style w:type="paragraph" w:customStyle="1" w:styleId="47">
    <w:name w:val="Definition"/>
    <w:basedOn w:val="1"/>
    <w:qFormat/>
    <w:uiPriority w:val="0"/>
  </w:style>
  <w:style w:type="paragraph" w:customStyle="1" w:styleId="48">
    <w:name w:val="Table Caption"/>
    <w:basedOn w:val="12"/>
    <w:uiPriority w:val="0"/>
    <w:pPr>
      <w:keepNext/>
      <w:spacing w:after="0"/>
      <w:jc w:val="center"/>
    </w:pPr>
    <w:rPr>
      <w:i w:val="0"/>
      <w:sz w:val="20"/>
    </w:rPr>
  </w:style>
  <w:style w:type="paragraph" w:customStyle="1" w:styleId="49">
    <w:name w:val="Image Caption"/>
    <w:basedOn w:val="12"/>
    <w:qFormat/>
    <w:uiPriority w:val="0"/>
    <w:pPr>
      <w:spacing w:after="0"/>
      <w:jc w:val="center"/>
    </w:pPr>
    <w:rPr>
      <w:i w:val="0"/>
      <w:sz w:val="20"/>
    </w:rPr>
  </w:style>
  <w:style w:type="paragraph" w:customStyle="1" w:styleId="50">
    <w:name w:val="Figure"/>
    <w:basedOn w:val="1"/>
    <w:qFormat/>
    <w:uiPriority w:val="0"/>
  </w:style>
  <w:style w:type="paragraph" w:customStyle="1" w:styleId="51">
    <w:name w:val="Captioned Figure"/>
    <w:basedOn w:val="50"/>
    <w:qFormat/>
    <w:uiPriority w:val="0"/>
    <w:pPr>
      <w:keepNext/>
    </w:pPr>
  </w:style>
  <w:style w:type="character" w:customStyle="1" w:styleId="52">
    <w:name w:val="Verbatim Char"/>
    <w:basedOn w:val="25"/>
    <w:link w:val="53"/>
    <w:qFormat/>
    <w:uiPriority w:val="0"/>
    <w:rPr>
      <w:rFonts w:ascii="Consolas" w:hAnsi="Consolas"/>
      <w:sz w:val="22"/>
    </w:rPr>
  </w:style>
  <w:style w:type="paragraph" w:customStyle="1" w:styleId="53">
    <w:name w:val="Source Code"/>
    <w:link w:val="52"/>
    <w:qFormat/>
    <w:uiPriority w:val="0"/>
    <w:pPr>
      <w:wordWrap w:val="0"/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customStyle="1" w:styleId="54">
    <w:name w:val="Section Number"/>
    <w:basedOn w:val="25"/>
    <w:qFormat/>
    <w:uiPriority w:val="0"/>
  </w:style>
  <w:style w:type="paragraph" w:customStyle="1" w:styleId="55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</w:rPr>
  </w:style>
  <w:style w:type="paragraph" w:styleId="56">
    <w:name w:val="List Paragraph"/>
    <w:basedOn w:val="3"/>
    <w:qFormat/>
    <w:uiPriority w:val="0"/>
    <w:pPr>
      <w:ind w:firstLine="420" w:firstLineChars="200"/>
    </w:pPr>
  </w:style>
  <w:style w:type="character" w:customStyle="1" w:styleId="57">
    <w:name w:val="页眉 字符"/>
    <w:basedOn w:val="22"/>
    <w:link w:val="17"/>
    <w:qFormat/>
    <w:uiPriority w:val="0"/>
    <w:rPr>
      <w:rFonts w:ascii="Arial" w:hAnsi="Arial" w:eastAsia="宋体" w:cs="Times New Roman (正文 CS 字体)"/>
      <w:sz w:val="18"/>
      <w:szCs w:val="18"/>
    </w:rPr>
  </w:style>
  <w:style w:type="character" w:customStyle="1" w:styleId="58">
    <w:name w:val="页脚 字符"/>
    <w:basedOn w:val="22"/>
    <w:link w:val="16"/>
    <w:qFormat/>
    <w:uiPriority w:val="0"/>
    <w:rPr>
      <w:rFonts w:ascii="Arial" w:hAnsi="Arial" w:eastAsia="宋体" w:cs="Times New Roman (正文 CS 字体)"/>
      <w:sz w:val="18"/>
      <w:szCs w:val="18"/>
    </w:rPr>
  </w:style>
  <w:style w:type="character" w:customStyle="1" w:styleId="59">
    <w:name w:val="KeywordTok"/>
    <w:basedOn w:val="52"/>
    <w:qFormat/>
    <w:uiPriority w:val="0"/>
    <w:rPr>
      <w:b/>
      <w:color w:val="007020"/>
    </w:rPr>
  </w:style>
  <w:style w:type="character" w:customStyle="1" w:styleId="60">
    <w:name w:val="DataTypeTok"/>
    <w:basedOn w:val="52"/>
    <w:uiPriority w:val="0"/>
    <w:rPr>
      <w:color w:val="902000"/>
    </w:rPr>
  </w:style>
  <w:style w:type="character" w:customStyle="1" w:styleId="61">
    <w:name w:val="DecValTok"/>
    <w:basedOn w:val="52"/>
    <w:qFormat/>
    <w:uiPriority w:val="0"/>
    <w:rPr>
      <w:color w:val="40A070"/>
    </w:rPr>
  </w:style>
  <w:style w:type="character" w:customStyle="1" w:styleId="62">
    <w:name w:val="BaseNTok"/>
    <w:basedOn w:val="52"/>
    <w:uiPriority w:val="0"/>
    <w:rPr>
      <w:color w:val="40A070"/>
    </w:rPr>
  </w:style>
  <w:style w:type="character" w:customStyle="1" w:styleId="63">
    <w:name w:val="FloatTok"/>
    <w:basedOn w:val="52"/>
    <w:qFormat/>
    <w:uiPriority w:val="0"/>
    <w:rPr>
      <w:color w:val="40A070"/>
    </w:rPr>
  </w:style>
  <w:style w:type="character" w:customStyle="1" w:styleId="64">
    <w:name w:val="ConstantTok"/>
    <w:basedOn w:val="52"/>
    <w:uiPriority w:val="0"/>
    <w:rPr>
      <w:color w:val="880000"/>
    </w:rPr>
  </w:style>
  <w:style w:type="character" w:customStyle="1" w:styleId="65">
    <w:name w:val="CharTok"/>
    <w:basedOn w:val="52"/>
    <w:qFormat/>
    <w:uiPriority w:val="0"/>
    <w:rPr>
      <w:color w:val="4070A0"/>
    </w:rPr>
  </w:style>
  <w:style w:type="character" w:customStyle="1" w:styleId="66">
    <w:name w:val="SpecialCharTok"/>
    <w:basedOn w:val="52"/>
    <w:uiPriority w:val="0"/>
    <w:rPr>
      <w:color w:val="4070A0"/>
    </w:rPr>
  </w:style>
  <w:style w:type="character" w:customStyle="1" w:styleId="67">
    <w:name w:val="StringTok"/>
    <w:basedOn w:val="52"/>
    <w:qFormat/>
    <w:uiPriority w:val="0"/>
    <w:rPr>
      <w:color w:val="4070A0"/>
    </w:rPr>
  </w:style>
  <w:style w:type="character" w:customStyle="1" w:styleId="68">
    <w:name w:val="VerbatimStringTok"/>
    <w:basedOn w:val="52"/>
    <w:qFormat/>
    <w:uiPriority w:val="0"/>
    <w:rPr>
      <w:color w:val="4070A0"/>
    </w:rPr>
  </w:style>
  <w:style w:type="character" w:customStyle="1" w:styleId="69">
    <w:name w:val="SpecialStringTok"/>
    <w:basedOn w:val="52"/>
    <w:qFormat/>
    <w:uiPriority w:val="0"/>
    <w:rPr>
      <w:color w:val="BB6688"/>
    </w:rPr>
  </w:style>
  <w:style w:type="character" w:customStyle="1" w:styleId="70">
    <w:name w:val="ImportTok"/>
    <w:basedOn w:val="52"/>
    <w:qFormat/>
    <w:uiPriority w:val="0"/>
    <w:rPr>
      <w:b/>
      <w:color w:val="008000"/>
    </w:rPr>
  </w:style>
  <w:style w:type="character" w:customStyle="1" w:styleId="71">
    <w:name w:val="CommentTok"/>
    <w:basedOn w:val="52"/>
    <w:uiPriority w:val="0"/>
    <w:rPr>
      <w:i/>
      <w:color w:val="60A0B0"/>
    </w:rPr>
  </w:style>
  <w:style w:type="character" w:customStyle="1" w:styleId="72">
    <w:name w:val="DocumentationTok"/>
    <w:basedOn w:val="52"/>
    <w:qFormat/>
    <w:uiPriority w:val="0"/>
    <w:rPr>
      <w:i/>
      <w:color w:val="BA2121"/>
    </w:rPr>
  </w:style>
  <w:style w:type="character" w:customStyle="1" w:styleId="73">
    <w:name w:val="AnnotationTok"/>
    <w:basedOn w:val="52"/>
    <w:qFormat/>
    <w:uiPriority w:val="0"/>
    <w:rPr>
      <w:b/>
      <w:i/>
      <w:color w:val="60A0B0"/>
    </w:rPr>
  </w:style>
  <w:style w:type="character" w:customStyle="1" w:styleId="74">
    <w:name w:val="CommentVarTok"/>
    <w:basedOn w:val="52"/>
    <w:uiPriority w:val="0"/>
    <w:rPr>
      <w:b/>
      <w:i/>
      <w:color w:val="60A0B0"/>
    </w:rPr>
  </w:style>
  <w:style w:type="character" w:customStyle="1" w:styleId="75">
    <w:name w:val="OtherTok"/>
    <w:basedOn w:val="52"/>
    <w:uiPriority w:val="0"/>
    <w:rPr>
      <w:color w:val="007020"/>
    </w:rPr>
  </w:style>
  <w:style w:type="character" w:customStyle="1" w:styleId="76">
    <w:name w:val="FunctionTok"/>
    <w:basedOn w:val="52"/>
    <w:uiPriority w:val="0"/>
    <w:rPr>
      <w:color w:val="06287E"/>
    </w:rPr>
  </w:style>
  <w:style w:type="character" w:customStyle="1" w:styleId="77">
    <w:name w:val="VariableTok"/>
    <w:basedOn w:val="52"/>
    <w:qFormat/>
    <w:uiPriority w:val="0"/>
    <w:rPr>
      <w:color w:val="19177C"/>
    </w:rPr>
  </w:style>
  <w:style w:type="character" w:customStyle="1" w:styleId="78">
    <w:name w:val="ControlFlowTok"/>
    <w:basedOn w:val="52"/>
    <w:qFormat/>
    <w:uiPriority w:val="0"/>
    <w:rPr>
      <w:b/>
      <w:color w:val="007020"/>
    </w:rPr>
  </w:style>
  <w:style w:type="character" w:customStyle="1" w:styleId="79">
    <w:name w:val="OperatorTok"/>
    <w:basedOn w:val="52"/>
    <w:qFormat/>
    <w:uiPriority w:val="0"/>
    <w:rPr>
      <w:color w:val="666666"/>
    </w:rPr>
  </w:style>
  <w:style w:type="character" w:customStyle="1" w:styleId="80">
    <w:name w:val="BuiltInTok"/>
    <w:basedOn w:val="52"/>
    <w:qFormat/>
    <w:uiPriority w:val="0"/>
    <w:rPr>
      <w:color w:val="008000"/>
    </w:rPr>
  </w:style>
  <w:style w:type="character" w:customStyle="1" w:styleId="81">
    <w:name w:val="ExtensionTok"/>
    <w:basedOn w:val="52"/>
    <w:qFormat/>
    <w:uiPriority w:val="0"/>
  </w:style>
  <w:style w:type="character" w:customStyle="1" w:styleId="82">
    <w:name w:val="PreprocessorTok"/>
    <w:basedOn w:val="52"/>
    <w:uiPriority w:val="0"/>
    <w:rPr>
      <w:color w:val="BC7A00"/>
    </w:rPr>
  </w:style>
  <w:style w:type="character" w:customStyle="1" w:styleId="83">
    <w:name w:val="AttributeTok"/>
    <w:basedOn w:val="52"/>
    <w:qFormat/>
    <w:uiPriority w:val="0"/>
    <w:rPr>
      <w:color w:val="7D9029"/>
    </w:rPr>
  </w:style>
  <w:style w:type="character" w:customStyle="1" w:styleId="84">
    <w:name w:val="RegionMarkerTok"/>
    <w:basedOn w:val="52"/>
    <w:qFormat/>
    <w:uiPriority w:val="0"/>
  </w:style>
  <w:style w:type="character" w:customStyle="1" w:styleId="85">
    <w:name w:val="InformationTok"/>
    <w:basedOn w:val="52"/>
    <w:qFormat/>
    <w:uiPriority w:val="0"/>
    <w:rPr>
      <w:b/>
      <w:i/>
      <w:color w:val="60A0B0"/>
    </w:rPr>
  </w:style>
  <w:style w:type="character" w:customStyle="1" w:styleId="86">
    <w:name w:val="WarningTok"/>
    <w:basedOn w:val="52"/>
    <w:qFormat/>
    <w:uiPriority w:val="0"/>
    <w:rPr>
      <w:b/>
      <w:i/>
      <w:color w:val="60A0B0"/>
    </w:rPr>
  </w:style>
  <w:style w:type="character" w:customStyle="1" w:styleId="87">
    <w:name w:val="AlertTok"/>
    <w:basedOn w:val="52"/>
    <w:qFormat/>
    <w:uiPriority w:val="0"/>
    <w:rPr>
      <w:b/>
      <w:color w:val="FF0000"/>
    </w:rPr>
  </w:style>
  <w:style w:type="character" w:customStyle="1" w:styleId="88">
    <w:name w:val="ErrorTok"/>
    <w:basedOn w:val="52"/>
    <w:qFormat/>
    <w:uiPriority w:val="0"/>
    <w:rPr>
      <w:b/>
      <w:color w:val="FF0000"/>
    </w:rPr>
  </w:style>
  <w:style w:type="character" w:customStyle="1" w:styleId="89">
    <w:name w:val="NormalTok"/>
    <w:basedOn w:val="52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2434</Words>
  <Characters>2756</Characters>
  <Lines>3</Lines>
  <Paragraphs>1</Paragraphs>
  <TotalTime>10</TotalTime>
  <ScaleCrop>false</ScaleCrop>
  <LinksUpToDate>false</LinksUpToDate>
  <CharactersWithSpaces>2852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2026-02-25T05:04:00Z</dcterms:created>
  <dc:creator>刘华斌 Egbert Lau</dc:creator>
  <cp:lastModifiedBy>刘华斌 Egbert Lau</cp:lastModifiedBy>
  <dcterms:modified xsi:type="dcterms:W3CDTF">2026-02-25T05:18:00Z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ntqnesudu6262glarp0-19c93072-c8a2-81dc-8000-09032653762d-20260225050419","ReservedCode1":"","ContentPropagator":"001191110108MACG2KBH8F20000","PropagateID":"cntqnesudu6262glarp0-19c93072-c8a2-81dc-8000-09032653762d-20260225050419","ReservedCode2":""}</vt:lpwstr>
  </property>
  <property fmtid="{D5CDD505-2E9C-101B-9397-08002B2CF9AE}" pid="3" name="KSOTemplateDocerSaveRecord">
    <vt:lpwstr>eyJoZGlkIjoiMTQ3YmVlMWE2NDU2NjNmOGRhZWQ3ZDY0YzNlODJmOTUiLCJ1c2VySWQiOiIyMjQ3NDQ4ODIifQ==</vt:lpwstr>
  </property>
  <property fmtid="{D5CDD505-2E9C-101B-9397-08002B2CF9AE}" pid="4" name="KSOProductBuildVer">
    <vt:lpwstr>2052-12.1.0.24657</vt:lpwstr>
  </property>
  <property fmtid="{D5CDD505-2E9C-101B-9397-08002B2CF9AE}" pid="5" name="ICV">
    <vt:lpwstr>0BD0F765360F46C7B2A70B2491C16128_12</vt:lpwstr>
  </property>
</Properties>
</file>