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859A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下面我将扮演七个不同的反方角色，对您的《满意解研究所V0.9》方案提出尖锐质疑。每个质疑后，我会给出应对策略（即您如何回应或提前规避），帮助您预判风险、完善方案。</w:t>
      </w:r>
    </w:p>
    <w:p w14:paraId="70E1F180">
      <w:pPr>
        <w:spacing w:line="360" w:lineRule="auto"/>
        <w:rPr>
          <w:rFonts w:hint="eastAsia"/>
          <w:sz w:val="24"/>
          <w:szCs w:val="32"/>
        </w:rPr>
      </w:pPr>
    </w:p>
    <w:p w14:paraId="67B1CA5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  <w:bookmarkStart w:id="0" w:name="_GoBack"/>
      <w:bookmarkEnd w:id="0"/>
    </w:p>
    <w:p w14:paraId="3751FE31">
      <w:pPr>
        <w:spacing w:line="360" w:lineRule="auto"/>
        <w:rPr>
          <w:rFonts w:hint="eastAsia"/>
          <w:sz w:val="24"/>
          <w:szCs w:val="32"/>
        </w:rPr>
      </w:pPr>
    </w:p>
    <w:p w14:paraId="09BB48D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反方一：风险投资人</w:t>
      </w:r>
    </w:p>
    <w:p w14:paraId="64D0F2AD">
      <w:pPr>
        <w:spacing w:line="360" w:lineRule="auto"/>
        <w:rPr>
          <w:rFonts w:hint="eastAsia"/>
          <w:sz w:val="24"/>
          <w:szCs w:val="32"/>
        </w:rPr>
      </w:pPr>
    </w:p>
    <w:p w14:paraId="4DF4E696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质疑1：市场天花板过低，难有爆发性增长</w:t>
      </w:r>
    </w:p>
    <w:p w14:paraId="4434AA7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“您瞄准的年营收3000万-1亿民企，全国也就3万家，年决策事件6000个。就算您渗透率做到5%，也就300个客户，按客单价20万算，年营收6000万。这还是一个非常细分的利基市场，很难做到10亿级规模，我们投的就是天花板。”</w:t>
      </w:r>
    </w:p>
    <w:p w14:paraId="6422E52E">
      <w:pPr>
        <w:spacing w:line="360" w:lineRule="auto"/>
        <w:rPr>
          <w:rFonts w:hint="eastAsia"/>
          <w:sz w:val="24"/>
          <w:szCs w:val="32"/>
        </w:rPr>
      </w:pPr>
    </w:p>
    <w:p w14:paraId="6629D02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盲区：只计算了直接合伙人决策服务，未考虑延伸市场（如高管团队评估、二代接班治理、企业并购后整合等）和产品化（SaaS工具、认证课程）的放大效应。</w:t>
      </w:r>
    </w:p>
    <w:p w14:paraId="51ACBC13">
      <w:pPr>
        <w:spacing w:line="360" w:lineRule="auto"/>
        <w:rPr>
          <w:rFonts w:hint="eastAsia"/>
          <w:sz w:val="24"/>
          <w:szCs w:val="32"/>
        </w:rPr>
      </w:pPr>
    </w:p>
    <w:p w14:paraId="0BCCE5B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40BF943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承认当前市场为“核心利基”，但强调这是高壁垒的入口市场，可逐步延伸至“核心高管团队治理”全场景，市场空间扩大5倍。</w:t>
      </w:r>
    </w:p>
    <w:p w14:paraId="2D59242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同时规划第二曲线：决策工具SaaS化（如合伙人评估系统按年费订阅），认证教练培训（培养100名认证顾问，分润），目标市场从“服务企业”转向“赋能行业”，3年可触达市场达5亿。</w:t>
      </w:r>
    </w:p>
    <w:p w14:paraId="1BC48F6F">
      <w:pPr>
        <w:spacing w:line="360" w:lineRule="auto"/>
        <w:rPr>
          <w:rFonts w:hint="eastAsia"/>
          <w:sz w:val="24"/>
          <w:szCs w:val="32"/>
        </w:rPr>
      </w:pPr>
    </w:p>
    <w:p w14:paraId="5FCE4A65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质疑2：过度依赖创始人个人IP，可复制性存疑</w:t>
      </w:r>
    </w:p>
    <w:p w14:paraId="70400A6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“所有服务都围绕您一个人：您的银行背景、您的人脉、您的个人品牌。万一您生病或精力不济，公司立刻停摆。这种项目很难做大，我们投的是系统，不是个人。”</w:t>
      </w:r>
    </w:p>
    <w:p w14:paraId="49FBAC8C">
      <w:pPr>
        <w:spacing w:line="360" w:lineRule="auto"/>
        <w:rPr>
          <w:rFonts w:hint="eastAsia"/>
          <w:sz w:val="24"/>
          <w:szCs w:val="32"/>
        </w:rPr>
      </w:pPr>
    </w:p>
    <w:p w14:paraId="41C1E5D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盲区：没有设计知识转移和团队培养机制。</w:t>
      </w:r>
    </w:p>
    <w:p w14:paraId="03157A53">
      <w:pPr>
        <w:spacing w:line="360" w:lineRule="auto"/>
        <w:rPr>
          <w:rFonts w:hint="eastAsia"/>
          <w:sz w:val="24"/>
          <w:szCs w:val="32"/>
        </w:rPr>
      </w:pPr>
    </w:p>
    <w:p w14:paraId="5050E5C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14828ED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首年以个人IP启动是刻意选择，目的是低成本验证模式。第2年即启动“方法论产品化”：将评估流程、评级卡、访谈框架固化为SOP手册和培训课程，培养第一位认证顾问（可以是早期客户或合作伙伴）。</w:t>
      </w:r>
    </w:p>
    <w:p w14:paraId="6F04E08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同时规划“满意解教练认证体系”，第3年实现非创始人交付占比超过50%。融资后将用于招募核心合伙人，建立交付中台。</w:t>
      </w:r>
    </w:p>
    <w:p w14:paraId="6C76A718">
      <w:pPr>
        <w:spacing w:line="360" w:lineRule="auto"/>
        <w:rPr>
          <w:rFonts w:hint="eastAsia"/>
          <w:sz w:val="24"/>
          <w:szCs w:val="32"/>
        </w:rPr>
      </w:pPr>
    </w:p>
    <w:p w14:paraId="50015B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</w:p>
    <w:p w14:paraId="6903D94D">
      <w:pPr>
        <w:spacing w:line="360" w:lineRule="auto"/>
        <w:rPr>
          <w:rFonts w:hint="eastAsia"/>
          <w:sz w:val="24"/>
          <w:szCs w:val="32"/>
        </w:rPr>
      </w:pPr>
    </w:p>
    <w:p w14:paraId="31F3BB5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反方二：潜在客户（年营收8000万的制造企业创始人）</w:t>
      </w:r>
    </w:p>
    <w:p w14:paraId="5FC33E65">
      <w:pPr>
        <w:spacing w:line="360" w:lineRule="auto"/>
        <w:rPr>
          <w:rFonts w:hint="eastAsia"/>
          <w:sz w:val="24"/>
          <w:szCs w:val="32"/>
        </w:rPr>
      </w:pPr>
    </w:p>
    <w:p w14:paraId="79E5036D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质疑1：5.8万一次评估，我能直接招一个年薪20万的HRD，让他负责高管招聘和评估，长期更划算</w:t>
      </w:r>
    </w:p>
    <w:p w14:paraId="7D7D55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“您这服务是一次性的，我招个HRD可以长期用，还能帮我做组织建设。为什么我要花这笔钱？”</w:t>
      </w:r>
    </w:p>
    <w:p w14:paraId="2265BE2A">
      <w:pPr>
        <w:spacing w:line="360" w:lineRule="auto"/>
        <w:rPr>
          <w:rFonts w:hint="eastAsia"/>
          <w:sz w:val="24"/>
          <w:szCs w:val="32"/>
        </w:rPr>
      </w:pPr>
    </w:p>
    <w:p w14:paraId="54C4713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盲区：没有区分“决策咨询”与“职能外包”的价值。</w:t>
      </w:r>
    </w:p>
    <w:p w14:paraId="5EE13F0A">
      <w:pPr>
        <w:spacing w:line="360" w:lineRule="auto"/>
        <w:rPr>
          <w:rFonts w:hint="eastAsia"/>
          <w:sz w:val="24"/>
          <w:szCs w:val="32"/>
        </w:rPr>
      </w:pPr>
    </w:p>
    <w:p w14:paraId="5B0DFD1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37A7826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反问：“您招的HRD，敢在股权协议上签‘不满意全额退款’吗？他评估错了，您能扣他工资吗？” 强调您的服务是决策责任承担，HRD是执行者，您是外部风险对冲。</w:t>
      </w:r>
    </w:p>
    <w:p w14:paraId="60BDB19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计算隐性成本：HRD年薪20万+社保+管理成本，总成本30万，且需要3-6个月磨合才能发挥作用。而您5.8万即可在2周内为一次关键决策提供专业判断，且不满意退款，相当于零风险试错。</w:t>
      </w:r>
    </w:p>
    <w:p w14:paraId="6BA1112E">
      <w:pPr>
        <w:spacing w:line="360" w:lineRule="auto"/>
        <w:rPr>
          <w:rFonts w:hint="eastAsia"/>
          <w:sz w:val="24"/>
          <w:szCs w:val="32"/>
        </w:rPr>
      </w:pPr>
    </w:p>
    <w:p w14:paraId="3B59884B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质疑2：您说的那些理论（西蒙、5C模型），听起来很专业，但怎么保证效果？万一我按您的建议引入了，结果人不行，您就退5.8万，但我损失的可能是一年时间、团队士气、机会成本，这点退款根本不够！</w:t>
      </w:r>
    </w:p>
    <w:p w14:paraId="7DA6E5D3">
      <w:pPr>
        <w:spacing w:line="360" w:lineRule="auto"/>
        <w:rPr>
          <w:rFonts w:hint="eastAsia"/>
          <w:sz w:val="24"/>
          <w:szCs w:val="32"/>
        </w:rPr>
      </w:pPr>
    </w:p>
    <w:p w14:paraId="0A67D55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盲区：没有量化“决策失败”的间接损失，也没有提供跟踪服务。</w:t>
      </w:r>
    </w:p>
    <w:p w14:paraId="406FB388">
      <w:pPr>
        <w:spacing w:line="360" w:lineRule="auto"/>
        <w:rPr>
          <w:rFonts w:hint="eastAsia"/>
          <w:sz w:val="24"/>
          <w:szCs w:val="32"/>
        </w:rPr>
      </w:pPr>
    </w:p>
    <w:p w14:paraId="64D3BB3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1027E23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承认5.8万无法覆盖所有损失，但强调事前评估能大幅降低失败概率，而非100%保证。同时可设计 “效果对赌” ：若候选人入职6个月内因能力问题被辞退（需第三方评估），退还评估费外，再提供一次免费评估作为补偿。</w:t>
      </w:r>
    </w:p>
    <w:p w14:paraId="17EB6D9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更关键的是，服务中强调风险对冲机制，如入职后提供“90天陪跑”服务（额外收费），降低磨合失败概率。</w:t>
      </w:r>
    </w:p>
    <w:p w14:paraId="36B89303">
      <w:pPr>
        <w:spacing w:line="360" w:lineRule="auto"/>
        <w:rPr>
          <w:rFonts w:hint="eastAsia"/>
          <w:sz w:val="24"/>
          <w:szCs w:val="32"/>
        </w:rPr>
      </w:pPr>
    </w:p>
    <w:p w14:paraId="05CDEF6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</w:p>
    <w:p w14:paraId="6B22C5AF">
      <w:pPr>
        <w:spacing w:line="360" w:lineRule="auto"/>
        <w:rPr>
          <w:rFonts w:hint="eastAsia"/>
          <w:sz w:val="24"/>
          <w:szCs w:val="32"/>
        </w:rPr>
      </w:pPr>
    </w:p>
    <w:p w14:paraId="3927A41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反方三：渠道伙伴（律所合伙人）</w:t>
      </w:r>
    </w:p>
    <w:p w14:paraId="7E62F72D">
      <w:pPr>
        <w:spacing w:line="360" w:lineRule="auto"/>
        <w:rPr>
          <w:rFonts w:hint="eastAsia"/>
          <w:sz w:val="24"/>
          <w:szCs w:val="32"/>
        </w:rPr>
      </w:pPr>
    </w:p>
    <w:p w14:paraId="72668D9B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质疑1：推荐客户给你，万一你把我的客户搞砸了，影响我的长期信任</w:t>
      </w:r>
    </w:p>
    <w:p w14:paraId="6129907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“我的客户都是跟了多年的老客户，我把你推荐给他们做合伙人评估，结果你介入后，客户反而觉得我在中间拿回扣，或者你建议他们不合伙，他们埋怨我介绍了不靠谱的人。我承担的风险远大于那10%返佣。”</w:t>
      </w:r>
    </w:p>
    <w:p w14:paraId="2F347E39">
      <w:pPr>
        <w:spacing w:line="360" w:lineRule="auto"/>
        <w:rPr>
          <w:rFonts w:hint="eastAsia"/>
          <w:sz w:val="24"/>
          <w:szCs w:val="32"/>
        </w:rPr>
      </w:pPr>
    </w:p>
    <w:p w14:paraId="5177752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盲区：渠道合作的核心不是返佣，而是为渠道增值。</w:t>
      </w:r>
    </w:p>
    <w:p w14:paraId="28080C99">
      <w:pPr>
        <w:spacing w:line="360" w:lineRule="auto"/>
        <w:rPr>
          <w:rFonts w:hint="eastAsia"/>
          <w:sz w:val="24"/>
          <w:szCs w:val="32"/>
        </w:rPr>
      </w:pPr>
    </w:p>
    <w:p w14:paraId="733FEB7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56A19E4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设计 “渠道赋能方案” ：您免费为律所提供“合伙人纠纷预防”专题讲座，提升律所在客户心中的专业形象；您出具的评估报告可作为律所后续法律服务的前置证据，增强律所谈判地位。</w:t>
      </w:r>
    </w:p>
    <w:p w14:paraId="6322653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返佣改为 “智力引荐费” ，并签订保密协议，明确您只提供决策咨询，不介入法律事务。同时向客户坦诚与律所的合作关系，避免信任危机。</w:t>
      </w:r>
    </w:p>
    <w:p w14:paraId="614923A2">
      <w:pPr>
        <w:spacing w:line="360" w:lineRule="auto"/>
        <w:rPr>
          <w:rFonts w:hint="eastAsia"/>
          <w:sz w:val="24"/>
          <w:szCs w:val="32"/>
        </w:rPr>
      </w:pPr>
    </w:p>
    <w:p w14:paraId="4A9B9864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质疑2：您服务的客户是“窗口期”的，但我接触的客户很多已经矛盾爆发，直接要打官司了，这种你怎么接？</w:t>
      </w:r>
    </w:p>
    <w:p w14:paraId="6F556E3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“窗口期太短，大部分客户找到我们时已经撕破脸了，那时候您能做什么？”</w:t>
      </w:r>
    </w:p>
    <w:p w14:paraId="07264E34">
      <w:pPr>
        <w:spacing w:line="360" w:lineRule="auto"/>
        <w:rPr>
          <w:rFonts w:hint="eastAsia"/>
          <w:sz w:val="24"/>
          <w:szCs w:val="32"/>
        </w:rPr>
      </w:pPr>
    </w:p>
    <w:p w14:paraId="5CD256E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盲区：忽略了“已爆发冲突”场景的服务机会。</w:t>
      </w:r>
    </w:p>
    <w:p w14:paraId="2F6E6A2D">
      <w:pPr>
        <w:spacing w:line="360" w:lineRule="auto"/>
        <w:rPr>
          <w:rFonts w:hint="eastAsia"/>
          <w:sz w:val="24"/>
          <w:szCs w:val="32"/>
        </w:rPr>
      </w:pPr>
    </w:p>
    <w:p w14:paraId="204C13D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1F38F1B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事实上，已爆发冲突时，您仍可作为 “分手调解顾问” 介入，帮助双方评估分手成本、设计清算方案、降低对抗情绪，甚至促成好聚好散。这同样是高价值服务，且律师需要这样的角色来降低诉讼难度。</w:t>
      </w:r>
    </w:p>
    <w:p w14:paraId="0A8F138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可将服务延展至“合伙人退出诊断”，定价可更高（10万+）。这样渠道合作场景从窗口期延伸到整个冲突周期，合作基础更稳固。</w:t>
      </w:r>
    </w:p>
    <w:p w14:paraId="7CD311D6">
      <w:pPr>
        <w:spacing w:line="360" w:lineRule="auto"/>
        <w:rPr>
          <w:rFonts w:hint="eastAsia"/>
          <w:sz w:val="24"/>
          <w:szCs w:val="32"/>
        </w:rPr>
      </w:pPr>
    </w:p>
    <w:p w14:paraId="1AC21FD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</w:p>
    <w:p w14:paraId="720B582E">
      <w:pPr>
        <w:spacing w:line="360" w:lineRule="auto"/>
        <w:rPr>
          <w:rFonts w:hint="eastAsia"/>
          <w:sz w:val="24"/>
          <w:szCs w:val="32"/>
        </w:rPr>
      </w:pPr>
    </w:p>
    <w:p w14:paraId="199DD13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反方四：管理咨询行业专家（原麦肯锡顾问）</w:t>
      </w:r>
    </w:p>
    <w:p w14:paraId="3347EAA0">
      <w:pPr>
        <w:spacing w:line="360" w:lineRule="auto"/>
        <w:rPr>
          <w:rFonts w:hint="eastAsia"/>
          <w:sz w:val="24"/>
          <w:szCs w:val="32"/>
        </w:rPr>
      </w:pPr>
    </w:p>
    <w:p w14:paraId="4F8A097E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质疑1：您的方法论本质上还是“经验模型”，缺乏大规模数据验证</w:t>
      </w:r>
    </w:p>
    <w:p w14:paraId="2AE20BE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“您那个5C评级卡，权重赋值依据是什么？品德12分、资本13分，这些数字拍脑袋定的吧？没有常模数据，没有信效度检验，在科学决策时代站不住脚。”</w:t>
      </w:r>
    </w:p>
    <w:p w14:paraId="66D46A56">
      <w:pPr>
        <w:spacing w:line="360" w:lineRule="auto"/>
        <w:rPr>
          <w:rFonts w:hint="eastAsia"/>
          <w:sz w:val="24"/>
          <w:szCs w:val="32"/>
        </w:rPr>
      </w:pPr>
    </w:p>
    <w:p w14:paraId="36E25BE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盲区：过分依赖经验，缺乏数据支撑，可能被质疑科学性。</w:t>
      </w:r>
    </w:p>
    <w:p w14:paraId="7B13340E">
      <w:pPr>
        <w:spacing w:line="360" w:lineRule="auto"/>
        <w:rPr>
          <w:rFonts w:hint="eastAsia"/>
          <w:sz w:val="24"/>
          <w:szCs w:val="32"/>
        </w:rPr>
      </w:pPr>
    </w:p>
    <w:p w14:paraId="2824550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7F502F8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承认当前版本为 “专家模型” ，基于您20年银行+企业经验提炼，但正在积累案例库（首年30个，次年100个），后续可用案例数据反向校准权重，甚至引入机器学习优化。</w:t>
      </w:r>
    </w:p>
    <w:p w14:paraId="6C3971F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强调咨询行业多数方法论都是“经验框架”，麦肯锡的7S模型、波士顿矩阵最初也是定性模型。您的差异化在于快速、低成本、责任承担，而非“大数据精准”。对中小企业而言，经验框架已足够优于“拍脑袋”。</w:t>
      </w:r>
    </w:p>
    <w:p w14:paraId="730D7244">
      <w:pPr>
        <w:spacing w:line="360" w:lineRule="auto"/>
        <w:rPr>
          <w:rFonts w:hint="eastAsia"/>
          <w:sz w:val="24"/>
          <w:szCs w:val="32"/>
        </w:rPr>
      </w:pPr>
    </w:p>
    <w:p w14:paraId="7C61B3CB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质疑2：您把自己定位成“决策教练”，但您本人做过企业一把手吗？您真懂那个位置的压力吗？</w:t>
      </w:r>
    </w:p>
    <w:p w14:paraId="603F461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“给企业家做决策辅导的人，自己没当过一把手，很容易纸上谈兵。您有银行背景，但那是执行层，不是决策层。企业家凭什么信你？”</w:t>
      </w:r>
    </w:p>
    <w:p w14:paraId="1931B90A">
      <w:pPr>
        <w:spacing w:line="360" w:lineRule="auto"/>
        <w:rPr>
          <w:rFonts w:hint="eastAsia"/>
          <w:sz w:val="24"/>
          <w:szCs w:val="32"/>
        </w:rPr>
      </w:pPr>
    </w:p>
    <w:p w14:paraId="5DE83E3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盲区：缺乏一把手经历，可能被质疑实战经验不足。</w:t>
      </w:r>
    </w:p>
    <w:p w14:paraId="115F8962">
      <w:pPr>
        <w:spacing w:line="360" w:lineRule="auto"/>
        <w:rPr>
          <w:rFonts w:hint="eastAsia"/>
          <w:sz w:val="24"/>
          <w:szCs w:val="32"/>
        </w:rPr>
      </w:pPr>
    </w:p>
    <w:p w14:paraId="55DB902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1B2ECB3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坦诚您没有当过CEO，但强调您服务过几十位一把手（危机辅导、经营决策），见过最多的失败案例，知道什么坑最常见。您不是教他们怎么做，而是帮他们看清自己决策过程中的盲区。</w:t>
      </w:r>
    </w:p>
    <w:p w14:paraId="2BA8882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类比：顶级足球教练不一定是球星，但能帮球星提升战术意识；顶级婚恋顾问不一定要结过多次婚，但能帮人看清关系模式。您的价值在于外部视角+专业框架，而非替代经验。</w:t>
      </w:r>
    </w:p>
    <w:p w14:paraId="26EB415E">
      <w:pPr>
        <w:spacing w:line="360" w:lineRule="auto"/>
        <w:rPr>
          <w:rFonts w:hint="eastAsia"/>
          <w:sz w:val="24"/>
          <w:szCs w:val="32"/>
        </w:rPr>
      </w:pPr>
    </w:p>
    <w:p w14:paraId="684F824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</w:p>
    <w:p w14:paraId="0E9DFA31">
      <w:pPr>
        <w:spacing w:line="360" w:lineRule="auto"/>
        <w:rPr>
          <w:rFonts w:hint="eastAsia"/>
          <w:sz w:val="24"/>
          <w:szCs w:val="32"/>
        </w:rPr>
      </w:pPr>
    </w:p>
    <w:p w14:paraId="782D18A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反方五：AI决策工具产品经理（如Kord）</w:t>
      </w:r>
    </w:p>
    <w:p w14:paraId="7C08DC85">
      <w:pPr>
        <w:spacing w:line="360" w:lineRule="auto"/>
        <w:rPr>
          <w:rFonts w:hint="eastAsia"/>
          <w:sz w:val="24"/>
          <w:szCs w:val="32"/>
        </w:rPr>
      </w:pPr>
    </w:p>
    <w:p w14:paraId="1A978236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质疑1：您的核心服务是“评估候选人”，但AI可以分析候选人的简历、社交数据、行为记录，输出更全面的报告，而且7x24小时可用，成本几乎为零。您的5.8万怎么和免费竞争？</w:t>
      </w:r>
    </w:p>
    <w:p w14:paraId="0FBCBC09">
      <w:pPr>
        <w:spacing w:line="360" w:lineRule="auto"/>
        <w:rPr>
          <w:rFonts w:hint="eastAsia"/>
          <w:sz w:val="24"/>
          <w:szCs w:val="32"/>
        </w:rPr>
      </w:pPr>
    </w:p>
    <w:p w14:paraId="0AC001F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盲区：低估了AI替代的威胁，尤其对大企业而言，AI工具可能成为标配。</w:t>
      </w:r>
    </w:p>
    <w:p w14:paraId="407DA7F4">
      <w:pPr>
        <w:spacing w:line="360" w:lineRule="auto"/>
        <w:rPr>
          <w:rFonts w:hint="eastAsia"/>
          <w:sz w:val="24"/>
          <w:szCs w:val="32"/>
        </w:rPr>
      </w:pPr>
    </w:p>
    <w:p w14:paraId="2652090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2ABD1DD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强调您的不可替代性：AI无法承担决策责任，无法在最后一刻说“我建议您别用他，因为根据我的经验，这种类型的人在你这种文化下存活率低于30%”。AI只能提供信息，不能提供带有风险的判断。</w:t>
      </w:r>
    </w:p>
    <w:p w14:paraId="1C45180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将AI定位为您的工具：您会建议客户先用AI做初步筛选（如Kord生成报告），然后您基于报告做深度解读和决策辅导，人机结合，效率更高。您不是反对AI，而是“AI+HI（人类智能）”的践行者。</w:t>
      </w:r>
    </w:p>
    <w:p w14:paraId="59EA591F">
      <w:pPr>
        <w:spacing w:line="360" w:lineRule="auto"/>
        <w:rPr>
          <w:rFonts w:hint="eastAsia"/>
          <w:sz w:val="24"/>
          <w:szCs w:val="32"/>
        </w:rPr>
      </w:pPr>
    </w:p>
    <w:p w14:paraId="62C4AF7D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质疑2：随着AI代理发展，未来可能出现“数字分身”模拟您的思维，客户只需付费订阅您的数字顾问，成本更低，那您这个真人服务还有市场吗？</w:t>
      </w:r>
    </w:p>
    <w:p w14:paraId="5EE5FBD8">
      <w:pPr>
        <w:spacing w:line="360" w:lineRule="auto"/>
        <w:rPr>
          <w:rFonts w:hint="eastAsia"/>
          <w:sz w:val="24"/>
          <w:szCs w:val="32"/>
        </w:rPr>
      </w:pPr>
    </w:p>
    <w:p w14:paraId="2C0CFFC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盲区：长期技术颠覆风险。</w:t>
      </w:r>
    </w:p>
    <w:p w14:paraId="6F67A071">
      <w:pPr>
        <w:spacing w:line="360" w:lineRule="auto"/>
        <w:rPr>
          <w:rFonts w:hint="eastAsia"/>
          <w:sz w:val="24"/>
          <w:szCs w:val="32"/>
        </w:rPr>
      </w:pPr>
    </w:p>
    <w:p w14:paraId="62CBF6C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41F3422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承认技术趋势，但指出高价值决策永远需要人的在场感——企业家在重大决策前需要有人陪他焦虑、听他倾诉、给他信心，这是AI无法提供的“情感共振”。</w:t>
      </w:r>
    </w:p>
    <w:p w14:paraId="7B0F6BA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您未来可结合AI提升效率，但核心价值始终是“人”。就像心理咨询师不会被AI完全替代一样，决策教练的“陪伴属性”是护城河。同时可开发“数字分身”作为低端产品，覆盖大众市场，真人服务聚焦高端，形成互补。</w:t>
      </w:r>
    </w:p>
    <w:p w14:paraId="77D9EAD8">
      <w:pPr>
        <w:spacing w:line="360" w:lineRule="auto"/>
        <w:rPr>
          <w:rFonts w:hint="eastAsia"/>
          <w:sz w:val="24"/>
          <w:szCs w:val="32"/>
        </w:rPr>
      </w:pPr>
    </w:p>
    <w:p w14:paraId="19BE2C4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</w:p>
    <w:p w14:paraId="4361E12C">
      <w:pPr>
        <w:spacing w:line="360" w:lineRule="auto"/>
        <w:rPr>
          <w:rFonts w:hint="eastAsia"/>
          <w:sz w:val="24"/>
          <w:szCs w:val="32"/>
        </w:rPr>
      </w:pPr>
    </w:p>
    <w:p w14:paraId="2F881F2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反方六：创始人自己（自我质疑）</w:t>
      </w:r>
    </w:p>
    <w:p w14:paraId="15B18EA3">
      <w:pPr>
        <w:spacing w:line="360" w:lineRule="auto"/>
        <w:rPr>
          <w:rFonts w:hint="eastAsia"/>
          <w:sz w:val="24"/>
          <w:szCs w:val="32"/>
        </w:rPr>
      </w:pPr>
    </w:p>
    <w:p w14:paraId="5C6962F7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质疑1：我每天要写文章、做播客、见渠道、交付服务，还要持续学习，一个人怎么能兼顾？时间根本不够用，最后什么都做不好。</w:t>
      </w:r>
    </w:p>
    <w:p w14:paraId="6DFA822F">
      <w:pPr>
        <w:spacing w:line="360" w:lineRule="auto"/>
        <w:rPr>
          <w:rFonts w:hint="eastAsia"/>
          <w:sz w:val="24"/>
          <w:szCs w:val="32"/>
        </w:rPr>
      </w:pPr>
    </w:p>
    <w:p w14:paraId="2140D64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盲区：OPC阶段精力分配陷阱，可能陷入忙碌而低效。</w:t>
      </w:r>
    </w:p>
    <w:p w14:paraId="18DF3908">
      <w:pPr>
        <w:spacing w:line="360" w:lineRule="auto"/>
        <w:rPr>
          <w:rFonts w:hint="eastAsia"/>
          <w:sz w:val="24"/>
          <w:szCs w:val="32"/>
        </w:rPr>
      </w:pPr>
    </w:p>
    <w:p w14:paraId="21B9A81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0245187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严格执行 “每日时间分配模型” ，将时间块化：上午雷打不动用于深度工作（内容创作、方法论迭代）；下午集中处理客户交付；傍晚用于渠道沟通；碎片时间发朋友圈。</w:t>
      </w:r>
    </w:p>
    <w:p w14:paraId="25CAC3C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学会拒绝：只聚焦核心产品，不接杂项；只服务筛选后的黄金客户，不浪费时间在无效沟通上。每月复盘时间使用，砍掉低效活动。</w:t>
      </w:r>
    </w:p>
    <w:p w14:paraId="232012A2">
      <w:pPr>
        <w:spacing w:line="360" w:lineRule="auto"/>
        <w:rPr>
          <w:rFonts w:hint="eastAsia"/>
          <w:sz w:val="24"/>
          <w:szCs w:val="32"/>
        </w:rPr>
      </w:pPr>
    </w:p>
    <w:p w14:paraId="27C3C755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质疑2：万一第一个客户就申请全额退款，怎么办？会不会打击信心？</w:t>
      </w:r>
    </w:p>
    <w:p w14:paraId="6EC89FB3">
      <w:pPr>
        <w:spacing w:line="360" w:lineRule="auto"/>
        <w:rPr>
          <w:rFonts w:hint="eastAsia"/>
          <w:sz w:val="24"/>
          <w:szCs w:val="32"/>
        </w:rPr>
      </w:pPr>
    </w:p>
    <w:p w14:paraId="2910DF2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盲区：心理预期管理不足。</w:t>
      </w:r>
    </w:p>
    <w:p w14:paraId="03B2DA34">
      <w:pPr>
        <w:spacing w:line="360" w:lineRule="auto"/>
        <w:rPr>
          <w:rFonts w:hint="eastAsia"/>
          <w:sz w:val="24"/>
          <w:szCs w:val="32"/>
        </w:rPr>
      </w:pPr>
    </w:p>
    <w:p w14:paraId="3D14A4D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19AC448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提前预设：退款不是失败，是产品迭代的机会。将退款流程设计为“客户关怀流程”，感谢反馈，赠送工具包，邀请成为长期朋友。这样即使退款，也能获得改进洞察，甚至可能转化为口碑（因被尊重的体验）。</w:t>
      </w:r>
    </w:p>
    <w:p w14:paraId="5311B3D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设定心理安全垫：首年准备3-5万元的“风险准备金”，覆盖可能的退款，避免影响现金流。同时告诉自己：每10个客户中有一个退款，仍能保持盈利。</w:t>
      </w:r>
    </w:p>
    <w:p w14:paraId="46AA82C4">
      <w:pPr>
        <w:spacing w:line="360" w:lineRule="auto"/>
        <w:rPr>
          <w:rFonts w:hint="eastAsia"/>
          <w:sz w:val="24"/>
          <w:szCs w:val="32"/>
        </w:rPr>
      </w:pPr>
    </w:p>
    <w:p w14:paraId="1B8559F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</w:p>
    <w:p w14:paraId="2B3BE244">
      <w:pPr>
        <w:spacing w:line="360" w:lineRule="auto"/>
        <w:rPr>
          <w:rFonts w:hint="eastAsia"/>
          <w:sz w:val="24"/>
          <w:szCs w:val="32"/>
        </w:rPr>
      </w:pPr>
    </w:p>
    <w:p w14:paraId="23F0AEB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反方七：法律合规顾问</w:t>
      </w:r>
    </w:p>
    <w:p w14:paraId="1AD8F681">
      <w:pPr>
        <w:spacing w:line="360" w:lineRule="auto"/>
        <w:rPr>
          <w:rFonts w:hint="eastAsia"/>
          <w:sz w:val="24"/>
          <w:szCs w:val="32"/>
        </w:rPr>
      </w:pPr>
    </w:p>
    <w:p w14:paraId="7CCB1941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质疑1：“不满意全额退款”条款存在法律风险，容易被恶意利用</w:t>
      </w:r>
    </w:p>
    <w:p w14:paraId="0B6EC0B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&gt; 如果客户故意找茬，或者把决策失败归咎于您（即使您只是建议），要求退款，您怎么办？这种条款等于敞开口袋让人薅羊毛。</w:t>
      </w:r>
    </w:p>
    <w:p w14:paraId="48A7220D">
      <w:pPr>
        <w:spacing w:line="360" w:lineRule="auto"/>
        <w:rPr>
          <w:rFonts w:hint="eastAsia"/>
          <w:sz w:val="24"/>
          <w:szCs w:val="32"/>
        </w:rPr>
      </w:pPr>
    </w:p>
    <w:p w14:paraId="4254D62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盲区：退款条款缺乏防御机制。</w:t>
      </w:r>
    </w:p>
    <w:p w14:paraId="2EB8C6F8">
      <w:pPr>
        <w:spacing w:line="360" w:lineRule="auto"/>
        <w:rPr>
          <w:rFonts w:hint="eastAsia"/>
          <w:sz w:val="24"/>
          <w:szCs w:val="32"/>
        </w:rPr>
      </w:pPr>
    </w:p>
    <w:p w14:paraId="50A1411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57E4393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将退款条件细化：仅限交付完成后3个工作日内申请，且需提供100字以上的书面理由。这已能过滤大部分恶意。</w:t>
      </w:r>
    </w:p>
    <w:p w14:paraId="0EAEFB2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对“决策失败归责”进行限定：合同中明确“教练不替代客户决策，所有建议仅供参考，客户拥有最终决定权”，退款仅适用于服务体验不满意，而非决策结果不满意。可在退款条款中加上：“如客户对服务过程（如态度、专业性）不满意，可无条件退款；如因采纳建议后产生损失，按责任限制条款处理。”</w:t>
      </w:r>
    </w:p>
    <w:p w14:paraId="00F13C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实际经验中，真正恶意退款极少，且一旦发生，快速处理反而能树立口碑。</w:t>
      </w:r>
    </w:p>
    <w:p w14:paraId="3ED3A981">
      <w:pPr>
        <w:spacing w:line="360" w:lineRule="auto"/>
        <w:rPr>
          <w:rFonts w:hint="eastAsia"/>
          <w:sz w:val="24"/>
          <w:szCs w:val="32"/>
        </w:rPr>
      </w:pPr>
    </w:p>
    <w:p w14:paraId="0DCDC518">
      <w:pPr>
        <w:spacing w:line="360" w:lineRule="auto"/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质疑2：您的“责任限制条款”说赔偿上限是合同金额的100%，这真的能保护您吗？万一客户起诉您说因为您的建议导致他损失500万，法院可能不支持这么低的赔偿上限。</w:t>
      </w:r>
    </w:p>
    <w:p w14:paraId="4DC6D740">
      <w:pPr>
        <w:spacing w:line="360" w:lineRule="auto"/>
        <w:rPr>
          <w:rFonts w:hint="eastAsia"/>
          <w:sz w:val="24"/>
          <w:szCs w:val="32"/>
        </w:rPr>
      </w:pPr>
    </w:p>
    <w:p w14:paraId="797A53F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盲区：中国法律对咨询服务的责任认定。</w:t>
      </w:r>
    </w:p>
    <w:p w14:paraId="59FC1DCC">
      <w:pPr>
        <w:spacing w:line="360" w:lineRule="auto"/>
        <w:rPr>
          <w:rFonts w:hint="eastAsia"/>
          <w:sz w:val="24"/>
          <w:szCs w:val="32"/>
        </w:rPr>
      </w:pPr>
    </w:p>
    <w:p w14:paraId="3D981E4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应对策略：</w:t>
      </w:r>
    </w:p>
    <w:p w14:paraId="4870B58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咨询专业律师，在合同中明确服务性质为“咨询建议”而非“决策代理”，并引用《民法典》关于居间合同、咨询合同的责任豁免条款。同时购买职业责任保险（咨询行业有此类保险），将风险转嫁给保险公司。</w:t>
      </w:r>
    </w:p>
    <w:p w14:paraId="7A9636E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 强调“不满意退款”已体现了最大诚意，实际上在司法实践中，只要合同明确约定责任上限，且不违反法律强制性规定，法院通常会尊重合同约定。</w:t>
      </w:r>
    </w:p>
    <w:p w14:paraId="51C29741">
      <w:pPr>
        <w:spacing w:line="360" w:lineRule="auto"/>
        <w:rPr>
          <w:rFonts w:hint="eastAsia"/>
          <w:sz w:val="24"/>
          <w:szCs w:val="32"/>
        </w:rPr>
      </w:pPr>
    </w:p>
    <w:p w14:paraId="35B4E4E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---</w:t>
      </w:r>
    </w:p>
    <w:p w14:paraId="4A1BBDA6">
      <w:pPr>
        <w:spacing w:line="360" w:lineRule="auto"/>
        <w:rPr>
          <w:rFonts w:hint="eastAsia"/>
          <w:sz w:val="24"/>
          <w:szCs w:val="32"/>
        </w:rPr>
      </w:pPr>
    </w:p>
    <w:p w14:paraId="3876896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总结：方案的潜在盲区与应对地图</w:t>
      </w:r>
    </w:p>
    <w:p w14:paraId="1D9782F1">
      <w:pPr>
        <w:spacing w:line="360" w:lineRule="auto"/>
        <w:rPr>
          <w:rFonts w:hint="eastAsia"/>
          <w:sz w:val="24"/>
          <w:szCs w:val="32"/>
        </w:rPr>
      </w:pPr>
    </w:p>
    <w:p w14:paraId="1D846B5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盲区类型 | 核心问题 | 应对策略 |</w:t>
      </w:r>
    </w:p>
    <w:p w14:paraId="2FCF866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|---------|---------|---------|</w:t>
      </w:r>
    </w:p>
    <w:p w14:paraId="60B0027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市场天花板 | 规模有限，增长乏力 | 规划延伸产品线、SaaS化、认证体系，放大市场 |</w:t>
      </w:r>
    </w:p>
    <w:p w14:paraId="3879E2E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可复制性 | 依赖个人，难以规模化 | 第2年启动方法论产品化，培养团队，建认证体系 |</w:t>
      </w:r>
    </w:p>
    <w:p w14:paraId="34AA539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客户信任 | 价值难量化，质疑效果 | 设计对赌机制、退款条款、长期跟踪服务 |</w:t>
      </w:r>
    </w:p>
    <w:p w14:paraId="0BAC33D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渠道动力 | 渠道担心风险，缺乏激励 | 改为赋能方案，提供免费增值，降低渠道风险 |</w:t>
      </w:r>
    </w:p>
    <w:p w14:paraId="5F7A4BB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方法论科学性 | 权重主观，缺乏数据 | 积累案例库，迭代权重，引入数据验证 |</w:t>
      </w:r>
    </w:p>
    <w:p w14:paraId="4EBFC36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实战经验 | 没当过一把手，权威性弱 | 聚焦“外部视角”价值，用案例佐证 |</w:t>
      </w:r>
    </w:p>
    <w:p w14:paraId="4275DA7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AI替代 | 免费AI工具竞争 | 定位为“AI+HI”，强调责任承担与情感陪伴 |</w:t>
      </w:r>
    </w:p>
    <w:p w14:paraId="00F7962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精力分配 | OPC时间冲突 | 严格执行时间块，聚焦核心，学会拒绝 |</w:t>
      </w:r>
    </w:p>
    <w:p w14:paraId="12D429A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| 法律风险 | 退款条款被滥用，责任上限可能无效 | 细化条款，咨询律师，购买保险 |</w:t>
      </w:r>
    </w:p>
    <w:p w14:paraId="53C27945">
      <w:pPr>
        <w:spacing w:line="360" w:lineRule="auto"/>
        <w:rPr>
          <w:rFonts w:hint="eastAsia"/>
          <w:sz w:val="24"/>
          <w:szCs w:val="32"/>
        </w:rPr>
      </w:pPr>
    </w:p>
    <w:p w14:paraId="346862D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建议：在正式启动前，花1-2周针对上述质疑逐一准备“应答弹药”和“预案文件”。例如，起草一份《客户常见问题权威应答手册》，一份《渠道合作风险控制说明》，一份《退款与纠纷处理SOP》。这些将成为您实际运营中的“避坑指南”。</w:t>
      </w:r>
    </w:p>
    <w:p w14:paraId="394553A8">
      <w:pPr>
        <w:spacing w:line="360" w:lineRule="auto"/>
        <w:rPr>
          <w:rFonts w:hint="eastAsia"/>
          <w:sz w:val="24"/>
          <w:szCs w:val="32"/>
        </w:rPr>
      </w:pPr>
    </w:p>
    <w:p w14:paraId="4D75DCD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您的方案已经足够优秀，但经过反方淬炼，它将更加无懈可击。祝您满意启程！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702B8"/>
    <w:rsid w:val="0E871FE6"/>
    <w:rsid w:val="2127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2026-02-15T05:49:00Z</dcterms:created>
  <dc:creator>刘华斌 Egbert Lau</dc:creator>
  <cp:lastModifiedBy>刘华斌 Egbert Lau</cp:lastModifiedBy>
  <dcterms:modified xsi:type="dcterms:W3CDTF">2026-02-15T06:03:30Z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17B3CCBBF770424C8A8729D4B0287489_11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