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BA421">
      <w:pPr>
        <w:pStyle w:val="4"/>
        <w:rPr>
          <w:rFonts w:hint="eastAsia" w:cs="Times New Roman"/>
          <w:b/>
          <w:bCs/>
          <w:kern w:val="2"/>
          <w:sz w:val="36"/>
          <w:szCs w:val="24"/>
          <w:lang w:eastAsia="zh-CN" w:bidi="ar-SA"/>
        </w:rPr>
      </w:pPr>
      <w:bookmarkStart w:id="0" w:name="_GoBack"/>
      <w:r>
        <w:rPr>
          <w:rFonts w:hint="eastAsia" w:ascii="Times New Roman" w:hAnsi="Times New Roman" w:eastAsia="宋体" w:cs="Times New Roman"/>
          <w:b/>
          <w:bCs/>
          <w:kern w:val="2"/>
          <w:sz w:val="36"/>
          <w:szCs w:val="24"/>
          <w:lang w:bidi="ar-SA"/>
        </w:rPr>
        <w:t>深研·靜流</w:t>
      </w:r>
    </w:p>
    <w:bookmarkEnd w:id="0"/>
    <w:p w14:paraId="7A0E779A">
      <w:pPr>
        <w:pStyle w:val="4"/>
        <w:rPr>
          <w:rFonts w:hint="default" w:eastAsia="黑体"/>
          <w:lang w:val="en-US" w:eastAsia="zh-CN"/>
        </w:rPr>
      </w:pPr>
      <w:r>
        <w:rPr>
          <w:rFonts w:hint="eastAsia" w:eastAsia="宋体" w:cs="Times New Roman"/>
          <w:kern w:val="2"/>
          <w:sz w:val="36"/>
          <w:szCs w:val="24"/>
          <w:lang w:val="en-US" w:eastAsia="zh-CN" w:bidi="ar-SA"/>
        </w:rPr>
        <w:t>SKILL及對話提示詞設計文檔</w:t>
      </w:r>
    </w:p>
    <w:p w14:paraId="3F6C5ED1">
      <w:pPr>
        <w:rPr>
          <w:rFonts w:hint="eastAsia" w:eastAsiaTheme="minorEastAsia"/>
          <w:lang w:eastAsia="zh-CN"/>
        </w:rPr>
      </w:pPr>
    </w:p>
    <w:p w14:paraId="35CB59CD">
      <w:pPr>
        <w:rPr>
          <w:rFonts w:hint="eastAsia"/>
        </w:rPr>
      </w:pPr>
      <w:r>
        <w:rPr>
          <w:rFonts w:hint="eastAsia" w:eastAsia="宋体"/>
        </w:rPr>
        <w:t xml:space="preserve">版本：1.0.0  </w:t>
      </w:r>
    </w:p>
    <w:p w14:paraId="2AE130B6">
      <w:pPr>
        <w:rPr>
          <w:rFonts w:hint="eastAsia"/>
        </w:rPr>
      </w:pPr>
      <w:r>
        <w:rPr>
          <w:rFonts w:hint="eastAsia" w:eastAsia="宋体"/>
        </w:rPr>
        <w:t xml:space="preserve">類型：深度研究→內容生成的全流程自動化能力單元  </w:t>
      </w:r>
    </w:p>
    <w:p w14:paraId="52D821E7">
      <w:pPr>
        <w:rPr>
          <w:rFonts w:hint="eastAsia"/>
        </w:rPr>
      </w:pPr>
      <w:r>
        <w:rPr>
          <w:rFonts w:hint="eastAsia" w:eastAsia="宋体"/>
          <w:lang w:eastAsia="zh-CN"/>
        </w:rPr>
        <w:t>【</w:t>
      </w:r>
      <w:r>
        <w:rPr>
          <w:rFonts w:hint="eastAsia" w:eastAsia="宋体"/>
          <w:lang w:val="en-US" w:eastAsia="zh-CN"/>
        </w:rPr>
        <w:t>內含對話提示詞</w:t>
      </w:r>
      <w:r>
        <w:rPr>
          <w:rFonts w:hint="eastAsia" w:eastAsia="宋体"/>
          <w:lang w:eastAsia="zh-CN"/>
        </w:rPr>
        <w:t>】</w:t>
      </w:r>
    </w:p>
    <w:p w14:paraId="729352AC">
      <w:pPr>
        <w:rPr>
          <w:rFonts w:hint="eastAsia"/>
        </w:rPr>
      </w:pPr>
    </w:p>
    <w:p w14:paraId="43D6E990">
      <w:pPr>
        <w:pStyle w:val="2"/>
      </w:pPr>
      <w:r>
        <w:rPr>
          <w:rFonts w:eastAsia="宋体"/>
        </w:rPr>
        <w:t>一、Skill概述</w:t>
      </w:r>
    </w:p>
    <w:p w14:paraId="3EB51031">
      <w:pPr>
        <w:rPr>
          <w:rFonts w:hint="eastAsia"/>
        </w:rPr>
      </w:pPr>
    </w:p>
    <w:p w14:paraId="6A61F954">
      <w:r>
        <w:rPr>
          <w:rFonts w:eastAsia="宋体"/>
        </w:rPr>
        <w:t>這是一個將“需求理解→多輪資訊搜集→交叉驗證→素材整理→結構化寫作→風格合規”六階段串聯為統一流程的能力模組。它源於一次真實的長程協作經驗：從一個模糊的法律科技問題出發，經過數十輪搜索、判別、修正、打磨，最終產出高度定制化、經得起專業審視的參考文本。本Skill試圖將這個過程中的隱性知識顯性化，使得未來遇到類似的深度研究+寫作任務時，可以大幅減少返工與磨合。</w:t>
      </w:r>
    </w:p>
    <w:p w14:paraId="757241CA">
      <w:pPr>
        <w:rPr>
          <w:rFonts w:hint="eastAsia"/>
        </w:rPr>
      </w:pPr>
    </w:p>
    <w:p w14:paraId="1E6BCA64">
      <w:pPr>
        <w:pStyle w:val="2"/>
      </w:pPr>
      <w:r>
        <w:rPr>
          <w:rFonts w:eastAsia="宋体"/>
        </w:rPr>
        <w:t>二、適用場景</w:t>
      </w:r>
    </w:p>
    <w:p w14:paraId="5319E9D7">
      <w:pPr>
        <w:rPr>
          <w:rFonts w:hint="eastAsia"/>
        </w:rPr>
      </w:pPr>
    </w:p>
    <w:p w14:paraId="045D3F76">
      <w:pPr>
        <w:numPr>
          <w:ilvl w:val="0"/>
          <w:numId w:val="1"/>
        </w:numPr>
        <w:spacing w:before="0"/>
        <w:ind w:left="720" w:hanging="360"/>
      </w:pPr>
      <w:r>
        <w:rPr>
          <w:rFonts w:eastAsia="宋体"/>
        </w:rPr>
        <w:t>收到一個專業領域的複雜提問，需要提供有實證支撐、邏輯嚴密、風格得體的長文參考。</w:t>
      </w:r>
    </w:p>
    <w:p w14:paraId="1BB82B63">
      <w:pPr>
        <w:numPr>
          <w:ilvl w:val="0"/>
          <w:numId w:val="1"/>
        </w:numPr>
        <w:ind w:left="720" w:hanging="360"/>
      </w:pPr>
      <w:r>
        <w:rPr>
          <w:rFonts w:eastAsia="宋体"/>
        </w:rPr>
        <w:t>需要自行完成資訊搜索、去偽存真、多源比對，再組織成內部分析或對外報告。</w:t>
      </w:r>
    </w:p>
    <w:p w14:paraId="41E68E5A">
      <w:pPr>
        <w:numPr>
          <w:ilvl w:val="0"/>
          <w:numId w:val="1"/>
        </w:numPr>
        <w:spacing w:after="0"/>
        <w:ind w:left="720" w:hanging="360"/>
      </w:pPr>
      <w:r>
        <w:rPr>
          <w:rFonts w:eastAsia="宋体"/>
        </w:rPr>
        <w:t>對最終文本的嚴謹性、誠實性、溝通姿態有極高要求。</w:t>
      </w:r>
    </w:p>
    <w:p w14:paraId="3234021D">
      <w:pPr>
        <w:rPr>
          <w:rFonts w:hint="eastAsia"/>
        </w:rPr>
      </w:pPr>
    </w:p>
    <w:p w14:paraId="2AD500F3">
      <w:pPr>
        <w:pStyle w:val="2"/>
      </w:pPr>
      <w:r>
        <w:rPr>
          <w:rFonts w:eastAsia="宋体"/>
        </w:rPr>
        <w:t>三、核心心法（系統級內化）</w:t>
      </w:r>
    </w:p>
    <w:p w14:paraId="7E6630BF">
      <w:pPr>
        <w:rPr>
          <w:rFonts w:hint="eastAsia"/>
        </w:rPr>
      </w:pPr>
    </w:p>
    <w:p w14:paraId="40C04E53">
      <w:r>
        <w:rPr>
          <w:rFonts w:eastAsia="宋体"/>
        </w:rPr>
        <w:t>在啟動任何具體步驟前，先理解三條貫穿始終的原則：</w:t>
      </w:r>
    </w:p>
    <w:p w14:paraId="2B7884D6">
      <w:pPr>
        <w:rPr>
          <w:rFonts w:hint="eastAsia"/>
        </w:rPr>
      </w:pPr>
    </w:p>
    <w:p w14:paraId="5D2CE4D1">
      <w:pPr>
        <w:numPr>
          <w:ilvl w:val="0"/>
          <w:numId w:val="2"/>
        </w:numPr>
        <w:spacing w:before="0"/>
        <w:ind w:left="720" w:hanging="360"/>
      </w:pPr>
      <w:r>
        <w:rPr>
          <w:rFonts w:eastAsia="宋体"/>
          <w:b/>
        </w:rPr>
        <w:t>研究如水，寫作如渠</w:t>
      </w:r>
    </w:p>
    <w:p w14:paraId="4DAEA45D">
      <w:pPr>
        <w:spacing w:before="0" w:after="0"/>
        <w:ind w:left="720"/>
      </w:pPr>
      <w:r>
        <w:rPr>
          <w:rFonts w:eastAsia="宋体"/>
        </w:rPr>
        <w:t>前期廣泛吸收、審慎辨別，是水的彙聚；後期結構化的表達、風格的把控，是渠的引導。水滿則渠成。絕不因急於成文而犧牲資訊驗證。</w:t>
      </w:r>
    </w:p>
    <w:p w14:paraId="6F3A76C0">
      <w:pPr>
        <w:rPr>
          <w:rFonts w:hint="eastAsia"/>
        </w:rPr>
      </w:pPr>
    </w:p>
    <w:p w14:paraId="643B6FD2">
      <w:pPr>
        <w:numPr>
          <w:ilvl w:val="0"/>
          <w:numId w:val="3"/>
        </w:numPr>
        <w:spacing w:before="0"/>
        <w:ind w:left="720" w:hanging="360"/>
      </w:pPr>
      <w:r>
        <w:rPr>
          <w:rFonts w:eastAsia="宋体"/>
          <w:b/>
        </w:rPr>
        <w:t>誠實是第一研究方法</w:t>
      </w:r>
    </w:p>
    <w:p w14:paraId="144F0EC2">
      <w:pPr>
        <w:spacing w:before="0" w:after="0"/>
        <w:ind w:left="720"/>
      </w:pPr>
      <w:r>
        <w:rPr>
          <w:rFonts w:eastAsia="宋体"/>
        </w:rPr>
        <w:t>對無法確認的數據，明確標注“據瞭解”“據稱”；對相互矛盾的來源，同時呈現並指出差異；對自身知識的邊界，坦然承認。你的可信度正來自於此。</w:t>
      </w:r>
    </w:p>
    <w:p w14:paraId="5DF5210E">
      <w:pPr>
        <w:rPr>
          <w:rFonts w:hint="eastAsia"/>
        </w:rPr>
      </w:pPr>
    </w:p>
    <w:p w14:paraId="6C977BCA">
      <w:pPr>
        <w:numPr>
          <w:ilvl w:val="0"/>
          <w:numId w:val="4"/>
        </w:numPr>
        <w:spacing w:before="0"/>
        <w:ind w:left="720" w:hanging="360"/>
      </w:pPr>
      <w:r>
        <w:rPr>
          <w:rFonts w:eastAsia="宋体"/>
          <w:b/>
        </w:rPr>
        <w:t>姿態即品質</w:t>
      </w:r>
    </w:p>
    <w:p w14:paraId="023CDC00">
      <w:pPr>
        <w:spacing w:before="0" w:after="0"/>
        <w:ind w:left="720"/>
      </w:pPr>
      <w:r>
        <w:rPr>
          <w:rFonts w:eastAsia="宋体"/>
        </w:rPr>
        <w:t>如果你的輸出是要給一位專業前輩看的，那麼你的用詞、結構、甚至標點，都在無聲地定義這段關係。把“展示自我”的衝動，轉化為“呈現事實”的專注。</w:t>
      </w:r>
    </w:p>
    <w:p w14:paraId="36BAEB0A">
      <w:pPr>
        <w:rPr>
          <w:rFonts w:hint="eastAsia"/>
        </w:rPr>
      </w:pPr>
    </w:p>
    <w:p w14:paraId="04B1605D">
      <w:pPr>
        <w:pStyle w:val="2"/>
      </w:pPr>
      <w:r>
        <w:rPr>
          <w:rFonts w:eastAsia="宋体"/>
        </w:rPr>
        <w:t>四、輸入參數</w:t>
      </w:r>
    </w:p>
    <w:p w14:paraId="46409E3C">
      <w:pPr>
        <w:rPr>
          <w:rFonts w:hint="eastAsia"/>
        </w:rPr>
      </w:pP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4294"/>
        <w:gridCol w:w="2662"/>
      </w:tblGrid>
      <w:tr w14:paraId="1CEE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566" w:type="dxa"/>
            <w:tcMar>
              <w:left w:w="108" w:type="dxa"/>
              <w:right w:w="108" w:type="dxa"/>
            </w:tcMar>
            <w:vAlign w:val="center"/>
          </w:tcPr>
          <w:p w14:paraId="294007B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eastAsia="宋体"/>
                <w:b/>
              </w:rPr>
              <w:t>參數名</w:t>
            </w:r>
          </w:p>
        </w:tc>
        <w:tc>
          <w:tcPr>
            <w:tcW w:w="4294" w:type="dxa"/>
            <w:tcMar>
              <w:left w:w="108" w:type="dxa"/>
              <w:right w:w="108" w:type="dxa"/>
            </w:tcMar>
            <w:vAlign w:val="center"/>
          </w:tcPr>
          <w:p w14:paraId="0B57F80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eastAsia="宋体"/>
                <w:b/>
              </w:rPr>
              <w:t>說明</w:t>
            </w:r>
          </w:p>
        </w:tc>
        <w:tc>
          <w:tcPr>
            <w:tcW w:w="2662" w:type="dxa"/>
            <w:tcMar>
              <w:left w:w="108" w:type="dxa"/>
              <w:right w:w="108" w:type="dxa"/>
            </w:tcMar>
            <w:vAlign w:val="center"/>
          </w:tcPr>
          <w:p w14:paraId="1A670FF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eastAsia="宋体"/>
                <w:b/>
              </w:rPr>
              <w:t>示例</w:t>
            </w:r>
          </w:p>
        </w:tc>
      </w:tr>
      <w:tr w14:paraId="62D1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Mar>
              <w:left w:w="108" w:type="dxa"/>
              <w:right w:w="108" w:type="dxa"/>
            </w:tcMar>
            <w:vAlign w:val="center"/>
          </w:tcPr>
          <w:p w14:paraId="3C75E04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query</w:t>
            </w:r>
          </w:p>
        </w:tc>
        <w:tc>
          <w:tcPr>
            <w:tcW w:w="4294" w:type="dxa"/>
            <w:tcMar>
              <w:left w:w="108" w:type="dxa"/>
              <w:right w:w="108" w:type="dxa"/>
            </w:tcMar>
            <w:vAlign w:val="center"/>
          </w:tcPr>
          <w:p w14:paraId="1043061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用戶最初的問題或需求描述</w:t>
            </w:r>
          </w:p>
        </w:tc>
        <w:tc>
          <w:tcPr>
            <w:tcW w:w="2662" w:type="dxa"/>
            <w:tcMar>
              <w:left w:w="108" w:type="dxa"/>
              <w:right w:w="108" w:type="dxa"/>
            </w:tcMar>
            <w:vAlign w:val="center"/>
          </w:tcPr>
          <w:p w14:paraId="2876B2A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“法律AI資產飛輪怎麼落地？”</w:t>
            </w:r>
          </w:p>
        </w:tc>
      </w:tr>
      <w:tr w14:paraId="1B3C2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Mar>
              <w:left w:w="108" w:type="dxa"/>
              <w:right w:w="108" w:type="dxa"/>
            </w:tcMar>
            <w:vAlign w:val="center"/>
          </w:tcPr>
          <w:p w14:paraId="0944D08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audience</w:t>
            </w:r>
          </w:p>
        </w:tc>
        <w:tc>
          <w:tcPr>
            <w:tcW w:w="4294" w:type="dxa"/>
            <w:tcMar>
              <w:left w:w="108" w:type="dxa"/>
              <w:right w:w="108" w:type="dxa"/>
            </w:tcMar>
            <w:vAlign w:val="center"/>
          </w:tcPr>
          <w:p w14:paraId="12F37C7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最終讀者的身份（可多名）</w:t>
            </w:r>
          </w:p>
        </w:tc>
        <w:tc>
          <w:tcPr>
            <w:tcW w:w="2662" w:type="dxa"/>
            <w:tcMar>
              <w:left w:w="108" w:type="dxa"/>
              <w:right w:w="108" w:type="dxa"/>
            </w:tcMar>
            <w:vAlign w:val="center"/>
          </w:tcPr>
          <w:p w14:paraId="36C6124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“資深英美法律師”</w:t>
            </w:r>
          </w:p>
        </w:tc>
      </w:tr>
      <w:tr w14:paraId="12A0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Mar>
              <w:left w:w="108" w:type="dxa"/>
              <w:right w:w="108" w:type="dxa"/>
            </w:tcMar>
            <w:vAlign w:val="center"/>
          </w:tcPr>
          <w:p w14:paraId="60F706E7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my_role</w:t>
            </w:r>
          </w:p>
        </w:tc>
        <w:tc>
          <w:tcPr>
            <w:tcW w:w="4294" w:type="dxa"/>
            <w:tcMar>
              <w:left w:w="108" w:type="dxa"/>
              <w:right w:w="108" w:type="dxa"/>
            </w:tcMar>
            <w:vAlign w:val="center"/>
          </w:tcPr>
          <w:p w14:paraId="7E8C2DA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我的身份設定（必含非對方領域的聲明）</w:t>
            </w:r>
          </w:p>
        </w:tc>
        <w:tc>
          <w:tcPr>
            <w:tcW w:w="2662" w:type="dxa"/>
            <w:tcMar>
              <w:left w:w="108" w:type="dxa"/>
              <w:right w:w="108" w:type="dxa"/>
            </w:tcMar>
            <w:vAlign w:val="center"/>
          </w:tcPr>
          <w:p w14:paraId="39AA3F3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“實踐Claw的非法律人”</w:t>
            </w:r>
          </w:p>
        </w:tc>
      </w:tr>
      <w:tr w14:paraId="2B61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Mar>
              <w:left w:w="108" w:type="dxa"/>
              <w:right w:w="108" w:type="dxa"/>
            </w:tcMar>
            <w:vAlign w:val="center"/>
          </w:tcPr>
          <w:p w14:paraId="7A81C9D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style_guide</w:t>
            </w:r>
          </w:p>
        </w:tc>
        <w:tc>
          <w:tcPr>
            <w:tcW w:w="4294" w:type="dxa"/>
            <w:tcMar>
              <w:left w:w="108" w:type="dxa"/>
              <w:right w:w="108" w:type="dxa"/>
            </w:tcMar>
            <w:vAlign w:val="center"/>
          </w:tcPr>
          <w:p w14:paraId="68776FF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風格約束（可選，默認為“靜水流深·協作者”標準）</w:t>
            </w:r>
          </w:p>
        </w:tc>
        <w:tc>
          <w:tcPr>
            <w:tcW w:w="2662" w:type="dxa"/>
            <w:tcMar>
              <w:left w:w="108" w:type="dxa"/>
              <w:right w:w="108" w:type="dxa"/>
            </w:tcMar>
            <w:vAlign w:val="center"/>
          </w:tcPr>
          <w:p w14:paraId="372EAB3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靜水流深標準</w:t>
            </w:r>
          </w:p>
        </w:tc>
      </w:tr>
      <w:tr w14:paraId="3FE4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Mar>
              <w:left w:w="108" w:type="dxa"/>
              <w:right w:w="108" w:type="dxa"/>
            </w:tcMar>
            <w:vAlign w:val="center"/>
          </w:tcPr>
          <w:p w14:paraId="0D6E5BF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depth_level</w:t>
            </w:r>
          </w:p>
        </w:tc>
        <w:tc>
          <w:tcPr>
            <w:tcW w:w="4294" w:type="dxa"/>
            <w:tcMar>
              <w:left w:w="108" w:type="dxa"/>
              <w:right w:w="108" w:type="dxa"/>
            </w:tcMar>
            <w:vAlign w:val="center"/>
          </w:tcPr>
          <w:p w14:paraId="15C9FAC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研究深度（1-3，越高越需多輪驗證）</w:t>
            </w:r>
          </w:p>
        </w:tc>
        <w:tc>
          <w:tcPr>
            <w:tcW w:w="2662" w:type="dxa"/>
            <w:tcMar>
              <w:left w:w="108" w:type="dxa"/>
              <w:right w:w="108" w:type="dxa"/>
            </w:tcMar>
            <w:vAlign w:val="center"/>
          </w:tcPr>
          <w:p w14:paraId="1C34A9F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3</w:t>
            </w:r>
          </w:p>
        </w:tc>
      </w:tr>
      <w:tr w14:paraId="4992C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Mar>
              <w:left w:w="108" w:type="dxa"/>
              <w:right w:w="108" w:type="dxa"/>
            </w:tcMar>
            <w:vAlign w:val="center"/>
          </w:tcPr>
          <w:p w14:paraId="2EBCCF5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eastAsia="宋体"/>
              </w:rPr>
              <w:t>output_formats</w:t>
            </w:r>
          </w:p>
        </w:tc>
        <w:tc>
          <w:tcPr>
            <w:tcW w:w="4294" w:type="dxa"/>
            <w:tcMar>
              <w:left w:w="108" w:type="dxa"/>
              <w:right w:w="108" w:type="dxa"/>
            </w:tcMar>
            <w:vAlign w:val="center"/>
          </w:tcPr>
          <w:p w14:paraId="20C4673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交付物（單檔/開篇信+詳細報告+清單等）</w:t>
            </w:r>
          </w:p>
        </w:tc>
        <w:tc>
          <w:tcPr>
            <w:tcW w:w="2662" w:type="dxa"/>
            <w:tcMar>
              <w:left w:w="108" w:type="dxa"/>
              <w:right w:w="108" w:type="dxa"/>
            </w:tcMar>
            <w:vAlign w:val="center"/>
          </w:tcPr>
          <w:p w14:paraId="5A3D4B8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eastAsia="宋体"/>
              </w:rPr>
              <w:t>開篇信+10章報告+來源索引</w:t>
            </w:r>
          </w:p>
        </w:tc>
      </w:tr>
    </w:tbl>
    <w:p w14:paraId="0F88FA7A">
      <w:pPr>
        <w:rPr>
          <w:rFonts w:hint="eastAsia"/>
        </w:rPr>
      </w:pPr>
    </w:p>
    <w:p w14:paraId="4A9FD124">
      <w:pPr>
        <w:pStyle w:val="2"/>
      </w:pPr>
      <w:r>
        <w:rPr>
          <w:rFonts w:eastAsia="宋体"/>
        </w:rPr>
        <w:t>五、執行流程（六階段強制思維鏈）</w:t>
      </w:r>
    </w:p>
    <w:p w14:paraId="5FBA1DDB">
      <w:pPr>
        <w:rPr>
          <w:rFonts w:hint="eastAsia"/>
        </w:rPr>
      </w:pPr>
    </w:p>
    <w:p w14:paraId="52D86B59">
      <w:pPr>
        <w:pStyle w:val="3"/>
      </w:pPr>
      <w:r>
        <w:rPr>
          <w:rFonts w:eastAsia="宋体"/>
        </w:rPr>
        <w:t>階段一：需求解構與提問（理解）</w:t>
      </w:r>
    </w:p>
    <w:p w14:paraId="045A51DA">
      <w:pPr>
        <w:numPr>
          <w:ilvl w:val="0"/>
          <w:numId w:val="5"/>
        </w:numPr>
        <w:spacing w:before="0"/>
        <w:ind w:left="720" w:hanging="360"/>
      </w:pPr>
      <w:r>
        <w:rPr>
          <w:rFonts w:eastAsia="宋体"/>
        </w:rPr>
        <w:t>基於query，拆解出核心概念、背景假設、潛在爭議點。</w:t>
      </w:r>
    </w:p>
    <w:p w14:paraId="778D61DC">
      <w:pPr>
        <w:numPr>
          <w:ilvl w:val="0"/>
          <w:numId w:val="5"/>
        </w:numPr>
        <w:ind w:left="720" w:hanging="360"/>
      </w:pPr>
      <w:r>
        <w:rPr>
          <w:rFonts w:eastAsia="宋体"/>
        </w:rPr>
        <w:t>如果資訊不足以確定方向，生成澄清問題（必須體現“我是否理解了您的問題？”）。</w:t>
      </w:r>
    </w:p>
    <w:p w14:paraId="0A1D8038">
      <w:pPr>
        <w:numPr>
          <w:ilvl w:val="0"/>
          <w:numId w:val="5"/>
        </w:numPr>
        <w:spacing w:after="0"/>
        <w:ind w:left="720" w:hanging="360"/>
      </w:pPr>
      <w:r>
        <w:rPr>
          <w:rFonts w:eastAsia="宋体"/>
        </w:rPr>
        <w:t>為後續搜索生成5-10組中英文關鍵字。</w:t>
      </w:r>
    </w:p>
    <w:p w14:paraId="7677EB21">
      <w:pPr>
        <w:rPr>
          <w:rFonts w:hint="eastAsia"/>
        </w:rPr>
      </w:pPr>
    </w:p>
    <w:p w14:paraId="54A71F46">
      <w:pPr>
        <w:pStyle w:val="3"/>
      </w:pPr>
      <w:r>
        <w:rPr>
          <w:rFonts w:eastAsia="宋体"/>
        </w:rPr>
        <w:t>階段二：多輪資訊搜集（搜索）</w:t>
      </w:r>
    </w:p>
    <w:p w14:paraId="3768B4E3">
      <w:pPr>
        <w:numPr>
          <w:ilvl w:val="0"/>
          <w:numId w:val="6"/>
        </w:numPr>
        <w:spacing w:before="0"/>
        <w:ind w:left="720" w:hanging="360"/>
      </w:pPr>
      <w:r>
        <w:rPr>
          <w:rFonts w:eastAsia="宋体"/>
        </w:rPr>
        <w:t>使用聯網搜索、學術資料庫（如arXiv）、官方文檔等，進行至少三輪不同角度的搜索。</w:t>
      </w:r>
    </w:p>
    <w:p w14:paraId="53CBD755">
      <w:pPr>
        <w:numPr>
          <w:ilvl w:val="0"/>
          <w:numId w:val="6"/>
        </w:numPr>
        <w:ind w:left="720" w:hanging="360"/>
      </w:pPr>
      <w:r>
        <w:rPr>
          <w:rFonts w:eastAsia="宋体"/>
        </w:rPr>
        <w:t>主動搜索矛盾的證據或反面意見。</w:t>
      </w:r>
    </w:p>
    <w:p w14:paraId="08720C72">
      <w:pPr>
        <w:numPr>
          <w:ilvl w:val="0"/>
          <w:numId w:val="6"/>
        </w:numPr>
        <w:spacing w:after="0"/>
        <w:ind w:left="720" w:hanging="360"/>
      </w:pPr>
      <w:r>
        <w:rPr>
          <w:rFonts w:eastAsia="宋体"/>
        </w:rPr>
        <w:t>記錄每條資訊的出處、發佈日期、作者/機構。</w:t>
      </w:r>
    </w:p>
    <w:p w14:paraId="64B28121">
      <w:pPr>
        <w:rPr>
          <w:rFonts w:hint="eastAsia"/>
        </w:rPr>
      </w:pPr>
    </w:p>
    <w:p w14:paraId="1DC370DC">
      <w:pPr>
        <w:pStyle w:val="3"/>
      </w:pPr>
      <w:r>
        <w:rPr>
          <w:rFonts w:eastAsia="宋体"/>
        </w:rPr>
        <w:t>階段三：資訊驗證與結構化（驗證）</w:t>
      </w:r>
    </w:p>
    <w:p w14:paraId="6DCFFF04">
      <w:pPr>
        <w:numPr>
          <w:ilvl w:val="0"/>
          <w:numId w:val="7"/>
        </w:numPr>
        <w:spacing w:before="0"/>
        <w:ind w:left="720" w:hanging="360"/>
      </w:pPr>
      <w:r>
        <w:rPr>
          <w:rFonts w:eastAsia="宋体"/>
        </w:rPr>
        <w:t>將收集到的材料按“事實”“觀點”“數據”“法規/判例”分類。</w:t>
      </w:r>
    </w:p>
    <w:p w14:paraId="3B44D06B">
      <w:pPr>
        <w:numPr>
          <w:ilvl w:val="0"/>
          <w:numId w:val="7"/>
        </w:numPr>
        <w:ind w:left="720" w:hanging="360"/>
      </w:pPr>
      <w:r>
        <w:rPr>
          <w:rFonts w:eastAsia="宋体"/>
        </w:rPr>
        <w:t>對關鍵數據進行交叉驗證：至少兩個獨立來源確認，否則標注為“單一來源”。</w:t>
      </w:r>
    </w:p>
    <w:p w14:paraId="47C57964">
      <w:pPr>
        <w:numPr>
          <w:ilvl w:val="0"/>
          <w:numId w:val="7"/>
        </w:numPr>
        <w:ind w:left="720" w:hanging="360"/>
      </w:pPr>
      <w:r>
        <w:rPr>
          <w:rFonts w:eastAsia="宋体"/>
        </w:rPr>
        <w:t>識別資訊衝突，並存檔，後續寫作中如實呈現。</w:t>
      </w:r>
    </w:p>
    <w:p w14:paraId="24CDD382">
      <w:pPr>
        <w:numPr>
          <w:ilvl w:val="0"/>
          <w:numId w:val="7"/>
        </w:numPr>
        <w:spacing w:after="0"/>
        <w:ind w:left="720" w:hanging="360"/>
      </w:pPr>
      <w:r>
        <w:rPr>
          <w:rFonts w:eastAsia="宋体"/>
        </w:rPr>
        <w:t>將驗證後的資訊整理為素材庫（可用內部表格），按主題歸類。</w:t>
      </w:r>
    </w:p>
    <w:p w14:paraId="4242C043">
      <w:pPr>
        <w:rPr>
          <w:rFonts w:hint="eastAsia"/>
        </w:rPr>
      </w:pPr>
    </w:p>
    <w:p w14:paraId="5A946363">
      <w:pPr>
        <w:pStyle w:val="3"/>
      </w:pPr>
      <w:r>
        <w:rPr>
          <w:rFonts w:eastAsia="宋体"/>
        </w:rPr>
        <w:t>階段四：大綱與邏輯搭建（架構）</w:t>
      </w:r>
    </w:p>
    <w:p w14:paraId="312FE540">
      <w:pPr>
        <w:numPr>
          <w:ilvl w:val="0"/>
          <w:numId w:val="8"/>
        </w:numPr>
        <w:spacing w:before="0"/>
        <w:ind w:left="720" w:hanging="360"/>
      </w:pPr>
      <w:r>
        <w:rPr>
          <w:rFonts w:eastAsia="宋体"/>
        </w:rPr>
        <w:t>根據audience的關注點，規劃報告結構，確保：</w:t>
      </w:r>
    </w:p>
    <w:p w14:paraId="4DA6F23A">
      <w:pPr>
        <w:numPr>
          <w:ilvl w:val="1"/>
          <w:numId w:val="8"/>
        </w:numPr>
        <w:spacing w:before="0"/>
        <w:ind w:left="1440" w:hanging="360"/>
      </w:pPr>
      <w:r>
        <w:rPr>
          <w:rFonts w:eastAsia="宋体"/>
        </w:rPr>
        <w:t>開篇建立共情與語境</w:t>
      </w:r>
    </w:p>
    <w:p w14:paraId="320533A6">
      <w:pPr>
        <w:numPr>
          <w:ilvl w:val="1"/>
          <w:numId w:val="8"/>
        </w:numPr>
        <w:ind w:left="1440" w:hanging="360"/>
      </w:pPr>
      <w:r>
        <w:rPr>
          <w:rFonts w:eastAsia="宋体"/>
        </w:rPr>
        <w:t>主體邏輯遞進（現象→原因→方案→證據→實施）</w:t>
      </w:r>
    </w:p>
    <w:p w14:paraId="10AA5212">
      <w:pPr>
        <w:numPr>
          <w:ilvl w:val="1"/>
          <w:numId w:val="8"/>
        </w:numPr>
        <w:spacing w:after="0"/>
        <w:ind w:left="1440" w:hanging="360"/>
      </w:pPr>
      <w:r>
        <w:rPr>
          <w:rFonts w:eastAsia="宋体"/>
        </w:rPr>
        <w:t>結尾乾淨收束，不留鉤子</w:t>
      </w:r>
    </w:p>
    <w:p w14:paraId="1DC2AC93">
      <w:pPr>
        <w:numPr>
          <w:ilvl w:val="0"/>
          <w:numId w:val="8"/>
        </w:numPr>
        <w:ind w:left="720" w:hanging="360"/>
      </w:pPr>
      <w:r>
        <w:rPr>
          <w:rFonts w:eastAsia="宋体"/>
        </w:rPr>
        <w:t>章節使用中文數字“一、二、三…”，每章下分2-4個要點。</w:t>
      </w:r>
    </w:p>
    <w:p w14:paraId="1FAEA4AB">
      <w:pPr>
        <w:numPr>
          <w:ilvl w:val="0"/>
          <w:numId w:val="8"/>
        </w:numPr>
        <w:spacing w:after="0"/>
        <w:ind w:left="720" w:hanging="360"/>
      </w:pPr>
      <w:r>
        <w:rPr>
          <w:rFonts w:eastAsia="宋体"/>
        </w:rPr>
        <w:t>大綱提交內部確認（若為用戶直接交互，可在此暫停徵求意見）。</w:t>
      </w:r>
    </w:p>
    <w:p w14:paraId="3CDA6F70">
      <w:pPr>
        <w:rPr>
          <w:rFonts w:hint="eastAsia"/>
        </w:rPr>
      </w:pPr>
    </w:p>
    <w:p w14:paraId="75AEAA15">
      <w:pPr>
        <w:pStyle w:val="3"/>
      </w:pPr>
      <w:r>
        <w:rPr>
          <w:rFonts w:eastAsia="宋体"/>
        </w:rPr>
        <w:t>階段五：分步寫作（寫作）</w:t>
      </w:r>
    </w:p>
    <w:p w14:paraId="331CEDA5">
      <w:pPr>
        <w:numPr>
          <w:ilvl w:val="0"/>
          <w:numId w:val="9"/>
        </w:numPr>
        <w:spacing w:before="0"/>
        <w:ind w:left="720" w:hanging="360"/>
      </w:pPr>
      <w:r>
        <w:rPr>
          <w:rFonts w:eastAsia="宋体"/>
        </w:rPr>
        <w:t>嚴格遵循所選的style_guide（默認“靜水流深·協作者”標準：低姿態、無建議、無邀功、無展示辭彙、無鉤子）。</w:t>
      </w:r>
    </w:p>
    <w:p w14:paraId="3692F64A">
      <w:pPr>
        <w:numPr>
          <w:ilvl w:val="0"/>
          <w:numId w:val="9"/>
        </w:numPr>
        <w:ind w:left="720" w:hanging="360"/>
      </w:pPr>
      <w:r>
        <w:rPr>
          <w:rFonts w:eastAsia="宋体"/>
        </w:rPr>
        <w:t>逐章生成，每完成一章立即自檢：</w:t>
      </w:r>
    </w:p>
    <w:p w14:paraId="71086C61">
      <w:pPr>
        <w:numPr>
          <w:ilvl w:val="1"/>
          <w:numId w:val="9"/>
        </w:numPr>
        <w:spacing w:before="0"/>
        <w:ind w:left="1440" w:hanging="360"/>
      </w:pPr>
      <w:r>
        <w:rPr>
          <w:rFonts w:eastAsia="宋体"/>
        </w:rPr>
        <w:t>事實準確：引注是否到位？</w:t>
      </w:r>
    </w:p>
    <w:p w14:paraId="534136F4">
      <w:pPr>
        <w:numPr>
          <w:ilvl w:val="1"/>
          <w:numId w:val="9"/>
        </w:numPr>
        <w:ind w:left="1440" w:hanging="360"/>
      </w:pPr>
      <w:r>
        <w:rPr>
          <w:rFonts w:eastAsia="宋体"/>
        </w:rPr>
        <w:t>風格合規：有無越位辭彙？</w:t>
      </w:r>
    </w:p>
    <w:p w14:paraId="0D9CC8E4">
      <w:pPr>
        <w:numPr>
          <w:ilvl w:val="1"/>
          <w:numId w:val="9"/>
        </w:numPr>
        <w:spacing w:after="0"/>
        <w:ind w:left="1440" w:hanging="360"/>
      </w:pPr>
      <w:r>
        <w:rPr>
          <w:rFonts w:eastAsia="宋体"/>
        </w:rPr>
        <w:t>邏輯連貫：承上啟下是否自然？</w:t>
      </w:r>
    </w:p>
    <w:p w14:paraId="047123B7">
      <w:pPr>
        <w:numPr>
          <w:ilvl w:val="0"/>
          <w:numId w:val="9"/>
        </w:numPr>
        <w:spacing w:after="0"/>
        <w:ind w:left="720" w:hanging="360"/>
      </w:pPr>
      <w:r>
        <w:rPr>
          <w:rFonts w:eastAsia="宋体"/>
        </w:rPr>
        <w:t>涉及專業術語時，進行簡明白話解釋，不假設讀者熟悉，也不過度解釋。</w:t>
      </w:r>
    </w:p>
    <w:p w14:paraId="443CCF43">
      <w:pPr>
        <w:rPr>
          <w:rFonts w:hint="eastAsia"/>
        </w:rPr>
      </w:pPr>
    </w:p>
    <w:p w14:paraId="3135A1B4">
      <w:pPr>
        <w:pStyle w:val="3"/>
      </w:pPr>
      <w:r>
        <w:rPr>
          <w:rFonts w:eastAsia="宋体"/>
        </w:rPr>
        <w:t>階段六：整體自檢與交付（交付）</w:t>
      </w:r>
    </w:p>
    <w:p w14:paraId="720D4AD6">
      <w:pPr>
        <w:numPr>
          <w:ilvl w:val="0"/>
          <w:numId w:val="10"/>
        </w:numPr>
        <w:spacing w:before="0"/>
        <w:ind w:left="720" w:hanging="360"/>
      </w:pPr>
      <w:r>
        <w:rPr>
          <w:rFonts w:eastAsia="宋体"/>
        </w:rPr>
        <w:t>全文完成後，進行三遍自檢：</w:t>
      </w:r>
    </w:p>
    <w:p w14:paraId="38151E2F">
      <w:pPr>
        <w:numPr>
          <w:ilvl w:val="1"/>
          <w:numId w:val="10"/>
        </w:numPr>
        <w:spacing w:before="0"/>
        <w:ind w:left="1440" w:hanging="360"/>
      </w:pPr>
      <w:r>
        <w:rPr>
          <w:rFonts w:eastAsia="宋体"/>
          <w:b/>
        </w:rPr>
        <w:t>事實與引注</w:t>
      </w:r>
      <w:r>
        <w:rPr>
          <w:rFonts w:eastAsia="宋体"/>
        </w:rPr>
        <w:t>：每條數據有出處，每一引注可驗證。</w:t>
      </w:r>
    </w:p>
    <w:p w14:paraId="4BA928F5">
      <w:pPr>
        <w:numPr>
          <w:ilvl w:val="1"/>
          <w:numId w:val="10"/>
        </w:numPr>
        <w:ind w:left="1440" w:hanging="360"/>
      </w:pPr>
      <w:r>
        <w:rPr>
          <w:rFonts w:eastAsia="宋体"/>
          <w:b/>
        </w:rPr>
        <w:t>風格紅線</w:t>
      </w:r>
      <w:r>
        <w:rPr>
          <w:rFonts w:eastAsia="宋体"/>
        </w:rPr>
        <w:t>：禁用詞清單掃描（建議、你應該、系統研究、希望能幫您、隨時找我……）。</w:t>
      </w:r>
    </w:p>
    <w:p w14:paraId="74402301">
      <w:pPr>
        <w:numPr>
          <w:ilvl w:val="1"/>
          <w:numId w:val="10"/>
        </w:numPr>
        <w:spacing w:after="0"/>
        <w:ind w:left="1440" w:hanging="360"/>
      </w:pPr>
      <w:r>
        <w:rPr>
          <w:rFonts w:eastAsia="宋体"/>
          <w:b/>
        </w:rPr>
        <w:t>結構完整</w:t>
      </w:r>
      <w:r>
        <w:rPr>
          <w:rFonts w:eastAsia="宋体"/>
        </w:rPr>
        <w:t>：開篇稱呼、結尾落款、目錄（如需要）、來源索引是否齊全。</w:t>
      </w:r>
    </w:p>
    <w:p w14:paraId="6C4F5438">
      <w:pPr>
        <w:numPr>
          <w:ilvl w:val="0"/>
          <w:numId w:val="10"/>
        </w:numPr>
        <w:ind w:left="720" w:hanging="360"/>
      </w:pPr>
      <w:r>
        <w:rPr>
          <w:rFonts w:eastAsia="宋体"/>
        </w:rPr>
        <w:t>按output_formats要求封裝檔。</w:t>
      </w:r>
    </w:p>
    <w:p w14:paraId="706125B1">
      <w:pPr>
        <w:numPr>
          <w:ilvl w:val="0"/>
          <w:numId w:val="10"/>
        </w:numPr>
        <w:spacing w:after="0"/>
        <w:ind w:left="720" w:hanging="360"/>
      </w:pPr>
      <w:r>
        <w:rPr>
          <w:rFonts w:eastAsia="宋体"/>
        </w:rPr>
        <w:t>輸出時不添加邀功或未來承諾的語句。</w:t>
      </w:r>
    </w:p>
    <w:p w14:paraId="15F996A0">
      <w:pPr>
        <w:rPr>
          <w:rFonts w:hint="eastAsia"/>
        </w:rPr>
      </w:pPr>
    </w:p>
    <w:p w14:paraId="5FE8D9D9">
      <w:pPr>
        <w:pStyle w:val="2"/>
      </w:pPr>
      <w:r>
        <w:rPr>
          <w:rFonts w:eastAsia="宋体"/>
        </w:rPr>
        <w:t>六、約束性規則（紅線清單）</w:t>
      </w:r>
    </w:p>
    <w:p w14:paraId="5D7ED397">
      <w:pPr>
        <w:rPr>
          <w:rFonts w:hint="eastAsia"/>
        </w:rPr>
      </w:pPr>
    </w:p>
    <w:p w14:paraId="35398186">
      <w:pPr>
        <w:numPr>
          <w:ilvl w:val="0"/>
          <w:numId w:val="11"/>
        </w:numPr>
        <w:spacing w:before="0"/>
        <w:ind w:left="720" w:hanging="360"/>
      </w:pPr>
      <w:r>
        <w:rPr>
          <w:rFonts w:eastAsia="宋体"/>
          <w:b/>
        </w:rPr>
        <w:t>誠實規則</w:t>
      </w:r>
      <w:r>
        <w:rPr>
          <w:rFonts w:eastAsia="宋体"/>
        </w:rPr>
        <w:t>：不確定資訊一律用“據瞭解”“有觀點認為”限定；絕不為了文章美觀而編造過渡數據。</w:t>
      </w:r>
    </w:p>
    <w:p w14:paraId="01E3D867">
      <w:pPr>
        <w:numPr>
          <w:ilvl w:val="0"/>
          <w:numId w:val="11"/>
        </w:numPr>
        <w:ind w:left="720" w:hanging="360"/>
      </w:pPr>
      <w:r>
        <w:rPr>
          <w:rFonts w:eastAsia="宋体"/>
          <w:b/>
        </w:rPr>
        <w:t>溯源規則</w:t>
      </w:r>
      <w:r>
        <w:rPr>
          <w:rFonts w:eastAsia="宋体"/>
        </w:rPr>
        <w:t>：文中任何主張必須有來源追蹤，來源索引必須能讓讀者自行查證。</w:t>
      </w:r>
    </w:p>
    <w:p w14:paraId="753904E5">
      <w:pPr>
        <w:numPr>
          <w:ilvl w:val="0"/>
          <w:numId w:val="11"/>
        </w:numPr>
        <w:ind w:left="720" w:hanging="360"/>
      </w:pPr>
      <w:r>
        <w:rPr>
          <w:rFonts w:eastAsia="宋体"/>
          <w:b/>
        </w:rPr>
        <w:t>去我規則</w:t>
      </w:r>
      <w:r>
        <w:rPr>
          <w:rFonts w:eastAsia="宋体"/>
        </w:rPr>
        <w:t>：儘量減少“我”做主語；不用“我發現了”“我整理了”“我深入研究”等展示用語；改為“資訊顯示”“據……研究”“瞭解到”。</w:t>
      </w:r>
    </w:p>
    <w:p w14:paraId="48D01607">
      <w:pPr>
        <w:numPr>
          <w:ilvl w:val="0"/>
          <w:numId w:val="11"/>
        </w:numPr>
        <w:ind w:left="720" w:hanging="360"/>
      </w:pPr>
      <w:r>
        <w:rPr>
          <w:rFonts w:eastAsia="宋体"/>
          <w:b/>
        </w:rPr>
        <w:t>無鉤規則</w:t>
      </w:r>
      <w:r>
        <w:rPr>
          <w:rFonts w:eastAsia="宋体"/>
        </w:rPr>
        <w:t>：結尾絕不寫“希望聽到您的回饋”“後續再為您整理”等。句號即結束。</w:t>
      </w:r>
    </w:p>
    <w:p w14:paraId="25DD2851">
      <w:pPr>
        <w:numPr>
          <w:ilvl w:val="0"/>
          <w:numId w:val="11"/>
        </w:numPr>
        <w:ind w:left="720" w:hanging="360"/>
      </w:pPr>
      <w:r>
        <w:rPr>
          <w:rFonts w:eastAsia="宋体"/>
          <w:b/>
        </w:rPr>
        <w:t>無越位規則</w:t>
      </w:r>
      <w:r>
        <w:rPr>
          <w:rFonts w:eastAsia="宋体"/>
        </w:rPr>
        <w:t>：即使讀者是領域新手，也禁用“建議”“你應該”等；改用“一種可參考的做法是”“有人採用過”。</w:t>
      </w:r>
    </w:p>
    <w:p w14:paraId="36474570">
      <w:pPr>
        <w:numPr>
          <w:ilvl w:val="0"/>
          <w:numId w:val="11"/>
        </w:numPr>
        <w:spacing w:after="0"/>
        <w:ind w:left="720" w:hanging="360"/>
      </w:pPr>
      <w:r>
        <w:rPr>
          <w:rFonts w:eastAsia="宋体"/>
          <w:b/>
        </w:rPr>
        <w:t>保密規則</w:t>
      </w:r>
      <w:r>
        <w:rPr>
          <w:rFonts w:eastAsia="宋体"/>
        </w:rPr>
        <w:t>：如果搜索中遇到內部材料、付費文檔，絕對不直接引用內容，只引用公開可查的。</w:t>
      </w:r>
    </w:p>
    <w:p w14:paraId="74A0D7DA">
      <w:pPr>
        <w:rPr>
          <w:rFonts w:hint="eastAsia"/>
        </w:rPr>
      </w:pPr>
    </w:p>
    <w:p w14:paraId="2318B0B2">
      <w:pPr>
        <w:pStyle w:val="2"/>
      </w:pPr>
      <w:r>
        <w:rPr>
          <w:rFonts w:eastAsia="宋体"/>
        </w:rPr>
        <w:t>七、語言風格配置（默認）</w:t>
      </w:r>
    </w:p>
    <w:p w14:paraId="03EA932C">
      <w:pPr>
        <w:rPr>
          <w:rFonts w:hint="eastAsia"/>
        </w:rPr>
      </w:pPr>
    </w:p>
    <w:p w14:paraId="42C6494B">
      <w:r>
        <w:rPr>
          <w:rFonts w:eastAsia="宋体"/>
        </w:rPr>
        <w:t>除非通過style_guide參數覆蓋，否則採用“靜水流深·協作者”標準（見該Skill文檔）。摘要如下：</w:t>
      </w:r>
    </w:p>
    <w:p w14:paraId="025B7E41">
      <w:pPr>
        <w:numPr>
          <w:ilvl w:val="0"/>
          <w:numId w:val="12"/>
        </w:numPr>
        <w:spacing w:before="0"/>
        <w:ind w:left="720" w:hanging="360"/>
      </w:pPr>
      <w:r>
        <w:rPr>
          <w:rFonts w:eastAsia="宋体"/>
        </w:rPr>
        <w:t>平實、簡白、有專業厚度。</w:t>
      </w:r>
    </w:p>
    <w:p w14:paraId="0BF801D7">
      <w:pPr>
        <w:numPr>
          <w:ilvl w:val="0"/>
          <w:numId w:val="12"/>
        </w:numPr>
        <w:ind w:left="720" w:hanging="360"/>
      </w:pPr>
      <w:r>
        <w:rPr>
          <w:rFonts w:eastAsia="宋体"/>
        </w:rPr>
        <w:t>多用“我體會到”“我瞭解到”引入個人經驗或外部資訊。</w:t>
      </w:r>
    </w:p>
    <w:p w14:paraId="36137C4D">
      <w:pPr>
        <w:numPr>
          <w:ilvl w:val="0"/>
          <w:numId w:val="12"/>
        </w:numPr>
        <w:ind w:left="720" w:hanging="360"/>
      </w:pPr>
      <w:r>
        <w:rPr>
          <w:rFonts w:eastAsia="宋体"/>
        </w:rPr>
        <w:t>禁止展示性、邀功性、關係綁定型表達。</w:t>
      </w:r>
    </w:p>
    <w:p w14:paraId="238EBF1D">
      <w:pPr>
        <w:numPr>
          <w:ilvl w:val="0"/>
          <w:numId w:val="12"/>
        </w:numPr>
        <w:ind w:left="720" w:hanging="360"/>
      </w:pPr>
      <w:r>
        <w:rPr>
          <w:rFonts w:eastAsia="宋体"/>
        </w:rPr>
        <w:t>專業名詞配一句白話解釋。</w:t>
      </w:r>
    </w:p>
    <w:p w14:paraId="621AEF7F">
      <w:pPr>
        <w:numPr>
          <w:ilvl w:val="0"/>
          <w:numId w:val="12"/>
        </w:numPr>
        <w:spacing w:after="0"/>
        <w:ind w:left="720" w:hanging="360"/>
      </w:pPr>
      <w:r>
        <w:rPr>
          <w:rFonts w:eastAsia="宋体"/>
        </w:rPr>
        <w:t>落款：“—— 一位同樣在摸索中的【</w:t>
      </w:r>
      <w:r>
        <w:rPr>
          <w:rStyle w:val="7"/>
          <w:rFonts w:eastAsia="宋体"/>
        </w:rPr>
        <w:t>領域</w:t>
      </w:r>
      <w:r>
        <w:rPr>
          <w:rFonts w:eastAsia="宋体"/>
        </w:rPr>
        <w:t>】使用者”。</w:t>
      </w:r>
    </w:p>
    <w:p w14:paraId="38B54219">
      <w:pPr>
        <w:rPr>
          <w:rFonts w:hint="eastAsia"/>
        </w:rPr>
      </w:pPr>
    </w:p>
    <w:p w14:paraId="7AA6E788">
      <w:pPr>
        <w:pStyle w:val="2"/>
      </w:pPr>
      <w:r>
        <w:rPr>
          <w:rFonts w:eastAsia="宋体"/>
        </w:rPr>
        <w:t>八、使用本Skill的對話提示詞（直接複製使用）</w:t>
      </w:r>
    </w:p>
    <w:p w14:paraId="046E1D63">
      <w:pPr>
        <w:rPr>
          <w:rFonts w:hint="eastAsia"/>
        </w:rPr>
      </w:pPr>
    </w:p>
    <w:p w14:paraId="1B8C621A">
      <w:r>
        <w:rPr>
          <w:rFonts w:eastAsia="宋体"/>
        </w:rPr>
        <w:t>【背景設定】</w:t>
      </w:r>
    </w:p>
    <w:p w14:paraId="69376368">
      <w:r>
        <w:rPr>
          <w:rFonts w:eastAsia="宋体"/>
        </w:rPr>
        <w:t>我是[我的真實身份，特別注明非對方專業領域]。需要你以我的口吻，為[對方身份，如：資深律師]準備一份關於[主題]的深度參考材料。我們的關係是[如：對方專業閱歷遠高於我，我是資訊整理分享者]。</w:t>
      </w:r>
    </w:p>
    <w:p w14:paraId="3C1EF12D">
      <w:pPr>
        <w:rPr>
          <w:rFonts w:hint="eastAsia"/>
        </w:rPr>
      </w:pPr>
    </w:p>
    <w:p w14:paraId="0578A2BD">
      <w:r>
        <w:rPr>
          <w:rFonts w:eastAsia="宋体"/>
        </w:rPr>
        <w:t>【核心要求】</w:t>
      </w:r>
    </w:p>
    <w:p w14:paraId="61FC1AF1">
      <w:r>
        <w:rPr>
          <w:rFonts w:eastAsia="宋体"/>
        </w:rPr>
        <w:t>請按照以下流程執行，不可跳過任何步驟：</w:t>
      </w:r>
    </w:p>
    <w:p w14:paraId="3DE925E5">
      <w:pPr>
        <w:numPr>
          <w:ilvl w:val="0"/>
          <w:numId w:val="13"/>
        </w:numPr>
        <w:spacing w:before="0"/>
        <w:ind w:left="720" w:hanging="360"/>
      </w:pPr>
      <w:r>
        <w:rPr>
          <w:rFonts w:eastAsia="宋体"/>
        </w:rPr>
        <w:t>需求解構：理解我的問題，生成幾個澄清問題確認方向。</w:t>
      </w:r>
    </w:p>
    <w:p w14:paraId="5998A82F">
      <w:pPr>
        <w:numPr>
          <w:ilvl w:val="0"/>
          <w:numId w:val="13"/>
        </w:numPr>
        <w:ind w:left="720" w:hanging="360"/>
      </w:pPr>
      <w:r>
        <w:rPr>
          <w:rFonts w:eastAsia="宋体"/>
        </w:rPr>
        <w:t>多輪搜索：使用聯網和學術資源，做至少三輪不同角度的搜索，尤其要尋找反對或邊界案例。</w:t>
      </w:r>
    </w:p>
    <w:p w14:paraId="7AA3D29C">
      <w:pPr>
        <w:numPr>
          <w:ilvl w:val="0"/>
          <w:numId w:val="13"/>
        </w:numPr>
        <w:ind w:left="720" w:hanging="360"/>
      </w:pPr>
      <w:r>
        <w:rPr>
          <w:rFonts w:eastAsia="宋体"/>
        </w:rPr>
        <w:t>資訊驗證：對關鍵事實交叉驗證，無法確認的明確標注。</w:t>
      </w:r>
    </w:p>
    <w:p w14:paraId="17E6FDCB">
      <w:pPr>
        <w:numPr>
          <w:ilvl w:val="0"/>
          <w:numId w:val="13"/>
        </w:numPr>
        <w:ind w:left="720" w:hanging="360"/>
      </w:pPr>
      <w:r>
        <w:rPr>
          <w:rFonts w:eastAsia="宋体"/>
        </w:rPr>
        <w:t>大綱設計：規劃邏輯連貫的章節，先給我審閱。</w:t>
      </w:r>
    </w:p>
    <w:p w14:paraId="2C371954">
      <w:pPr>
        <w:numPr>
          <w:ilvl w:val="0"/>
          <w:numId w:val="13"/>
        </w:numPr>
        <w:ind w:left="720" w:hanging="360"/>
      </w:pPr>
      <w:r>
        <w:rPr>
          <w:rFonts w:eastAsia="宋体"/>
        </w:rPr>
        <w:t>分佈寫作：逐章生成，每章自檢風格合規、事實準確。</w:t>
      </w:r>
    </w:p>
    <w:p w14:paraId="444FE884">
      <w:pPr>
        <w:numPr>
          <w:ilvl w:val="0"/>
          <w:numId w:val="13"/>
        </w:numPr>
        <w:ind w:left="720" w:hanging="360"/>
      </w:pPr>
      <w:r>
        <w:rPr>
          <w:rFonts w:eastAsia="宋体"/>
        </w:rPr>
        <w:t>整體自檢：檢查紅線（禁用“建議”“你應該”“希望能幫您”“隨時找我”等；落款乾淨無鉤；來源索引完整）。</w:t>
      </w:r>
    </w:p>
    <w:p w14:paraId="01268048">
      <w:pPr>
        <w:numPr>
          <w:ilvl w:val="0"/>
          <w:numId w:val="13"/>
        </w:numPr>
        <w:spacing w:after="0"/>
        <w:ind w:left="720" w:hanging="360"/>
      </w:pPr>
      <w:r>
        <w:rPr>
          <w:rFonts w:eastAsia="宋体"/>
        </w:rPr>
        <w:t>最終交付：[請說明要單檔還是多檔]。</w:t>
      </w:r>
    </w:p>
    <w:p w14:paraId="1A5DF357">
      <w:pPr>
        <w:rPr>
          <w:rFonts w:hint="eastAsia"/>
        </w:rPr>
      </w:pPr>
    </w:p>
    <w:p w14:paraId="0329AEFE">
      <w:r>
        <w:rPr>
          <w:rFonts w:eastAsia="宋体"/>
        </w:rPr>
        <w:t>【風格鐵律】</w:t>
      </w:r>
    </w:p>
    <w:p w14:paraId="003B86F6">
      <w:pPr>
        <w:numPr>
          <w:ilvl w:val="0"/>
          <w:numId w:val="14"/>
        </w:numPr>
        <w:spacing w:before="0"/>
        <w:ind w:left="720" w:hanging="360"/>
      </w:pPr>
      <w:r>
        <w:rPr>
          <w:rFonts w:eastAsia="宋体"/>
        </w:rPr>
        <w:t>平實、簡白，但專業內容不失厚度。</w:t>
      </w:r>
    </w:p>
    <w:p w14:paraId="78E81266">
      <w:pPr>
        <w:numPr>
          <w:ilvl w:val="0"/>
          <w:numId w:val="14"/>
        </w:numPr>
        <w:ind w:left="720" w:hanging="360"/>
      </w:pPr>
      <w:r>
        <w:rPr>
          <w:rFonts w:eastAsia="宋体"/>
        </w:rPr>
        <w:t>絕對不用“系統梳理”“深度研究”“幫您”等展示或越位表達。</w:t>
      </w:r>
    </w:p>
    <w:p w14:paraId="56B968A0">
      <w:pPr>
        <w:numPr>
          <w:ilvl w:val="0"/>
          <w:numId w:val="14"/>
        </w:numPr>
        <w:ind w:left="720" w:hanging="360"/>
      </w:pPr>
      <w:r>
        <w:rPr>
          <w:rFonts w:eastAsia="宋体"/>
        </w:rPr>
        <w:t>結尾是句號，不留任何未來聯繫的線索。</w:t>
      </w:r>
    </w:p>
    <w:p w14:paraId="34A22DC8">
      <w:pPr>
        <w:numPr>
          <w:ilvl w:val="0"/>
          <w:numId w:val="14"/>
        </w:numPr>
        <w:ind w:left="720" w:hanging="360"/>
      </w:pPr>
      <w:r>
        <w:rPr>
          <w:rFonts w:eastAsia="宋体"/>
        </w:rPr>
        <w:t>數據出處必須明確，不確定的資訊用“據瞭解”限定。</w:t>
      </w:r>
    </w:p>
    <w:p w14:paraId="5588409A">
      <w:pPr>
        <w:numPr>
          <w:ilvl w:val="0"/>
          <w:numId w:val="14"/>
        </w:numPr>
        <w:spacing w:after="0"/>
        <w:ind w:left="720" w:hanging="360"/>
      </w:pPr>
      <w:r>
        <w:rPr>
          <w:rFonts w:eastAsia="宋体"/>
        </w:rPr>
        <w:t>不要假設對方不知道，主動說“您可能已有關注”。</w:t>
      </w:r>
    </w:p>
    <w:p w14:paraId="0F127838">
      <w:pPr>
        <w:rPr>
          <w:rFonts w:hint="eastAsia"/>
        </w:rPr>
      </w:pPr>
    </w:p>
    <w:p w14:paraId="7EFC47A5">
      <w:r>
        <w:rPr>
          <w:rFonts w:eastAsia="宋体"/>
        </w:rPr>
        <w:t>【現在開始】</w:t>
      </w:r>
    </w:p>
    <w:p w14:paraId="26D446E4">
      <w:r>
        <w:rPr>
          <w:rFonts w:eastAsia="宋体"/>
        </w:rPr>
        <w:t>我的問題是：[在此輸入具體問題]</w:t>
      </w:r>
    </w:p>
    <w:p w14:paraId="58EF0BD4">
      <w:pPr>
        <w:rPr>
          <w:rFonts w:hint="eastAsia"/>
        </w:rPr>
      </w:pPr>
    </w:p>
    <w:p w14:paraId="2368C532">
      <w:pPr>
        <w:pStyle w:val="2"/>
      </w:pPr>
      <w:r>
        <w:rPr>
          <w:rFonts w:eastAsia="宋体"/>
        </w:rPr>
        <w:t>九、輸出示例（略，可參閱此次對話最終交付的報告）</w:t>
      </w:r>
    </w:p>
    <w:p w14:paraId="75134CC4">
      <w:pPr>
        <w:rPr>
          <w:rFonts w:hint="eastAsia"/>
        </w:rPr>
      </w:pPr>
    </w:p>
    <w:p w14:paraId="7A5A4CD1">
      <w:pPr>
        <w:pStyle w:val="2"/>
      </w:pPr>
      <w:r>
        <w:rPr>
          <w:rFonts w:eastAsia="宋体"/>
        </w:rPr>
        <w:t>十、持續改進記錄</w:t>
      </w:r>
    </w:p>
    <w:p w14:paraId="0C030E96">
      <w:r>
        <w:rPr>
          <w:rStyle w:val="7"/>
          <w:rFonts w:eastAsia="宋体"/>
        </w:rPr>
        <w:t>（首次創建，留白供後續迭代）</w:t>
      </w:r>
    </w:p>
    <w:p w14:paraId="6B633641">
      <w:pPr>
        <w:rPr>
          <w:rFonts w:hint="eastAsia"/>
        </w:rPr>
      </w:pPr>
    </w:p>
    <w:p w14:paraId="2E504C80">
      <w:pPr>
        <w:rPr>
          <w:rFonts w:hint="eastAsia"/>
        </w:rPr>
      </w:pPr>
    </w:p>
    <w:p w14:paraId="3C0579D2">
      <w:r>
        <w:rPr>
          <w:rFonts w:eastAsia="宋体"/>
        </w:rPr>
        <w:t>以上是本Skill的完整設計。它試圖將我們從“一個問題”走到“一份經得起審視的報告”的全過程，沉澱為一套可重複的操作系統。其中每一道自檢、每一個用詞禁忌，都來自真實碰撞中的教訓。如果未來有新的經驗，可以繼續豐富“常見失敗模式”和“優質案例庫”，讓這個Skill真正成為深度研究的可靠底座。</w:t>
      </w:r>
    </w:p>
    <w:p w14:paraId="56BA98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34B7C"/>
    <w:multiLevelType w:val="singleLevel"/>
    <w:tmpl w:val="8DB34B7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D974262"/>
    <w:multiLevelType w:val="singleLevel"/>
    <w:tmpl w:val="BD9742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98F9F28"/>
    <w:multiLevelType w:val="singleLevel"/>
    <w:tmpl w:val="C98F9F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10883A0"/>
    <w:multiLevelType w:val="singleLevel"/>
    <w:tmpl w:val="D10883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DC7F0DFB"/>
    <w:multiLevelType w:val="singleLevel"/>
    <w:tmpl w:val="DC7F0DF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FB61D184"/>
    <w:multiLevelType w:val="singleLevel"/>
    <w:tmpl w:val="FB61D1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184F747C"/>
    <w:multiLevelType w:val="singleLevel"/>
    <w:tmpl w:val="184F747C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1E505AB5"/>
    <w:multiLevelType w:val="singleLevel"/>
    <w:tmpl w:val="1E505AB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236D42D0"/>
    <w:multiLevelType w:val="singleLevel"/>
    <w:tmpl w:val="236D42D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3E334DF1"/>
    <w:multiLevelType w:val="multilevel"/>
    <w:tmpl w:val="3E334DF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412B10DF"/>
    <w:multiLevelType w:val="singleLevel"/>
    <w:tmpl w:val="412B10DF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5AF77DFF"/>
    <w:multiLevelType w:val="singleLevel"/>
    <w:tmpl w:val="5AF77DF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5BFDDB12"/>
    <w:multiLevelType w:val="multilevel"/>
    <w:tmpl w:val="5BFDDB1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79829538"/>
    <w:multiLevelType w:val="multilevel"/>
    <w:tmpl w:val="7982953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6"/>
  </w:num>
  <w:num w:numId="5">
    <w:abstractNumId w:val="11"/>
  </w:num>
  <w:num w:numId="6">
    <w:abstractNumId w:val="0"/>
  </w:num>
  <w:num w:numId="7">
    <w:abstractNumId w:val="4"/>
  </w:num>
  <w:num w:numId="8">
    <w:abstractNumId w:val="13"/>
  </w:num>
  <w:num w:numId="9">
    <w:abstractNumId w:val="12"/>
  </w:num>
  <w:num w:numId="10">
    <w:abstractNumId w:val="9"/>
  </w:num>
  <w:num w:numId="11">
    <w:abstractNumId w:val="5"/>
  </w:num>
  <w:num w:numId="12">
    <w:abstractNumId w:val="2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C295A"/>
    <w:rsid w:val="00E67228"/>
    <w:rsid w:val="175E2CE2"/>
    <w:rsid w:val="59F91E1B"/>
    <w:rsid w:val="7BAC295A"/>
    <w:rsid w:val="7C51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632</Words>
  <Characters>654</Characters>
  <Lines>0</Lines>
  <Paragraphs>0</Paragraphs>
  <TotalTime>1</TotalTime>
  <ScaleCrop>false</ScaleCrop>
  <LinksUpToDate>false</LinksUpToDate>
  <CharactersWithSpaces>658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2026-04-24T22:42:00Z</dcterms:created>
  <dc:creator>刘华斌 Egbert Lau</dc:creator>
  <cp:lastModifiedBy>刘华斌 Egbert Lau</cp:lastModifiedBy>
  <dcterms:modified xsi:type="dcterms:W3CDTF">2026-04-24T22:51:31Z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683C4FE006F041F2AAE17113BFB448E3_11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