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B360">
      <w:pPr>
        <w:pStyle w:val="5"/>
        <w:rPr>
          <w:rFonts w:hint="eastAsia" w:ascii="Times New Roman" w:hAnsi="Times New Roman" w:eastAsia="黑体" w:cs="Times New Roman"/>
          <w:b/>
          <w:bCs/>
          <w:kern w:val="2"/>
          <w:sz w:val="36"/>
          <w:szCs w:val="24"/>
          <w:u w:val="none"/>
          <w:lang w:eastAsia="zh-CN" w:bidi="ar-SA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24"/>
          <w:u w:val="none"/>
          <w:lang w:bidi="ar-SA"/>
        </w:rPr>
        <w:t>關於法律知識資產飛輪的</w:t>
      </w:r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24"/>
          <w:u w:val="none"/>
          <w:lang w:bidi="ar-SA"/>
        </w:rPr>
        <w:t>建設</w:t>
      </w:r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24"/>
          <w:u w:val="none"/>
          <w:lang w:bidi="ar-SA"/>
        </w:rPr>
        <w:t>與運營</w:t>
      </w:r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24"/>
          <w:u w:val="none"/>
          <w:lang w:bidi="ar-SA"/>
        </w:rPr>
        <w:t>探討</w:t>
      </w:r>
    </w:p>
    <w:bookmarkEnd w:id="0"/>
    <w:p w14:paraId="37564338">
      <w:pPr>
        <w:rPr>
          <w:rFonts w:hint="eastAsia"/>
        </w:rPr>
      </w:pPr>
    </w:p>
    <w:p w14:paraId="0ED570BA">
      <w:pPr>
        <w:spacing w:after="120" w:line="360" w:lineRule="auto"/>
        <w:jc w:val="both"/>
        <w:rPr>
          <w:rFonts w:hint="eastAsia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梁主席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，您好：</w:t>
      </w:r>
    </w:p>
    <w:p w14:paraId="02FB173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上次與您聊到資產飛輪的概念後，我又做了些進一步的功課，把這個想法在法律知識管理中的具體運作方式重新理了一遍。現在把這些思考整理出來，完全聚焦於“飛輪怎麼轉起來”這個具體問題，供您參考。</w:t>
      </w:r>
    </w:p>
    <w:p w14:paraId="0C2EC898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一、 法律知識資產飛輪的定義與特殊性</w:t>
      </w:r>
    </w:p>
    <w:p w14:paraId="24438A2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資產飛輪，通俗地說，是一個閉環增強系統：把辦過的案子、寫過的文書、做過的研究，變成下一次可調用的知識積累；用得越多，積累越厚，調用越准，效率越高，形成自我強化的迴圈。</w:t>
      </w:r>
    </w:p>
    <w:p w14:paraId="50A4CAB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法律行業的知識資產有幾個明顯特徵，決定了飛輪的設計必須與一般企業不同：</w:t>
      </w:r>
    </w:p>
    <w:p w14:paraId="7EC4F06C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1. 高度的人身依附性。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資深律師的判斷力、策略直覺、對法官和對方律師的把握，傳統上儲存在個人頭腦中，難以顯性化。飛輪要解決的核心問題，就是如何將這些隱性知識安全、準確地轉化為組織可複用的資產。</w:t>
      </w:r>
    </w:p>
    <w:p w14:paraId="0AC6B90A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2. 極嚴的準確性要求。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一個錯引的判例、一個被推翻的先例，可能直接導致案件失利甚至執業責任。飛輪中的每一次知識沉澱，都必須經過真偽校驗。這就決定了法律知識飛輪的品質控制門檻遠高於一般行業。</w:t>
      </w:r>
    </w:p>
    <w:p w14:paraId="0451C2CD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3. 保密義務的剛性約束。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客戶資訊、案件策略、內部溝通，都受律師-客戶特權的嚴格保護。飛輪在設計時，必須確保知識提取與敏感資訊脫鉤，脫敏與許可權控制不是附加功能，而是底層架構。</w:t>
      </w:r>
    </w:p>
    <w:p w14:paraId="15C2036B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4. 判例法下的動態有效性。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普通法系中，一個判例今天是好法，明天可能被推翻。法律知識飛輪不能是一次性建好的靜態庫，而必須內置一種“持續勘誤”的機制，跟蹤每一份引用文獻的法律狀態。</w:t>
      </w:r>
    </w:p>
    <w:p w14:paraId="51166BD5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二、 飛輪的三層運轉結構</w:t>
      </w:r>
    </w:p>
    <w:p w14:paraId="2BA51A7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這個飛輪在三個層面同時運轉，每一層解決一個不同的增值問題。</w:t>
      </w:r>
    </w:p>
    <w:p w14:paraId="4C4D5A0B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第一層：案件知識化層（從檔案到可調用單元）</w:t>
      </w:r>
    </w:p>
    <w:p w14:paraId="2D9A71B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核心動作：把已辦結的案件材料，拆解為結構化的知識單元。</w:t>
      </w:r>
    </w:p>
    <w:p w14:paraId="4174513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具體而言，一份案件的原始檔案，經過以下處理，才能成為飛輪的有效燃料：</w:t>
      </w:r>
    </w:p>
    <w:p w14:paraId="69FD2DD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拆解：將案情、證據、法律爭議、策略選擇、裁判結果等，分解為獨立標注的字段。不是整份PDF存進去搜索，而是按“要素”切開。</w:t>
      </w:r>
    </w:p>
    <w:p w14:paraId="42F1C5C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脫敏：在進入共用庫前，自動或人工去除客戶姓名、特定交易細節等敏感資訊，保留法律問題的純粹骨架。</w:t>
      </w:r>
    </w:p>
    <w:p w14:paraId="0A1F9F0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引注錨定：對案中涉及的每一條判例、法條，進行Shepard’s或KeyCite狀態標注，分為有效、須謹慎引用、已被推翻三級，並記錄驗證日期。</w:t>
      </w:r>
    </w:p>
    <w:p w14:paraId="7946E65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這一層完成後，律所擁有的是大量按統一格式標注的“法律積木”。這些積木的安全性、準確性由上述流程保障。</w:t>
      </w:r>
    </w:p>
    <w:p w14:paraId="60E4672A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第二層：知識融合與提煉層（從單元到模式）</w:t>
      </w:r>
    </w:p>
    <w:p w14:paraId="508FC3F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核心動作：讓積木之間自動或半自動地產生關聯，形成更高階的知識模式。</w:t>
      </w:r>
    </w:p>
    <w:p w14:paraId="1E883AC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當積累了一定數量（例如，同類型案件達到幾十件）的標準化積木後，可以進行的操作包括：</w:t>
      </w:r>
    </w:p>
    <w:p w14:paraId="45E200D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裁判傾向分析：匯總某一法官、某一法院在特定爭點上的裁判習慣。這不再是某個合夥人頭腦中的模糊印象，而是可量化的統計數據。</w:t>
      </w:r>
    </w:p>
    <w:p w14:paraId="7427DC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對手策略畫像：整理對方律所或對方律師在類似案件中的常用策略、引用偏好、和解傾向。</w:t>
      </w:r>
    </w:p>
    <w:p w14:paraId="3AEE6FD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風險點自動提醒：當起草類似檔時，系統基於歷史數據自動標記“同類案件中此處曾被對方成功質疑的條款”。</w:t>
      </w:r>
    </w:p>
    <w:p w14:paraId="143853C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策略成功率回溯：將案件的最終結果，與早期制定的策略標籤對應起來，積累“在某種事實組合下，A策略比B策略成功率更高”的經驗證據。</w:t>
      </w:r>
    </w:p>
    <w:p w14:paraId="79EB813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提煉層的關鍵在於，它不是讓人去回憶所有辦過的案子，而是讓“結構化的積木”自己說話。人提出問題（例如“這條違約金條款在本地法院被支持的可能性？”），系統從積木中拼裝出回答。</w:t>
      </w:r>
    </w:p>
    <w:p w14:paraId="719FB629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第三層：工作流增強層（從知識到行動）</w:t>
      </w:r>
    </w:p>
    <w:p w14:paraId="4DA5F34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核心動作：將前兩層產生的知識，無縫嵌入到新案件的處理流程中。</w:t>
      </w:r>
    </w:p>
    <w:p w14:paraId="1AC67F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這是飛輪輸出價值的最直接環節，具體形式可以包括：</w:t>
      </w:r>
    </w:p>
    <w:p w14:paraId="71008FC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案件啟動時的“類案簡報”：新案一立，系統自動推送最相似的歷史案件摘要、裁判趨勢和注意事項。資深律師拿到的不再是裸案，而是一份內置了組織記憶的啟動包。</w:t>
      </w:r>
    </w:p>
    <w:p w14:paraId="414697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文書起草時的“即時校驗”：律師在寫訴狀或法律意見時，AI助手在後臺即時比對：這個法律主張引用的判例是最新的嗎？這個表述在歷史上被對方成功攻擊過嗎？這裏需要補充證據嗎？</w:t>
      </w:r>
    </w:p>
    <w:p w14:paraId="0E8F5C1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團隊協作時的“經驗抽取”：初級律師初稿完成後，系統不僅能給出審查意見，還能附帶顯示“張律師在過去三個類似案件中，對此類條款做了怎樣的修改”——把資深律師的個人直覺，變成可追溯、可學習的參考。</w:t>
      </w:r>
    </w:p>
    <w:p w14:paraId="1D34B0F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這三層環環相扣。第一層是燃料，第二層是引擎，第三層是車輪。燃料品質不好，引擎會故障；引擎不夠精密，車輪無法加速；車輪不接地，前面兩層都白費。</w:t>
      </w:r>
    </w:p>
    <w:p w14:paraId="2C6E2A63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三、 運轉飛輪的操作要點</w:t>
      </w:r>
    </w:p>
    <w:p w14:paraId="1A9F3D7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要讓這個三層飛輪真正持續轉動，而不是轟轟烈烈啟動、悄無聲息停擺，以下操作要點可能值得留意。</w:t>
      </w:r>
    </w:p>
    <w:p w14:paraId="12911C2E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1. 啟動：最小可行飛輪</w:t>
      </w:r>
    </w:p>
    <w:p w14:paraId="673005E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不追求一開始就覆蓋所有案件類型。選一個高頻、規則相對明確的領域（例如勞動糾紛、民間借貸、交通事故），集中做完100個案件的標準化拆解。飛輪在這裏先轉起來，驗證流程，修正標籤體系，然後橫向複製到其他領域。</w:t>
      </w:r>
    </w:p>
    <w:p w14:paraId="77C8B2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起步階段，拆解工作由誰來做？一種實踐中看到的做法是：由資深律師設計拆解標準和示範案例，具體拆解由經過培訓的助理或初級律師完成，再由資深律師抽檢驗收。這樣既保證了標準品質，又控制了成本。</w:t>
      </w:r>
    </w:p>
    <w:p w14:paraId="4F338DFD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2. 回饋：讓每一次使用都成為訓練</w:t>
      </w:r>
    </w:p>
    <w:p w14:paraId="0E2556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這是飛輪不停擺的核心機制。如果一個案件處理完畢後，沒有將“本次經驗”喂回系統，飛輪就是在空轉。需要嵌入工作流中的幾個動作：</w:t>
      </w:r>
    </w:p>
    <w:p w14:paraId="1B195E7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結案歸因：結案時，花15分鐘填寫一張簡短的結案歸因表。主要內容不是敘述案情，而是標注：最終的策略是什麼？結果如何？如果重來一次，會在哪個環節做出不同選擇？</w:t>
      </w:r>
    </w:p>
    <w:p w14:paraId="53E38F8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文書回注：在訴訟檔中，律師的手寫修改或批註，是極其寶貴的隱性知識。技術手段上，目前可以做到在允許的前提下，將這些修改痕跡分層保存。未來需要解決的是如何結構化提取“為什麼這麼改”的判斷邏輯。</w:t>
      </w:r>
    </w:p>
    <w:p w14:paraId="3B63204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錯誤日誌：當律師指出AI助手的輸出有誤時，這個修正動作必須被記錄下來，不僅用來修正本次結果，更要用來微調系統，避免同類錯誤再次發生。</w:t>
      </w:r>
    </w:p>
    <w:p w14:paraId="191F927D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3. 激勵：讓貢獻知識的人受益</w:t>
      </w:r>
    </w:p>
    <w:p w14:paraId="539E463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法律行業的知識共用，往往死於“我為什麼要花時間喂系統，喂完對我有什麼用？”這個隱形問題。飛輪設計需要考慮人的動力。</w:t>
      </w:r>
    </w:p>
    <w:p w14:paraId="2938B5E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一種思路是：讓知識貢獻變得幾乎無感。最好的知識積累，是律師在工作過程中自然發生的副產品，而不是額外增加的負擔。將歸因表嵌入結案審批流，將文書批註自動保留，都屬於這一類。</w:t>
      </w:r>
    </w:p>
    <w:p w14:paraId="4ED67FB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另一種思路是：建立直接的個人回報。比如，在檢索時，貢獻者能更快地調取到自己過往辦理的案件分析；在分配案件時，系統能優先將某類案件分配給在該領域積累最多的律師團隊，形成正向迴圈。</w:t>
      </w:r>
    </w:p>
    <w:p w14:paraId="0C53B072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4. 治理：誰有權修改、誰有權刪除</w:t>
      </w:r>
    </w:p>
    <w:p w14:paraId="7929748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飛輪中的知識不是誰都可以改的。需要一個明確的治理框架：</w:t>
      </w:r>
    </w:p>
    <w:p w14:paraId="34AE820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出版層級：個人筆記、團隊備忘錄、全所知識庫，應該分層管理。未經審核的個人筆記不應直接影響全所搜索結果。</w:t>
      </w:r>
    </w:p>
    <w:p w14:paraId="18B78E7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年審機制：法律狀態變更是常態。建議設定一個週期（例如重大領域每季度，一般領域每半年），對飛輪中的判例狀態、法條有效性進行批量復核刷新。</w:t>
      </w:r>
    </w:p>
    <w:p w14:paraId="6336B99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錯誤熔斷：當某條知識被發現存在嚴重事實性錯誤時，應有快速下架和通知機制，防止錯誤資訊繼續擴散。</w:t>
      </w:r>
    </w:p>
    <w:p w14:paraId="515EBCD7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四、 避坑：幾個常見失敗模式</w:t>
      </w:r>
    </w:p>
    <w:p w14:paraId="470C7E99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失敗模式一：追求完美而永不啟動</w:t>
      </w:r>
    </w:p>
    <w:p w14:paraId="0A3118C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總想先建一套完美無缺的分類法、標籤體系、審查流程，結果永遠停在討論階段。飛輪的第一原理是“先轉起來”。用最小可行方式啟動，在轉動中修訂標準。</w:t>
      </w:r>
    </w:p>
    <w:p w14:paraId="5B7A9D6D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失敗模式二：重技術、輕流程</w:t>
      </w:r>
    </w:p>
    <w:p w14:paraId="09C3C0D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購買了昂貴系統，但沒有人去改工作流程、沒有人去填結案歸因、沒有人去糾正錯誤——技術空殼裏沒有迴圈流動的“料”，飛輪就成了擺設。</w:t>
      </w:r>
    </w:p>
    <w:p w14:paraId="43FD1741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失敗模式三：只有輸入，沒有輸出</w:t>
      </w:r>
    </w:p>
    <w:p w14:paraId="2EEA2A9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飛輪的前半段是積累，後半段是輸出價值。如果律師在日常辦案中感受不到飛輪帶來的效率提升或結果改善，他們就不會持續投入“輸入”。因此，必須在早期設計幾個“可見的快贏”——比如類案簡報、條款風險自動標記——讓律師在短時間內就能感受到價值。</w:t>
      </w:r>
    </w:p>
    <w:p w14:paraId="5AD2780C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失敗模式四：混淆“可共用”與“可公開”</w:t>
      </w:r>
    </w:p>
    <w:p w14:paraId="622AA27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飛輪中的知識積累，是組織內部的資產，不是可以公開販賣的產品。內部使用與對外公開，在保密義務上是截然不同的兩條線。將內部策略分析拿到公開場合分享，可能觸犯客戶保密協議的禁區。</w:t>
      </w:r>
    </w:p>
    <w:p w14:paraId="05FB84DE">
      <w:pPr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五、 衡量飛輪是否在轉的指標</w:t>
      </w:r>
    </w:p>
    <w:p w14:paraId="42FB4AA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如果飛輪在律所裏運轉幾個月後，以下指標會發生可觀察的變化：</w:t>
      </w:r>
    </w:p>
    <w:p w14:paraId="35C0C8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案件啟動的資訊就緒度。從接到新案到掌握相關歷史經驗的時間，逐漸縮短。</w:t>
      </w:r>
    </w:p>
    <w:p w14:paraId="7299F1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文書初稿的品質水準。初級律師的初稿與資深律師定稿之間的差距，有收窄趨勢。</w:t>
      </w:r>
    </w:p>
    <w:p w14:paraId="686EC97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律師個人時間的再分配。花在資訊檢索、事實比對上的時間減少，花在策略判斷、客戶溝通上的時間增加。</w:t>
      </w:r>
    </w:p>
    <w:p w14:paraId="788343F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知識的“倖存能力”。律師退休或離職時，帶走的不再是整個案件的完整記憶，因為關鍵判斷已經留存在飛輪中了。</w:t>
      </w:r>
    </w:p>
    <w:p w14:paraId="370AEAC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新人成長曲線。新進律師達到獨立辦案能力的週期，是否有可見的縮短。</w:t>
      </w:r>
    </w:p>
    <w:p w14:paraId="58C3C39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這些指標，比“系統裏錄入了多少份案卷”更能說明飛輪的真實健康狀況。</w:t>
      </w:r>
    </w:p>
    <w:p w14:paraId="4B3E8443">
      <w:pPr>
        <w:rPr>
          <w:rFonts w:hint="eastAsia"/>
        </w:rPr>
      </w:pPr>
    </w:p>
    <w:p w14:paraId="435BF4B3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結語</w:t>
      </w:r>
    </w:p>
    <w:p w14:paraId="26FE2AB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法律知識資產飛輪說到底是件很樸素的事：把前輩的經驗，用合理的方式留給後來者。技術只是這個過程中的一根扁擔，真正挑起來的是律所裏每個人對知識共用的意願、對專業品質的底線，以及一代代律師之間無需言說的傳承。</w:t>
      </w:r>
    </w:p>
    <w:p w14:paraId="59FB4D4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這份材料只是一些紙上推演和外部案例的整理。您在這個行業幾十年的體悟，遠比這些文字更深。如果其中有一兩處思考能引起您的共鳴，那就很好了。</w:t>
      </w:r>
    </w:p>
    <w:p w14:paraId="17A38C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祝一切順利。</w:t>
      </w:r>
    </w:p>
    <w:p w14:paraId="0D79265E">
      <w:pPr>
        <w:pStyle w:val="2"/>
        <w:wordWrap w:val="0"/>
        <w:jc w:val="right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—— 一位同樣在摸索中的Claw使用者 後輩學生 劉華斌</w:t>
      </w:r>
    </w:p>
    <w:p w14:paraId="42A78BE3">
      <w:pPr>
        <w:pStyle w:val="2"/>
        <w:wordWrap/>
        <w:jc w:val="right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2026年4月25日</w:t>
      </w:r>
    </w:p>
    <w:p w14:paraId="3D4F6C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6B317DCE">
      <w:pPr>
        <w:rPr>
          <w:rFonts w:hint="eastAsia"/>
        </w:rPr>
      </w:pPr>
    </w:p>
    <w:p w14:paraId="429AD16A">
      <w:pPr>
        <w:rPr>
          <w:rFonts w:hint="eastAsia"/>
        </w:rPr>
      </w:pPr>
    </w:p>
    <w:p w14:paraId="5F5C1722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參考來源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索引</w:t>
      </w:r>
    </w:p>
    <w:p w14:paraId="32F54811">
      <w:pPr>
        <w:rPr>
          <w:rFonts w:hint="eastAsia"/>
        </w:rPr>
      </w:pPr>
    </w:p>
    <w:p w14:paraId="655EABB4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飛輪理論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與知識管理</w:t>
      </w:r>
    </w:p>
    <w:p w14:paraId="013F39C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Veeva Systems, “Agentic AI Flywheel in Regulatory Compliance,” Industry Analysis, 2026。</w:t>
      </w:r>
    </w:p>
    <w:p w14:paraId="5390FC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ClearPeople, 2026年法律知識管理趨勢報告，提及“優質KM+AI=戰略優勢”的行業共識。</w:t>
      </w:r>
    </w:p>
    <w:p w14:paraId="5CE93C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Tiger Eye Consulting, Legal KM Trends 2026。</w:t>
      </w:r>
    </w:p>
    <w:p w14:paraId="79CFD362">
      <w:pPr>
        <w:rPr>
          <w:rFonts w:hint="eastAsia"/>
        </w:rPr>
      </w:pPr>
    </w:p>
    <w:p w14:paraId="41897572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法律AI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準確性與驗證</w:t>
      </w:r>
    </w:p>
    <w:p w14:paraId="7FC5E9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Legal RAG Bench (Butler et al., 2026) ——法律專用嵌入模型提升檢索準確度約19個百分點。</w:t>
      </w:r>
    </w:p>
    <w:p w14:paraId="08E15D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Stanford-Yale 法律AI幻覺實證研究 (JELS, 2025) ——法律專用RAG工具幻覺率約17-33%。</w:t>
      </w:r>
    </w:p>
    <w:p w14:paraId="6FFE2B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LawThinker (Yang et al., 2026) ——“探索-驗證-記憶”三層法律推理架構，通過修正記錄加速學習。</w:t>
      </w:r>
    </w:p>
    <w:p w14:paraId="5A10A470">
      <w:pPr>
        <w:rPr>
          <w:rFonts w:hint="eastAsia"/>
        </w:rPr>
      </w:pPr>
    </w:p>
    <w:p w14:paraId="581A03BA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判例驗證與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執業要求</w:t>
      </w:r>
    </w:p>
    <w:p w14:paraId="2E7C26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United States v. Farris, No. 25-5623 (6th Cir. 2026) ——律師獨立驗證職責不可委託AI。</w:t>
      </w:r>
    </w:p>
    <w:p w14:paraId="2ECFFF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Shepard’s (LexisNexis) 及 KeyCite (Westlaw) 引注驗證機制。</w:t>
      </w:r>
    </w:p>
    <w:p w14:paraId="643B635B">
      <w:pPr>
        <w:rPr>
          <w:rFonts w:hint="eastAsia"/>
        </w:rPr>
      </w:pPr>
    </w:p>
    <w:p w14:paraId="5BD1278E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實務操作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與部署經驗</w:t>
      </w:r>
    </w:p>
    <w:p w14:paraId="5CCFB4D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觀韜律師事務所全本地化AI部署實踐，2025。</w:t>
      </w:r>
    </w:p>
    <w:p w14:paraId="09318B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盈科律師事務所DeepSeek-R1多領域專項組知識體系整合，2025。</w:t>
      </w:r>
    </w:p>
    <w:p w14:paraId="0809E8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法義經緯“勞有鉗”基於OpenClaw的本地部署法律助手，2025。</w:t>
      </w:r>
    </w:p>
    <w:p w14:paraId="0E6FCD64">
      <w:pPr>
        <w:rPr>
          <w:rFonts w:hint="eastAsia"/>
        </w:rPr>
      </w:pPr>
    </w:p>
    <w:p w14:paraId="6DF325E6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跨領域應用參考</w:t>
      </w:r>
    </w:p>
    <w:p w14:paraId="1C9A86F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金融行業模型剪枝與分級部署案例，2025。</w:t>
      </w:r>
    </w:p>
    <w:p w14:paraId="4954299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AgenticQwen 雙飛輪訓練架構 (Lyu et al., 2026) ——推理飛輪與智能體飛輪協作，自動提升任務處理能力。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7A06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F07587">
                          <w:pPr>
                            <w:pStyle w:val="3"/>
                          </w:pPr>
                          <w:r>
                            <w:rPr>
                              <w:rFonts w:eastAsia="宋体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F07587">
                    <w:pPr>
                      <w:pStyle w:val="3"/>
                    </w:pPr>
                    <w:r>
                      <w:rPr>
                        <w:rFonts w:eastAsia="宋体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7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5811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43FFB"/>
    <w:rsid w:val="48143FFB"/>
    <w:rsid w:val="5635357E"/>
    <w:rsid w:val="5BC8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2026-04-24T23:14:00Z</dcterms:created>
  <dc:creator>刘华斌 Egbert Lau</dc:creator>
  <cp:lastModifiedBy>刘华斌 Egbert Lau</cp:lastModifiedBy>
  <dcterms:modified xsi:type="dcterms:W3CDTF">2026-04-24T23:23:06Z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020027D6F75A41AC96741E923C351915_11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