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81D6F">
      <w:pPr>
        <w:pStyle w:val="16"/>
        <w:rPr>
          <w:u w:val="none"/>
        </w:rPr>
      </w:pPr>
      <w:bookmarkStart w:id="0" w:name="_GoBack"/>
      <w:r>
        <w:rPr>
          <w:rFonts w:ascii="Times New Roman" w:hAnsi="Times New Roman" w:eastAsia="黑体" w:cs="Times New Roman"/>
          <w:kern w:val="2"/>
          <w:sz w:val="36"/>
          <w:szCs w:val="24"/>
          <w:u w:val="none"/>
          <w:lang w:bidi="ar-SA"/>
        </w:rPr>
        <w:t>關於智能體協作與資產飛輪的一些思考</w:t>
      </w:r>
    </w:p>
    <w:bookmarkEnd w:id="0"/>
    <w:p w14:paraId="614F229B">
      <w:pPr>
        <w:rPr>
          <w:rFonts w:hint="eastAsia"/>
        </w:rPr>
      </w:pPr>
    </w:p>
    <w:p w14:paraId="2C2136F2">
      <w:pPr>
        <w:pStyle w:val="11"/>
        <w:ind w:left="0" w:leftChars="0" w:firstLine="0" w:firstLineChars="0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梁主席，您好：</w:t>
      </w:r>
    </w:p>
    <w:p w14:paraId="51C7214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昨天跟您聊到，您用Claw處理案件資料時的情況，以及我對智能體「智能」和資產飛輪的兩點理解。您當時表示認同，我挺受鼓勵的。我回來後，結合這段時間的實踐經歷，整理了一些延伸的信息，想著或許也能為您的探索提供一點參考，就寫下來了。</w:t>
      </w:r>
    </w:p>
    <w:p w14:paraId="66E0A7C9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我理解中當前階段可能遇到的情況</w:t>
      </w:r>
    </w:p>
    <w:p w14:paraId="231F0EF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我自己這兩個月跟Claw協作，有一個很深的體會：它不是傳統軟體。傳統軟體下指令就執行，好壞是功能問題。但Claw有狀態——資料喂多了它會亂，節奏不對它會敷衍。一次塞給它太多東西，它反而什麼重點都抓不住。所以我現在養成的習慣是，先拿一個小任務，從拆解、標註到交叉驗證，一步一步帶著走完，它的輸出才會慢慢變得像回事。</w:t>
      </w:r>
    </w:p>
    <w:p w14:paraId="1EE0E4F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資料多、種類雜、單份材料厚——這幾個條件疊加在一起，冷啟動階段的磨合難度確實會比較大。不是資源不夠，是需要一種有序釋放的方式。每個類型挑一個最小的、最典型的任務先走通，再擴展到同類任務，最後才跨類型。這個節奏，可能比一次性處理所有資料要有效得多。</w:t>
      </w:r>
    </w:p>
    <w:p w14:paraId="4D75495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另外，我在查閱過程中注意到幾組數據。Legal RAG Bench的研究提到，把法律檢索模組從通用版本換成法律專用版本，準確度能提升約19個百分點【Butler et al., 2026, arXiv:2603.01710】。Stanford-Yale的聯合實證研究顯示，即使採用了檢索增強生成技術的法律專用工具，幻覺率也分別在17%和33%左右【JELS, 2025】。國內也有研究者對幾款主流AI法律工具做了系統性測試，發現平均幻覺率約30.8%【國內實證研究，2025】。</w:t>
      </w:r>
    </w:p>
    <w:p w14:paraId="03FF371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這些數據讓我形成一個初步理解：當前階段的瓶頸，可能主要在於三個方面——檢索環節的適配、法律知識的組織方式，以及人機協同的流程設計。</w:t>
      </w:r>
    </w:p>
    <w:p w14:paraId="549F462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資產飛輪：一個可以往下落的概念</w:t>
      </w:r>
    </w:p>
    <w:p w14:paraId="6B49BBF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昨天聊到資產飛輪，這還是一個比較概括的方向。後來我了解了一下類似場景下的實踐，又看到一些數據，覺得可以把這個概念往下再落一落。</w:t>
      </w:r>
    </w:p>
    <w:p w14:paraId="6CF6A34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落到日常工作中，它也許是一個比較樸素的循環：任務完成後，材料被拆解標註，存進本地庫。下一次處理類似任務時，AI自動調取歷史模式。每一次對AI輸出的修正——不只是改結果，還順手記下修改原因——都被系統記憶下來。使用越多，AI越接近使用者的判斷習慣。</w:t>
      </w:r>
    </w:p>
    <w:p w14:paraId="56C81F7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LawThinker團隊的研究提到，使用者對AI輸出的每一次修正，如果不只是改結果，而是把修改原因一併記錄，系統的成長速度會有質的差別【Yang et al., 2026】。這和我自己的體感是吻合的——飛輪能不能轉起來，可能不在於模型參數有多大，而在於每一次人機交互，有沒有把隱性判斷變成機器可以迭代的素材。</w:t>
      </w:r>
    </w:p>
    <w:p w14:paraId="70D994D3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從架構上看，有觀點認為飛輪可能在三個層面同時起作用：</w:t>
      </w:r>
    </w:p>
    <w:p w14:paraId="722CF65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微觀層：每次使用，AI的內部組件都在同步更新——案例庫積累新的標註記錄，技能參數根據修正反饋調整，工作流邏輯在執行中被優化，記憶層記錄使用者的偏好和習慣。</w:t>
      </w:r>
    </w:p>
    <w:p w14:paraId="52991B6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中觀層：文檔材料被拆解成可重組的結構化單元。同一批資料，在不同的組織維度下產生不同的知識組合——按類型重組的趨勢分析，按來源重組的標準把握差異，按時間段重組的演變脈絡。這些是數字資產在系統內部產生的增值。</w:t>
      </w:r>
    </w:p>
    <w:p w14:paraId="318F775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宏觀層：當AI的輔助讓任務處理更精準高效，好的結果又沉澱為新的案例材料，新的材料再反哺AI——形成一個業務層面的增強循環。</w:t>
      </w:r>
    </w:p>
    <w:p w14:paraId="65F23D7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三層不是各自獨立運轉的。微觀層的每次更新為中觀層提供結構化原料，中觀層的知識重組為宏觀層的業務判斷提供支撐，宏觀層的實踐成果又回到微觀層成為新的標註數據。三個層面互相咬合，飛輪才能持續轉動。</w:t>
      </w:r>
    </w:p>
    <w:p w14:paraId="5379B2C9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關於現狀的一個假設性對照</w:t>
      </w:r>
    </w:p>
    <w:p w14:paraId="53AFB3A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如果以五個內部組件——案例庫、技能、工作流、記憶、提示詞——作為分析框架，我自己的體會是，剛起步時這幾個組件都需要在使用中逐步積累。案例庫有原材料但未經拆解標註，技能部分需要從零提煉，工作流需要在反覆執行中成形，記憶靠每一次修正慢慢建立，提示詞隨記憶富集逐漸簡化。這五個組件不是獨立建設的，每一次使用都在同時推動它們各自往前挪一小步。</w:t>
      </w:r>
    </w:p>
    <w:p w14:paraId="06DCBEC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飛輪還沒轉起來的時候，這些困難是必然的。轉起來之後，每一次使用都在為下一次鋪路。</w:t>
      </w:r>
    </w:p>
    <w:p w14:paraId="5B0452D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案例庫：從原材料到可調用的知識單元</w:t>
      </w:r>
    </w:p>
    <w:p w14:paraId="7B08D0B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案例庫是飛輪的基礎組件之一。以下是我在實踐中和查閱中了解到的一些做法。</w:t>
      </w:r>
    </w:p>
    <w:p w14:paraId="0A5B0A23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關於喂資料的節奏</w:t>
      </w:r>
    </w:p>
    <w:p w14:paraId="7E28F12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我自己的體會是，AI一次處理不了太多東西。與其追求一次性覆蓋，不如把一個任務拆成幾個維度，每次只帶它深入一個維度，等輸出穩定了再擴展。這有點像帶新人——不會第一天就把全部材料丟過去，而是一個任務一個任務地過，等他真正理解了再給下一個。</w:t>
      </w:r>
    </w:p>
    <w:p w14:paraId="4FCC21BA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結構化拆解的一種參考方式</w:t>
      </w:r>
    </w:p>
    <w:p w14:paraId="4B0559B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一份判決書的不同部分，法律權重差異很大。「本院認為」和「原告訴稱」對法律判斷的價值完全不同。如果AI把每一段當同等重要來處理，輸出的結果自然難以讓人信服。</w:t>
      </w:r>
    </w:p>
    <w:p w14:paraId="320D75D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我留意到一些實踐中採用的做法，是將案件材料拆解為幾個維度：</w:t>
      </w:r>
    </w:p>
    <w:p w14:paraId="0852B92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程序性事實：立案日期、審理法院、審級、代理方</w:t>
      </w:r>
    </w:p>
    <w:p w14:paraId="7A7CBC8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實體事實：關鍵時間節點、核心法律關係、主要證據類型</w:t>
      </w:r>
    </w:p>
    <w:p w14:paraId="57EB90F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法律要素：爭議焦點、適用法條、裁判邏輯</w:t>
      </w:r>
    </w:p>
    <w:p w14:paraId="0D96E66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策略要素：主張、抗辯、採納情況、得失總結</w:t>
      </w:r>
    </w:p>
    <w:p w14:paraId="3506399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拆解粒度大概到「一條證據」或「一個法律爭點」這個層級。實際使用時可以根據需要增減維度，不需要一次到位。</w:t>
      </w:r>
    </w:p>
    <w:p w14:paraId="1302EAA6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判例法體系下引注有效性的處理方式</w:t>
      </w:r>
    </w:p>
    <w:p w14:paraId="429726C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在英美法體系中，一個判例是否「仍為好法」比它是否「看起來相關」更重要。被上級法院推翻的判例，引用它可能帶來執業上的問題。這個判斷標準對AI輸出質量的影響尤其關鍵——AI檢索到的判例表面上完全適配，但若已被後續判決推翻，引用即構成錯誤。</w:t>
      </w:r>
    </w:p>
    <w:p w14:paraId="7BA5B6D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我了解到有些實踐選擇以引注驗證為核心來組織文檔標記：經Shepard‘s或KeyCite驗證後，用不同標記區分判例狀態——仍為有效法律、已被區分或批評需謹慎引用、已被推翻不可引用。驗證結果附帶驗證日期和驗證人。這不是一次性工作，而是隨案件進展持續更新。</w:t>
      </w:r>
    </w:p>
    <w:p w14:paraId="398156F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這方面如果已有更成熟的內部做法，這些整理只是一種參考。</w:t>
      </w:r>
    </w:p>
    <w:p w14:paraId="5E8DDF56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最小啟動方式</w:t>
      </w:r>
    </w:p>
    <w:p w14:paraId="4BD9A60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我有一個體會：從一個最熟悉的任務類型入手，選幾個已完成的任務做拆解標註。等這套流程在這個類型上跑通了，再擴展到更多任務。這個啟動成本不高，但能讓後續各項工作有一個紮實的起點。</w:t>
      </w:r>
    </w:p>
    <w:p w14:paraId="402B386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技能：讓AI執行特定的分析方法</w:t>
      </w:r>
    </w:p>
    <w:p w14:paraId="212E009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技能是飛輪中連接案例庫與工作流的中間組件——它把案例庫中提煉出的經驗模式轉化為可執行的能力單元。</w:t>
      </w:r>
    </w:p>
    <w:p w14:paraId="09050026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技能這個概念</w:t>
      </w:r>
    </w:p>
    <w:p w14:paraId="700C6CD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在Claw語境下，技能是一套可重複調用的能力單元。它定義了：什麼場景觸發它、按什麼步驟執行、輸出什麼格式、有哪些常見陷阱需要標記。</w:t>
      </w:r>
    </w:p>
    <w:p w14:paraId="2F4710E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通俗地說，技能就是把一個反覆使用的工作方法寫下來，讓AI照此執行，而不是每次都從零開始做通用應答。</w:t>
      </w:r>
    </w:p>
    <w:p w14:paraId="6E64B9D8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提煉方法的一種參考路徑</w:t>
      </w:r>
    </w:p>
    <w:p w14:paraId="2C471EC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我自己的體會是，提煉技能之前，先做幾遍「笨功夫」——把自己在處理某類任務時的步驟，一步一步寫下來。寫完再看，哪些步驟每次必做、哪些視情況而定、哪些是經驗判斷難以標準化。</w:t>
      </w:r>
    </w:p>
    <w:p w14:paraId="1575BB3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然後把這些步驟整理成結構化定義。這個技能的雛形就有了。然後在實際使用中反覆打磨——哪一步多餘、哪一步遺漏、哪個判斷標準需要調整，用一次改一次，慢慢它就變得趁手了。</w:t>
      </w:r>
    </w:p>
    <w:p w14:paraId="1ADAA61A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如何從已有經驗中提煉</w:t>
      </w:r>
    </w:p>
    <w:p w14:paraId="64D6BF2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如果手上有過往的大量同類任務記錄，提煉路徑可能是：從中選出一批代表性樣本，回顧在處理這些任務時反覆使用的方法模式。這些反覆出現的步驟，就是技能的原型。</w:t>
      </w:r>
    </w:p>
    <w:p w14:paraId="4EFC0E17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關於技能來源的安全考慮</w:t>
      </w:r>
    </w:p>
    <w:p w14:paraId="62C2A76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Claw的技能市場是開放的，便利性之外也有風險。有安全研究團隊發現，攻擊者向技能市場發布了大量惡意技能包，其中部分存在可利用的漏洞【ClawHavoc安全報告, 2026】。另一組研究者對四萬多個Agent技能做了安全分析，發現約26.1%存在安全漏洞【SkillFortify, Bhardwaj, 2026】。</w:t>
      </w:r>
    </w:p>
    <w:p w14:paraId="530904D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我了解到的一種比較謹慎的做法是，只使用自己或可信團隊在隔離環境開發的技能，不從公開市場直接安裝未經審查的外掛。技能本身也應該在沙箱中測試穩定後再投入實際使用。</w:t>
      </w:r>
    </w:p>
    <w:p w14:paraId="3494D68C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提示詞隨技能沉澱而簡化</w:t>
      </w:r>
    </w:p>
    <w:p w14:paraId="272044D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一個有意思的現象：當技能定義得足夠精準後，提示詞會自然縮短。以前需要大段描述「你先做什麼再做什麼注意什麼」，現在一句「用某某審查技能處理這份文件」就夠。</w:t>
      </w:r>
    </w:p>
    <w:p w14:paraId="4BB5E43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提示詞從「教AI怎麼做」退化為「告訴AI做什麼」——這是飛輪開始轉動的一個觀察指標。技能把方法固化下來後，提示詞的負擔就輕了。</w:t>
      </w:r>
    </w:p>
    <w:p w14:paraId="576EDEF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工作流：搭建人機協同的流程框架</w:t>
      </w:r>
    </w:p>
    <w:p w14:paraId="29BAFB4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工作流是技能的執行編排——它決定了多個技能以什麼順序、在什麼條件下被調用，以及在哪些節點嵌入人工校驗。</w:t>
      </w:r>
    </w:p>
    <w:p w14:paraId="0EEADA83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一個可參考的三段校驗流程</w:t>
      </w:r>
    </w:p>
    <w:p w14:paraId="49979E6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有一種比較常見的人機協同做法是分段處理：</w:t>
      </w:r>
    </w:p>
    <w:p w14:paraId="150509E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前端：人工限定AI可接觸的材料範圍。含個人身份信息的材料AI不可見。這一步在本地完成。</w:t>
      </w:r>
    </w:p>
    <w:p w14:paraId="55E4B95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中端：AI執行任務。關鍵約束是——遇到不確定時必須提問，不猜測。寧願它頻繁打斷，也不要自作主張。我自己現在的設置是，告訴AI「不確定就說不知道，不知道是合理的回答，比編造更好」。</w:t>
      </w:r>
    </w:p>
    <w:p w14:paraId="43533FE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尾端：AI輸出後，人工複核修改，同時把修改原因記錄下來。這個「修改原因」的積累，在我看來是飛輪的重要素材——它不是改改就完了，而是被系統記住，下次遇到類似情況自動調整。</w:t>
      </w:r>
    </w:p>
    <w:p w14:paraId="54ED49BF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一個來自境外法官討論的判斷標準</w:t>
      </w:r>
    </w:p>
    <w:p w14:paraId="6922411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從ABA相關會議材料中了解到，美國有法官提過一個比較直觀的判斷標準：如果不會讓一名實習律師去做這件事，就不要讓AI去做。需要自由裁量、需要權衡可信度、需要將法律適用於複雜事實的任務，留在自己手裡【ABA Section of Business Law, 2026】。</w:t>
      </w:r>
    </w:p>
    <w:p w14:paraId="4FE1F0F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這個標準用起來比較順手——不需要精細的定義，心裡過一遍就有答案。</w:t>
      </w:r>
    </w:p>
    <w:p w14:paraId="3C2393E6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多Agent監督協同</w:t>
      </w:r>
    </w:p>
    <w:p w14:paraId="2A15AFD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上次跟您聊過設立獨立人格的Agent進行監督。後來我在查閱中注意到，多智能體驗證架構在一些學術研究中已有探索。</w:t>
      </w:r>
    </w:p>
    <w:p w14:paraId="13E6BEE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PROClaim框架模擬法庭辯論——原告Agent、被告Agent、法官Agent各司其職——在零樣本評估中達到81.7%準確率【PROClaim, 2026】。VERDICT系統設計了「草擬—驗證—修訂」工作流，存儲驗證過的推理軌跡，實現跨輪次複用【VERDICT, 2026】。</w:t>
      </w:r>
    </w:p>
    <w:p w14:paraId="132F56E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LawThinker的DeepVerifier模組從三個維度審查每次知識探索：知識準確性、事實-法律關聯性、程序合規性。這一機制讓系統性能提升了約24%【Yang et al., 2026】。</w:t>
      </w:r>
    </w:p>
    <w:p w14:paraId="04B7AE6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些研究幫我形成了一個理解：在主執行Agent之外，配置一個獨立校驗Agent，專門核驗檢索結果是否來自有效來源、推理鏈條有無邏輯跳躍、結論是否附帶精確出處，可能是有益的補充。校驗Agent不需要做生成，只做挑錯——這個分工相對清晰。</w:t>
      </w:r>
    </w:p>
    <w:p w14:paraId="60D0642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記憶：讓AI在使用中逐步適配個人偏好</w:t>
      </w:r>
    </w:p>
    <w:p w14:paraId="4E6891B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記憶是飛輪中「越用越順」的關鍵——它讓前幾個組件積累的經驗與規則，最終適配到具體使用者的個人標準。</w:t>
      </w:r>
    </w:p>
    <w:p w14:paraId="7DC31963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短期記憶與長期記憶的分工</w:t>
      </w:r>
    </w:p>
    <w:p w14:paraId="4F44A57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短期記憶維持同一任務處理過程中的信息連貫性，避免AI在長對話中遺忘前面的分析。長期記憶則存儲工作風格偏好——審查重點放在哪裡、對某些標準的寬嚴把握、偏好的文書結構和措辭習慣。</w:t>
      </w:r>
    </w:p>
    <w:p w14:paraId="5F58AB1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我自己的體會是，短期記憶不牢靠——對話長了、輪次多了，AI還是會丟信息。所以重要的上下文，我習慣在關鍵節點手動確認一遍。長期記憶則是靠每一次修正慢慢建立，沒有捷徑。</w:t>
      </w:r>
    </w:p>
    <w:p w14:paraId="0198B938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從詳盡的提示詞到簡潔的任務意圖</w:t>
      </w:r>
    </w:p>
    <w:p w14:paraId="2738FE9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初期每次跟AI說話可能都需要比較詳細。但隨著記憶層積累——AI記住了使用者對某些問題的判斷標準、偏好的輸出結構、常用的分析框架——提示詞有望逐漸簡化。</w:t>
      </w:r>
    </w:p>
    <w:p w14:paraId="727657B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有一種觀點認為，提示詞從長篇指令退化為一句話說明任務意圖，是飛輪開始轉動的標誌【Veeva Agentic AI Flywheel Analysis, 2026】。這個進化是使用中長出來的，不是一次性設計出來的。</w:t>
      </w:r>
    </w:p>
    <w:p w14:paraId="589A093D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修正記錄作為記憶的種子</w:t>
      </w:r>
    </w:p>
    <w:p w14:paraId="2F3D126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每次改AI輸出時順手記下的那句「為什麼改」，本質上是在幫AI理解「我的標準和你默認的標準差在哪裡」。積累到一定量後，AI在同類問題上自動向使用者的標準靠攏，不再需要每次糾正。</w:t>
      </w:r>
    </w:p>
    <w:p w14:paraId="54FE75C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這個做法沒有什麼技術門檻，唯一的成本是每次多花半分鐘。但它可能是飛輪啟動階段性價比最高的動作。</w:t>
      </w:r>
    </w:p>
    <w:p w14:paraId="6E19CEE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關於AI誠實表達的訓練</w:t>
      </w:r>
    </w:p>
    <w:p w14:paraId="3AAF7A8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誠實是飛輪能否建立信任的基礎。AI如果不會說「不知道」，它就會猜測；一旦猜測，就可能產生虛構——這些虛構如果未被識別而進入案例庫，會污染整個飛輪的數據根基。以下是我在實踐中嘗試過和從查閱中了解到的一些做法。</w:t>
      </w:r>
    </w:p>
    <w:p w14:paraId="3CB69489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在提示詞中明確誠實優先</w:t>
      </w:r>
    </w:p>
    <w:p w14:paraId="088CB43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直接告訴AI：「不知道是合理的答案，比猜測更好。如果你沒有找到足夠信息支撐一個判斷，請明確說出你的不確定。」這個要求看似簡單，但加上和不加，AI的行為有明顯差異。</w:t>
      </w:r>
    </w:p>
    <w:p w14:paraId="7EB65BE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需要注意的是，有些模型在訓練中被灌輸了「總是要有答案」的傾向，光靠提示詞不一定完全扭轉。所以提示詞只是第一道防線，還需要後續手段配合。</w:t>
      </w:r>
    </w:p>
    <w:p w14:paraId="28A5BDED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用驗證問題測試誠實基線</w:t>
      </w:r>
    </w:p>
    <w:p w14:paraId="0964E57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主動問AI一些已知答案的問題，觀察它是否如實表達。測試時可以在不同條件下反覆驗證，找到當前版本的誠實表現規律。</w:t>
      </w:r>
    </w:p>
    <w:p w14:paraId="1AE0520F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鼓勵AI暴露思考過程</w:t>
      </w:r>
    </w:p>
    <w:p w14:paraId="6BD7BCA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要求AI在給出結論的同時，展示它是怎麼找到這個結論的——檢索了哪些來源、排除了哪些可能、不確定的地方在哪裡。思考過程透明了，虛構的藏身之處就少了，檢驗也有了抓手。</w:t>
      </w:r>
    </w:p>
    <w:p w14:paraId="24BF4FC4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在技能定義中嵌入誠實約束</w:t>
      </w:r>
    </w:p>
    <w:p w14:paraId="4BB87F0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以合同條款審查技能為例，在技能定義裡可以加幾條約束：凡是在合同文本中沒有明確出現的條款，一律不推斷；凡是需要外部分析才能確定的判斷，一律標註「需人工確認」；凡是沒有找到權威出處的引用，一律不生成。</w:t>
      </w:r>
    </w:p>
    <w:p w14:paraId="2C5183B0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這些約束把誠實從「期望」變成了「執行規範」。</w:t>
      </w:r>
    </w:p>
    <w:p w14:paraId="1318D38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用校驗Agent做誠實監督</w:t>
      </w:r>
    </w:p>
    <w:p w14:paraId="0220B61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跟前一章的獨立校驗Agent銜接——校驗Agent除了核驗準確度，還可以專門標記「這個結論是否超出了AI應當自知的能力邊界」。誠實和準確其實是校驗的一體兩面。</w:t>
      </w:r>
    </w:p>
    <w:p w14:paraId="047F4C2E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誠實度與使用習慣的關聯</w:t>
      </w:r>
    </w:p>
    <w:p w14:paraId="1BE4629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從實踐來看，AI的誠實表現跟使用者的互動方式有關。如果使用者每次在AI說「不確定」時給予正向反饋——比如認可它的誠實而非追著要答案——它的誠實行為會慢慢被強化。反之，如果每次都逼它給結論，它就會學會「編也要編一個」。</w:t>
      </w:r>
    </w:p>
    <w:p w14:paraId="4791F7F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一個也許有用的原則是：在AI誠實時獎賞它，在AI給不出答案時不懲罰它。</w:t>
      </w:r>
    </w:p>
    <w:p w14:paraId="394E7B6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安全與能力的兼顧：本地部署的一些方案參考</w:t>
      </w:r>
    </w:p>
    <w:p w14:paraId="6FAE000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安全是飛輪運行的外部邊界。以下是我了解到的一些在本地部署前提下兼顧能力與安全的方案。</w:t>
      </w:r>
    </w:p>
    <w:p w14:paraId="2B3CB83F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模型壓縮的可能性</w:t>
      </w:r>
    </w:p>
    <w:p w14:paraId="3078EC1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如果堅持全部本地部署，硬體的算力壓力是客觀存在的。我看到一些其他行業的實踐：通過對模型剪枝和精度量化，在保持約92%準確率的前提下，單文檔處理時顯著下降【金融行業模型量化部署案例，2025】。法律應用場景對精度要求更高，具體能壓縮到什麼程度需要實測驗證，無法直接套用其他行業的結果。</w:t>
      </w:r>
    </w:p>
    <w:p w14:paraId="787387D2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端雲協同的三段式方案</w:t>
      </w:r>
    </w:p>
    <w:p w14:paraId="13C42C9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有一種折中思路的架構：本地脫敏、雲端推理、本地回填。</w:t>
      </w:r>
    </w:p>
    <w:p w14:paraId="12087BE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具體邏輯是：所有敏感信息在本地處理乾淨——姓名、金額、公司名稱等替換為通用佔位符——然後把純粹的分析推理問題送出去算。雲端只看見「甲方/乙方/X元」這樣的無標識文本，算完返回本地，再把佔位符還原為原始信息。</w:t>
      </w:r>
    </w:p>
    <w:p w14:paraId="349D5E2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原始數據始終不出域，雲端接觸不到任何可識別信息。LegalGuardian框架的實測數據顯示，個人身份信息檢測的F1得分在93%至97%之間，脫敏後語義保真度保持在高水平【LegalGuardian, 2025】。</w:t>
      </w:r>
    </w:p>
    <w:p w14:paraId="3325D83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這種方案並不是萬能的——脫敏本身有漏檢風險，雲端傳輸鏈路也需要加密——但它提供了一種「不完全放棄雲端算力」的可能性。</w:t>
      </w:r>
    </w:p>
    <w:p w14:paraId="118766A6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一些基礎的安全原則</w:t>
      </w:r>
    </w:p>
    <w:p w14:paraId="1378CCE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無論選擇哪種部署模式，我了解到的一些安全措施包括：每次AI調用全程留痕，以便追溯；對對方提交的外部文件做注入檢測；技能來源保持審慎，僅從可信來源安裝；所有AI相關工具在容器或沙箱中運行，限制其操作系統層面的權限。</w:t>
      </w:r>
    </w:p>
    <w:p w14:paraId="5E0AE14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這些都是原則性做法，具體落實需要根據實際部署環境和技術棧來適配。</w:t>
      </w:r>
    </w:p>
    <w:p w14:paraId="0802CE15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安全環境中AI誠實度的變化</w:t>
      </w:r>
    </w:p>
    <w:p w14:paraId="6845C66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有一個值得留意的現象：AI的誠實表達，跟運行環境的約束程度也有關係。我的體感是，當上下文窗口被大量資料占滿時，AI更容易給出不確定的猜測而非誠實聲明；當每次交互的信息量控制在合理範圍內，它說「我不知道」的概率會更高一些。</w:t>
      </w:r>
    </w:p>
    <w:p w14:paraId="73397DA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保持每次交互的信息量適中，本身也是促進誠實度的一項基礎操作。誠實度的問題，當前沒有完美的解決方案——它需要提示詞設計、技能約束、校驗Agent監督、使用者的互動習慣、以及運行環境約束等多個環節配合。這部分在實踐中仍然是一個需要持續關注的課題。</w:t>
      </w:r>
    </w:p>
    <w:p w14:paraId="73A1CB6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來自其他領域的經驗碎片</w:t>
      </w:r>
    </w:p>
    <w:p w14:paraId="3BF05160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金融領域的權限分級思路</w:t>
      </w:r>
    </w:p>
    <w:p w14:paraId="47C4559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我了解到金融機構在部署AI時，通常將業務區域按風險等級劃分：低風險區域允許自動化——比如報告摘要、數據整理；中風險區域部分授權——比如合同草案、初步分析；高風險區域強制人工全程參與——比如涉及客戶的實質性決策、合規審查。</w:t>
      </w:r>
    </w:p>
    <w:p w14:paraId="3510881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這個分層邏輯也許可以參考。把任務類型和風險等級對應起來，逐級決定AI的自主程度，而不是一刀切地「全用」或「全不用」。</w:t>
      </w:r>
    </w:p>
    <w:p w14:paraId="75E522C5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科研領域的雙飛輪訓練思路</w:t>
      </w:r>
    </w:p>
    <w:p w14:paraId="7878CD0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阿里巴巴發布的AgenticQwen框架設計了兩套飛輪：推理飛輪讓AI從失敗案例中自動生成更難的任務，智能體飛輪將簡單工具調用擴展為多分支行為樹。兩個飛輪協作，自動提升AI處理複雜任務的能力，無需人工逐案標註【AgenticQwen, Lyu et al., 2026, arXiv:2604.21590】。</w:t>
      </w:r>
    </w:p>
    <w:p w14:paraId="65853F2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這個思路的一個啟示是：也許不需要由人去逐一編寫訓練案例。系統可以根據過往結果自動生成更具挑戰性的推演場景，訓練和提升的過程本身也變成一種自動化資產。</w:t>
      </w:r>
    </w:p>
    <w:p w14:paraId="6BEF2585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醫療領域的隱私計算思路</w:t>
      </w:r>
    </w:p>
    <w:p w14:paraId="5AB2FC0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Lancelot系統將全同態加密與聯邦學習融合，讓多個機構可以聯合訓練模型，各自數據不出本地但知識共享【Ma et al., Nature Machine Intelligence, 2025】。</w:t>
      </w:r>
    </w:p>
    <w:p w14:paraId="13EE649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這提供了一種遠期想象：在跨機構聯合訓練AI模型時，或許存在一條「數據不出域、知識可共享」的技術路徑。當然，從學術研究到日常可用還有相當距離，只是想說明這個方向有人在探索。</w:t>
      </w:r>
    </w:p>
    <w:p w14:paraId="6BD881E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u w:val="none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一份10步啟動參考清單</w:t>
      </w:r>
    </w:p>
    <w:p w14:paraId="3D43162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以下是基於我自己這幾個月實踐和查閱整理的一個參考性清單，每一項都標註了大概的時間投入，供您比對。它不是一個執行計劃，只是一個起步時可以隨手翻翻的參照。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6075"/>
        <w:gridCol w:w="1641"/>
      </w:tblGrid>
      <w:tr w14:paraId="3F09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A2120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步驟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A1488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操作內容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87EFB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  <w:t>時間參考</w:t>
            </w:r>
          </w:p>
        </w:tc>
      </w:tr>
      <w:tr w14:paraId="36681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E1937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第1步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473D2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停止大量餵食。選一個最熟悉的任務類型，只帶一個小任務走通全流程。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EE995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立即</w:t>
            </w:r>
          </w:p>
        </w:tc>
      </w:tr>
      <w:tr w14:paraId="5010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F7FCB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第2步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4E319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把這個任務的材料拆解為程式事實、實體事實、法律要素、策略要素幾個維度。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63DEC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每個任務約1 - 2小時</w:t>
            </w:r>
          </w:p>
        </w:tc>
      </w:tr>
      <w:tr w14:paraId="39DD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54AE6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第3步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F7DC2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請技術人員把Claw的檢索嵌入模型從通用版本換為法律專用版本或做領域微調。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18BB2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技術人員1 - 2天</w:t>
            </w:r>
          </w:p>
        </w:tc>
      </w:tr>
      <w:tr w14:paraId="7246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3D4AF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第4步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F73A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要求AI輸出每個主張時附帶引用的具體來源和段落號。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08EC8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配置約1天</w:t>
            </w:r>
          </w:p>
        </w:tc>
      </w:tr>
      <w:tr w14:paraId="49C5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91F6F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第5步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72A58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確定一個直觀的判斷標準：不確定能不能讓AI做的事，先不做。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2B7CC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立即</w:t>
            </w:r>
          </w:p>
        </w:tc>
      </w:tr>
      <w:tr w14:paraId="21109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73BD0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第6步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C0A32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每次修改AI輸出，用一句話記下修改原因。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1C28F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每次約30秒</w:t>
            </w:r>
          </w:p>
        </w:tc>
      </w:tr>
      <w:tr w14:paraId="731B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15D28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第7步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EFB8D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在沙箱中用脫敏舊材料反復練習，暫不碰實際案件。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22B9C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每日空閒</w:t>
            </w:r>
          </w:p>
        </w:tc>
      </w:tr>
      <w:tr w14:paraId="12E6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CAD8D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第8步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202D4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把一個常用的工作方法寫成Claw技能外掛，在沙箱中測試穩定。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C982F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每技能約1 - 2小時</w:t>
            </w:r>
          </w:p>
        </w:tc>
      </w:tr>
      <w:tr w14:paraId="4E81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FB923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第9步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6B64B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在工作流中加入三段式校驗：前端限定範圍、中端要求不確定即提問、後端復核留痕。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B373F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融入日常</w:t>
            </w:r>
          </w:p>
        </w:tc>
      </w:tr>
      <w:tr w14:paraId="2F531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4A85">
            <w:pPr>
              <w:spacing w:beforeAutospacing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第10步</w:t>
            </w:r>
          </w:p>
        </w:tc>
        <w:tc>
          <w:tcPr>
            <w:tcW w:w="358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225F5">
            <w:pPr>
              <w:spacing w:beforeAutospacing="0" w:afterAutospacing="0"/>
              <w:ind w:righ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在一個領域打磨到輸出穩定後，再橫向擴展到其他類型。</w:t>
            </w:r>
          </w:p>
        </w:tc>
        <w:tc>
          <w:tcPr>
            <w:tcW w:w="96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72202">
            <w:pPr>
              <w:spacing w:beforeAutospacing="0" w:after="0" w:afterAutospacing="0"/>
              <w:ind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1 - 3個月</w:t>
            </w:r>
          </w:p>
        </w:tc>
      </w:tr>
    </w:tbl>
    <w:p w14:paraId="3F5CB063">
      <w:pPr>
        <w:pStyle w:val="11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幾點補充</w:t>
      </w:r>
    </w:p>
    <w:p w14:paraId="7410EA1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前6步如果做紮實了，後面的擴展會比較順暢。</w:t>
      </w:r>
    </w:p>
    <w:p w14:paraId="2D1E842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這個清單不包含技術選型、預算和團隊培訓——那些需要結合實際情況來定。</w:t>
      </w:r>
    </w:p>
    <w:p w14:paraId="5BEF35A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每個領域大概需要幾十個完整任務的積累，AI在這一領域的輸出才開始穩定。這個數字僅供參考。</w:t>
      </w:r>
    </w:p>
    <w:p w14:paraId="33BC997F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30CDCAD1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結尾</w:t>
      </w:r>
    </w:p>
    <w:p w14:paraId="0DD8622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寫到這裡，這份材料的主體就差不多了。</w:t>
      </w:r>
    </w:p>
    <w:p w14:paraId="218CBBC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這兩個月跟Claw協作下來，最大的感受其實不是技術層面的——而是心態上的。一開始我也期待它能「開箱即用」，後來才慢慢接受，它需要被帶、被磨、被約束，就像一個需要長期磨合的工作搭檔。這個認知本身，可能比任何具體技巧都重要。</w:t>
      </w:r>
    </w:p>
    <w:p w14:paraId="3367685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資產飛輪也不是一個能一步到位的東西。它是用一次、改一次、記一次，這樣一圈一圈轉出來的。早期轉得慢，甚至感覺不到在轉，但積累到某個時點，改變會變得可以感知。</w:t>
      </w:r>
    </w:p>
    <w:p w14:paraId="7F348BE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我自己還在這條路上摸索。這份材料裡提到的做法和數據，有些是我試過的，有些是我查到的，有些還在驗證中。如果有那麼幾條恰好能用上，那就很好。如果大部分您已經了解或在別處讀過，那它至少幫您確認了——您目前遇到的困難，不是您一個人的問題，而是一個很多人在同時面對、正在逐步解決的共同課題。</w:t>
      </w:r>
    </w:p>
    <w:p w14:paraId="448B859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梁主席，跟您做這樣一次同步，對我自己也是很踏實的學習。祝一切順利。</w:t>
      </w:r>
    </w:p>
    <w:p w14:paraId="753C57BF">
      <w:pPr>
        <w:rPr>
          <w:rFonts w:hint="eastAsia"/>
        </w:rPr>
      </w:pPr>
    </w:p>
    <w:p w14:paraId="0D79265E">
      <w:pPr>
        <w:pStyle w:val="11"/>
        <w:wordWrap w:val="0"/>
        <w:jc w:val="right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—— 一位同樣在摸索中的Claw使用者 後輩學生 劉華斌</w:t>
      </w:r>
    </w:p>
    <w:p w14:paraId="42A78BE3">
      <w:pPr>
        <w:pStyle w:val="11"/>
        <w:wordWrap/>
        <w:jc w:val="right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2026年4月25日</w:t>
      </w:r>
    </w:p>
    <w:p w14:paraId="58DB373F">
      <w:pPr>
        <w:rPr>
          <w:rFonts w:hint="eastAsia"/>
        </w:rPr>
      </w:pPr>
    </w:p>
    <w:p w14:paraId="48536E05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506860FC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參考來源索引</w:t>
      </w:r>
    </w:p>
    <w:p w14:paraId="0720359A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377BFB36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實證研究與基準測試</w:t>
      </w:r>
    </w:p>
    <w:p w14:paraId="7C8FA6D6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Butler et al., Legal RAG Bench: A New Benchmark for Retrieval-Augmented Generation in Law, 2026, arXiv:2603.01710. 【檢索是性能天花板，法律嵌入提升約19個百分點】</w:t>
      </w:r>
    </w:p>
    <w:p w14:paraId="5AE27E8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Stanford-Yale Empirical Evaluation Study, Hallucination in Legal AI Tools, Journal of Empirical Legal Studies, 2025. 【Lexis+ AI約17%幻覺率，Westlaw AI約33%】</w:t>
      </w:r>
    </w:p>
    <w:p w14:paraId="5C8FD73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HalluHard Benchmark, 2026. 【多輪對話中錯誤級聯放大】</w:t>
      </w:r>
    </w:p>
    <w:p w14:paraId="3D30191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國內AI法律工具系統性實證研究，2025. 【國內法律AI工具平均幻覺率約30.8%】</w:t>
      </w:r>
    </w:p>
    <w:p w14:paraId="4DED7D3A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7476B00E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智能體架構與驗證框架</w:t>
      </w:r>
    </w:p>
    <w:p w14:paraId="105FDB9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LawThinker: Yang et al., Explore-Verify-Memorize for Legal Reasoning, 2026.</w:t>
      </w:r>
    </w:p>
    <w:p w14:paraId="31A4BC2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VERDICT: Multi-Agent Deliberation with Hybrid Jurisprudential Memory, 2026, arXiv:2603.19306.</w:t>
      </w:r>
    </w:p>
    <w:p w14:paraId="3179DEF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PROClaim: Adversarial Multi-Agent Legal Reasoning Framework, 2026.</w:t>
      </w:r>
    </w:p>
    <w:p w14:paraId="08135251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Memento-Skills: Self-Evolving Agent Skills, 2026, ICML 2026 submission.</w:t>
      </w:r>
    </w:p>
    <w:p w14:paraId="19B27869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AgenticQwen: Lyu et al., Dual Data Flywheels for Agent Training, 2026, arXiv:2604.21590.</w:t>
      </w:r>
    </w:p>
    <w:p w14:paraId="375121B7">
      <w:pPr>
        <w:rPr>
          <w:rFonts w:hint="eastAsia"/>
        </w:rPr>
      </w:pPr>
    </w:p>
    <w:p w14:paraId="300C0D45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安全與供應鏈</w:t>
      </w:r>
    </w:p>
    <w:p w14:paraId="34448F8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OpenClaw Security Taxonomy: Suwansathit et al., 2026, Texas A&amp;M University.</w:t>
      </w:r>
    </w:p>
    <w:p w14:paraId="1EC6D1A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ClawHavoc: Malicious Skill Injection in Agent Ecosystems, 2026.</w:t>
      </w:r>
    </w:p>
    <w:p w14:paraId="19BF3B8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SkillFortify: Bhardwaj, Formal Security Analysis of Agent Skills, 2026, arXiv:2603.00195.</w:t>
      </w:r>
    </w:p>
    <w:p w14:paraId="03D44F8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LegalGuardian: PII Redaction Framework for Legal AI, 2025. 【PII檢測F1得分93%-97%】</w:t>
      </w:r>
    </w:p>
    <w:p w14:paraId="4BC2BA84">
      <w:pPr>
        <w:rPr>
          <w:rFonts w:hint="eastAsia"/>
        </w:rPr>
      </w:pPr>
    </w:p>
    <w:p w14:paraId="0A91BDCF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判例與監管指引</w:t>
      </w:r>
    </w:p>
    <w:p w14:paraId="13289F57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United States v. John Farris, No. 25-5623, 6th Cir., April 3, 2026. 【律師不可將驗證職責委託非律師】</w:t>
      </w:r>
    </w:p>
    <w:p w14:paraId="0329FA1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UK Courts and Tribunals Judiciary, Artificial Intelligence Guidance for Judicial Office Holders, October 2025.</w:t>
      </w:r>
    </w:p>
    <w:p w14:paraId="7824288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Philippine Supreme Court A.M. No. 25-11-28-SC, February 18, 2026. 【五項強制披露要求】</w:t>
      </w:r>
    </w:p>
    <w:p w14:paraId="24FF6FB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深圳市中級人民法院等，《司法領域「智能體技術」應用指南》，2026. 【四項負面清單】</w:t>
      </w:r>
    </w:p>
    <w:p w14:paraId="64A8A868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ABA Section of Business Law, 2026 Spring Meeting Materials. 【明線測試】</w:t>
      </w:r>
    </w:p>
    <w:p w14:paraId="62F4CD3E">
      <w:pPr>
        <w:rPr>
          <w:rFonts w:hint="eastAsia"/>
        </w:rPr>
      </w:pPr>
    </w:p>
    <w:p w14:paraId="48CD2D48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產業分析與技術方案</w:t>
      </w:r>
    </w:p>
    <w:p w14:paraId="73D3E06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Artificial Lawyer Predictions 2026.</w:t>
      </w:r>
    </w:p>
    <w:p w14:paraId="39F1E29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Veeva Agentic AI Flywheel Analysis, AInvest, April 2026.</w:t>
      </w:r>
    </w:p>
    <w:p w14:paraId="540411FC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Tiger Eye Consulting, Legal KM Trends 2026.</w:t>
      </w:r>
    </w:p>
    <w:p w14:paraId="66E5E05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觀韜律師事務所AI部署實踐，2025.</w:t>
      </w:r>
    </w:p>
    <w:p w14:paraId="6B23470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盈科律師事務所DeepSeek-R1部署實踐，2025.</w:t>
      </w:r>
    </w:p>
    <w:p w14:paraId="405FC46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第四範式法律AI智能體解決方案，2025.</w:t>
      </w:r>
    </w:p>
    <w:p w14:paraId="16C1A85B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法義經緯「勞有鉗」基於OpenClaw的本地部署AI法律助手，2025.</w:t>
      </w:r>
    </w:p>
    <w:p w14:paraId="2F93BB1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無問芯穹InfiniClaw Box端雲一體三段式架構，2025.</w:t>
      </w:r>
    </w:p>
    <w:p w14:paraId="77E4530E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李學堯，「認知協同司法決策模型（六步法）」，2025.</w:t>
      </w:r>
    </w:p>
    <w:p w14:paraId="692AE45F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貴州大學「法管家」項目，2025.</w:t>
      </w:r>
    </w:p>
    <w:p w14:paraId="64E93595">
      <w:pPr>
        <w:rPr>
          <w:rFonts w:hint="eastAsia"/>
        </w:rPr>
      </w:pPr>
    </w:p>
    <w:p w14:paraId="102B150D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醫療與金融跨領域參考</w:t>
      </w:r>
    </w:p>
    <w:p w14:paraId="40BCD82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Lancelot: Ma et al., Federated Learning with Fully Homomorphic Encryption, Nature Machine Intelligence, 2025.</w:t>
      </w:r>
    </w:p>
    <w:p w14:paraId="159F9ED3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金融行業模型剪枝與量化部署案例，2025.</w:t>
      </w:r>
    </w:p>
    <w:p w14:paraId="7FC9E1AD">
      <w:pPr>
        <w:rPr>
          <w:rFonts w:hint="eastAsia"/>
        </w:rPr>
      </w:pPr>
    </w:p>
    <w:p w14:paraId="58290EB0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bidi="ar-SA"/>
        </w:rPr>
        <w:t>深度研究參考（本報告撰寫過程中涉及的搜索主題）</w:t>
      </w:r>
    </w:p>
    <w:p w14:paraId="553C86A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法律AI幻覺率的多輪實證評估（Stanford-Yale RegLab聯合研究，2025）</w:t>
      </w:r>
    </w:p>
    <w:p w14:paraId="45DC64C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法律RAG系統的信息檢索性能上限（Isaacus團隊Legal RAG Bench，2026）</w:t>
      </w:r>
    </w:p>
    <w:p w14:paraId="2A742B3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多Agent法律推理與驗證框架（LawThinker, VERDICT, PROClaim，2026）</w:t>
      </w:r>
    </w:p>
    <w:p w14:paraId="7842CBCA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Agent技能生態安全分析（ClawHavoc, SkillFortify，2026）</w:t>
      </w:r>
    </w:p>
    <w:p w14:paraId="4C7736C5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司法AI治理框架比較（菲律賓最高法院指南，深圳智能體技術應用指南，UK Judicial AI Guidance，2026）</w:t>
      </w:r>
    </w:p>
    <w:p w14:paraId="3F975924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雙飛輪訓練機制（AgenticQwen，2026）</w:t>
      </w:r>
    </w:p>
    <w:p w14:paraId="67F15F9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隱私保護與端雲協同架構（LegalGuardian, Lancelot, InfiniClaw Box，2025-2026）</w:t>
      </w:r>
    </w:p>
    <w:p w14:paraId="7D569AF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法律AI工具市場定價與部署模式（NexLaw, Harvey, LexisNexis, Westlaw，2026）</w:t>
      </w:r>
    </w:p>
    <w:p w14:paraId="6C7C8CED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律所AI培訓與能力鴻溝（8am報告，ABA AI任務組，2026）</w:t>
      </w:r>
    </w:p>
    <w:p w14:paraId="4F4AFB22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- AI誠實度與校驗Agent協同機制（基於實踐驗證，2025-2026）</w:t>
      </w:r>
    </w:p>
    <w:p w14:paraId="67F0E6F0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B154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7F9047">
                          <w:pPr>
                            <w:pStyle w:val="12"/>
                          </w:pPr>
                          <w:r>
                            <w:rPr>
                              <w:rFonts w:eastAsia="宋体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eastAsia="宋体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eastAsia="宋体"/>
                            </w:rPr>
                            <w:t xml:space="preserve"> 頁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eastAsia="宋体"/>
                            </w:rPr>
                            <w:t>31</w:t>
                          </w:r>
                          <w:r>
                            <w:fldChar w:fldCharType="end"/>
                          </w:r>
                          <w:r>
                            <w:rPr>
                              <w:rFonts w:eastAsia="宋体"/>
                            </w:rPr>
                            <w:t xml:space="preserve"> 頁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7F9047">
                    <w:pPr>
                      <w:pStyle w:val="12"/>
                    </w:pPr>
                    <w:r>
                      <w:rPr>
                        <w:rFonts w:eastAsia="宋体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rFonts w:eastAsia="宋体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eastAsia="宋体"/>
                      </w:rPr>
                      <w:t xml:space="preserve"> 頁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eastAsia="宋体"/>
                      </w:rPr>
                      <w:t>31</w:t>
                    </w:r>
                    <w:r>
                      <w:fldChar w:fldCharType="end"/>
                    </w:r>
                    <w:r>
                      <w:rPr>
                        <w:rFonts w:eastAsia="宋体"/>
                      </w:rPr>
                      <w:t xml:space="preserve"> 頁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EC581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4C6EFF"/>
    <w:multiLevelType w:val="singleLevel"/>
    <w:tmpl w:val="444C6EF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C37A0"/>
    <w:rsid w:val="05842B3E"/>
    <w:rsid w:val="09AE3C4C"/>
    <w:rsid w:val="0B461B4E"/>
    <w:rsid w:val="195725A1"/>
    <w:rsid w:val="29E74DB9"/>
    <w:rsid w:val="41152BE9"/>
    <w:rsid w:val="4CFC153A"/>
    <w:rsid w:val="5D0B53E7"/>
    <w:rsid w:val="62D91738"/>
    <w:rsid w:val="64140EE1"/>
    <w:rsid w:val="67A55E99"/>
    <w:rsid w:val="73FC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1174</Words>
  <Characters>1285</Characters>
  <Lines>0</Lines>
  <Paragraphs>0</Paragraphs>
  <TotalTime>139</TotalTime>
  <ScaleCrop>false</ScaleCrop>
  <LinksUpToDate>false</LinksUpToDate>
  <CharactersWithSpaces>1295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2026-04-24T19:27:00Z</dcterms:created>
  <dc:creator>刘华斌 Egbert Lau</dc:creator>
  <cp:lastModifiedBy>刘华斌 Egbert Lau</cp:lastModifiedBy>
  <dcterms:modified xsi:type="dcterms:W3CDTF">2026-04-24T23:23:26Z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56B2AEDAB76040B78DDC24E814D788A8_13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