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81D6F">
      <w:pPr>
        <w:pStyle w:val="16"/>
        <w:rPr>
          <w:u w:val="none"/>
        </w:rPr>
      </w:pPr>
      <w:r>
        <w:rPr>
          <w:u w:val="none"/>
        </w:rPr>
        <w:t>关于智能体协作与资产飞轮的一些思考</w:t>
      </w:r>
    </w:p>
    <w:p w14:paraId="614F229B">
      <w:pPr>
        <w:rPr>
          <w:rFonts w:hint="eastAsia"/>
        </w:rPr>
      </w:pPr>
    </w:p>
    <w:p w14:paraId="2C2136F2">
      <w:pPr>
        <w:pStyle w:val="11"/>
        <w:ind w:left="0" w:leftChars="0" w:firstLine="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 w:cs="Times New Roman"/>
          <w:b w:val="0"/>
          <w:i w:val="0"/>
          <w:strike w:val="0"/>
          <w:color w:val="auto"/>
          <w:sz w:val="24"/>
          <w:szCs w:val="24"/>
          <w:u w:val="none"/>
          <w:lang w:eastAsia="zh-CN"/>
        </w:rPr>
        <w:t>梁主席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，您好：</w:t>
      </w:r>
      <w:bookmarkStart w:id="0" w:name="_GoBack"/>
      <w:bookmarkEnd w:id="0"/>
    </w:p>
    <w:p w14:paraId="51C7214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昨天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跟您聊到</w:t>
      </w:r>
      <w:r>
        <w:rPr>
          <w:rFonts w:hint="eastAsia" w:eastAsia="宋体" w:cs="Times New Roman"/>
          <w:b w:val="0"/>
          <w:i w:val="0"/>
          <w:strike w:val="0"/>
          <w:color w:val="auto"/>
          <w:sz w:val="24"/>
          <w:szCs w:val="24"/>
          <w:u w:val="none"/>
          <w:lang w:eastAsia="zh-CN"/>
        </w:rPr>
        <w:t>，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您用Claw处理案件资料时的情况，以及我对智能体“</w:t>
      </w:r>
      <w:r>
        <w:rPr>
          <w:rFonts w:hint="eastAsia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智能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”和资产飞轮的两点理解。您当时表示认同，我挺受鼓励的。我回来后，结合这段时间的实践经历，整理了一些延伸的信息，想着或许也能为您的探索提供一点参考，就写下来了。</w:t>
      </w:r>
    </w:p>
    <w:p w14:paraId="66E0A7C9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rPr>
          <w:u w:val="none"/>
        </w:rPr>
        <w:t>我理解中当前阶段可能遇到的情况</w:t>
      </w:r>
    </w:p>
    <w:p w14:paraId="231F0EF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我自己这两个月跟Claw协作，有一个很深的体会：它不是传统软件。传统软件下指令就执行，好坏是功能问题。但Claw有状态——资料喂多了它会乱，节奏不对它会敷衍。一次塞给它太多东西，它反而什么重点都抓不住。所以我现在养成的习惯是，先拿一个小任务，从拆解、标注到交叉验证，一步一步带着走完，它的输出才会慢慢变得像回事。</w:t>
      </w:r>
    </w:p>
    <w:p w14:paraId="1EE0E4F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资料多、种类杂、单份材料厚——这几个条件叠加在一起，冷启动阶段的磨合难度确实会比较大。不是资源不够，是需要一种有序释放的方式。每个类型挑一个最小的、最典型的任务先走通，再扩展到同类任务，最后才跨类型。这个节奏，可能比一次性处理所有资料要有效得多。</w:t>
      </w:r>
    </w:p>
    <w:p w14:paraId="4D75495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另外，我在查阅过程中注意到几组数据。Legal RAG Bench的研究提到，把法律检索模块从通用版本换成法律专用版本，准确度能提升约19个百分点【Butler et al., 2026, arXiv:2603.01710】。Stanford-Yale的联合实证研究显示，即使采用了检索增强生成技术的法律专用工具，幻觉率也分别在17%和33%左右【JELS, 2025】。国内也有研究者对几款主流AI法律工具做了系统性测试，发现平均幻觉率约30.8%【国内实证研究，2025】。</w:t>
      </w:r>
    </w:p>
    <w:p w14:paraId="03FF371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这些数据让我形成一个初步理解：当前阶段的瓶颈，可能主要在于三个方面——检索环节的适配、法律知识的组织方式，以及人机协同的流程设计。</w:t>
      </w:r>
    </w:p>
    <w:p w14:paraId="549F462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t>资产飞轮：一个可以往下落的概念</w:t>
      </w:r>
    </w:p>
    <w:p w14:paraId="6B49BBF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 w:cs="Times New Roman"/>
          <w:sz w:val="24"/>
          <w:szCs w:val="24"/>
          <w:lang w:val="en-US" w:eastAsia="zh-CN"/>
        </w:rPr>
        <w:t>昨天</w:t>
      </w:r>
      <w:r>
        <w:rPr>
          <w:rFonts w:ascii="Times New Roman" w:hAnsi="Times New Roman" w:eastAsia="宋体" w:cs="Times New Roman"/>
          <w:sz w:val="24"/>
          <w:szCs w:val="24"/>
        </w:rPr>
        <w:t>聊到资产飞轮，这还是一个比较概括的方向。后来我了解了一下类似场景下的实践，又看到一些数据，觉得可以把这个概念往下再落一落。</w:t>
      </w:r>
    </w:p>
    <w:p w14:paraId="6CF6A34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落到日常工作中，它也许是一个比较朴素的循环：任务完成后，材料被拆解标注，存进本地库。下一次处理类似任务时，AI自动调取历史模式。每一次对AI输出的修正——不只是改结果，还顺手记下修改原因——都被系统记忆下来。使用越多，AI越接近使用者的判断习惯。</w:t>
      </w:r>
    </w:p>
    <w:p w14:paraId="56C81F7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LawThinker团队的研究提到，使用者对AI输出的每一次修正，如果不只是改结果，而是把修改原因一并记录，系统的成长速度会有质的差别【Yang et al., 2026】。这和我自己的体感是吻合的——飞轮能不能转起来，可能不在于模型参数有多大，而在于每一次人机交互，有没有把隐性判断变成机器可以迭代的素材。</w:t>
      </w:r>
    </w:p>
    <w:p w14:paraId="70D994D3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从架构上看，有观点认为飞轮可能在三个层面同时起作用：</w:t>
      </w:r>
    </w:p>
    <w:p w14:paraId="722CF65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微观层：每次使用，AI的内部组件都在同步更新——案例库积累新的标注记录，技能参数根据修正反馈调整，工作流逻辑在执行中被优化，记忆层记录使用者的偏好和习惯。</w:t>
      </w:r>
    </w:p>
    <w:p w14:paraId="52991B6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中观层：文档材料被拆解成可重组的结构化单元。同一批资料，在不同的组织维度下产生不同的知识组合——按类型重组的趋势分析，按来源重组的标准把握差异，按时间段重组的演变脉络。这些是数字资产在系统内部产生的增值。</w:t>
      </w:r>
    </w:p>
    <w:p w14:paraId="318F775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宏观层：当AI的辅助让任务处理更精准高效，好的结果又沉淀为新的案例材料，新的材料再反哺AI——形成一个业务层面的增强循环。</w:t>
      </w:r>
    </w:p>
    <w:p w14:paraId="65F23D7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三层不是各自独立运转的。微观层的每次更新为中观层提供结构化原料，中观层的知识重组为宏观层的业务判断提供支撑，宏观层的实践成果又回到微观层成为新的标注数据。三个层面互相咬合，飞轮才能持续转动。</w:t>
      </w:r>
    </w:p>
    <w:p w14:paraId="5379B2C9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关于现状的一个假设性对照</w:t>
      </w:r>
    </w:p>
    <w:p w14:paraId="53AFB3A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如果以五个内部组件——案例库、技能、工作流、记忆、提示词——作为分析框架，我自己的体会是，刚起步时这几个组件都需要在使用中逐步积累。案例库有原材料但未经拆解标注，技能部分需要从零提炼，工作流需要在反复执行中成形，记忆靠每一次修正慢慢建立，提示词随记忆富集逐渐简化。这五个组件不是独立建设的，每一次使用都在同时推动它们各自往前挪一小步。</w:t>
      </w:r>
    </w:p>
    <w:p w14:paraId="06DCBEC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飞轮还没转起来的时候，这些困难是必然的。转起来之后，每一次使用都在为下一次铺路。</w:t>
      </w:r>
    </w:p>
    <w:p w14:paraId="5B0452D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t>案例库：从原材料到可调用的知识单元</w:t>
      </w:r>
    </w:p>
    <w:p w14:paraId="7B08D0B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案例库是飞轮的基础组件之一。以下是我在实践中和查阅中了解到的一些做法。</w:t>
      </w:r>
    </w:p>
    <w:p w14:paraId="0A5B0A23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关于喂资料的节奏</w:t>
      </w:r>
    </w:p>
    <w:p w14:paraId="7E28F12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我自己的体会是，AI一次处理不了太多东西。与其追求一次性覆盖，不如把一个任务拆成几个维度，每次只带它深入一个维度，等输出稳定了再扩展。这有点像带新人——不会第一天就把全部材料丢过去，而是一个任务一个任务地过，等他真正理解了再给下一个。</w:t>
      </w:r>
    </w:p>
    <w:p w14:paraId="4FCC21BA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结构化拆解的一种参考方式</w:t>
      </w:r>
    </w:p>
    <w:p w14:paraId="4B0559B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一份判决书的不同部分，法律权重差异很大。“本院认为”和“原告诉称”对法律判断的价值完全不同。如果AI把每一段当同等重要来处理，输出的结果自然难以让人信服。</w:t>
      </w:r>
    </w:p>
    <w:p w14:paraId="320D75D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我留意到一些实践中采用的做法，是将案件材料拆解为几个维度：</w:t>
      </w:r>
    </w:p>
    <w:p w14:paraId="0852B92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程序性事实：立案日期、审理法院、审级、代理方</w:t>
      </w:r>
    </w:p>
    <w:p w14:paraId="7A7CBC8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实体事实：关键时间节点、核心法律关系、主要证据类型</w:t>
      </w:r>
    </w:p>
    <w:p w14:paraId="57EB90F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法律要素：争议焦点、适用法条、裁判逻辑</w:t>
      </w:r>
    </w:p>
    <w:p w14:paraId="0D96E66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策略要素：主张、抗辩、采纳情况、得失总结</w:t>
      </w:r>
    </w:p>
    <w:p w14:paraId="3506399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拆解粒度大概到“一条证据”或“一个法律争点”这个层级。实际使用时可以根据需要增减维度，不需要一次到位。</w:t>
      </w:r>
    </w:p>
    <w:p w14:paraId="1302EAA6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判例法体系下引注有效性的处理方式</w:t>
      </w:r>
    </w:p>
    <w:p w14:paraId="429726C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在英美法体系中，一个判例是否“仍为好法”比它是否“看起来相关”更重要。被上级法院推翻的判例，引用它可能带来执业上的问题。这个判断标准对AI输出质量的影响尤其关键——AI检索到的判例表面上完全适配，但若已被后续判决推翻，引用即构成错误。</w:t>
      </w:r>
    </w:p>
    <w:p w14:paraId="7BA5B6D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我了解到有些实践选择以引注验证为核心来组织文档标记：经Shepard‘s或KeyCite验证后，用不同标记区分判例状态——仍为有效法律、已被区分或批评需谨慎引用、已被推翻不可引用。验证结果附带验证日期和验证人。这不是一次性工作，而是随案件进展持续更新。</w:t>
      </w:r>
    </w:p>
    <w:p w14:paraId="398156F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这方面如果已有更成熟的内部做法，这些整理只是一种参考。</w:t>
      </w:r>
    </w:p>
    <w:p w14:paraId="5E8DDF56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最小启动方式</w:t>
      </w:r>
    </w:p>
    <w:p w14:paraId="4BD9A60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我有一个体会：从一个最熟悉的任务类型入手，选几个已完成的任务做拆解标注。等这套流程在这个类型上跑通了，再扩展到更多任务。这个启动成本不高，但能让后续各项工作有一个扎实的起点。</w:t>
      </w:r>
    </w:p>
    <w:p w14:paraId="402B386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t>技能：让AI执行特定的分析方法</w:t>
      </w:r>
    </w:p>
    <w:p w14:paraId="212E009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技能是飞轮中连接案例库与工作流的中间组件——它把案例库中提炼出的经验模式转化为可执行的能力单元。</w:t>
      </w:r>
    </w:p>
    <w:p w14:paraId="09050026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技能这个概念</w:t>
      </w:r>
    </w:p>
    <w:p w14:paraId="700C6CD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在Claw语境下，技能是一套可重复调用的能力单元。它定义了：什么场景触发它、按什么步骤执行、输出什么格式、有哪些常见陷阱需要标记。</w:t>
      </w:r>
    </w:p>
    <w:p w14:paraId="2F4710E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通俗地说，技能就是把一个反复使用的工作方法写下来，让AI照此执行，而不是每次都从零开始做通用应答。</w:t>
      </w:r>
    </w:p>
    <w:p w14:paraId="6E64B9D8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提炼方法的一种参考路径</w:t>
      </w:r>
    </w:p>
    <w:p w14:paraId="2C471EC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我自己的体会是，提炼技能之前，先做几遍“笨功夫”——把自己在处理某类任务时的步骤，一步一步写下来。写完再看，哪些步骤每次必做、哪些视情况而定、哪些是经验判断难以标准化。</w:t>
      </w:r>
    </w:p>
    <w:p w14:paraId="1575BB3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然后把这些步骤整理成结构化定义。这个技能的雏形就有了。然后在实际使用中反复打磨——哪一步多余、哪一步遗漏、哪个判断标准需要调整，用一次改一次，慢慢它就变得趁手了。</w:t>
      </w:r>
    </w:p>
    <w:p w14:paraId="1ADAA61A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如何从已有经验中提炼</w:t>
      </w:r>
    </w:p>
    <w:p w14:paraId="64D6BF2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如果手上有过往的大量同类任务记录，提炼路径可能是：从中选出一批代表性样本，回顾在处理这些任务时反复使用的方法模式。这些反复出现的步骤，就是技能的原型。</w:t>
      </w:r>
    </w:p>
    <w:p w14:paraId="4EFC0E17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关于技能来源的安全考虑</w:t>
      </w:r>
    </w:p>
    <w:p w14:paraId="62C2A76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Claw的技能市场是开放的，便利性之外也有风险。有安全研究团队发现，攻击者向技能市场发布了大量恶意技能包，其中部分存在可利用的漏洞【ClawHavoc安全报告, 2026】。另一组研究者对四万多个Agent技能做了安全分析，发现约26.1%存在安全漏洞【SkillFortify, Bhardwaj, 2026】。</w:t>
      </w:r>
    </w:p>
    <w:p w14:paraId="530904D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我了解到的一种比较谨慎的做法是，只使用自己或可信团队在隔离环境开发的技能，不从公开市场直接安装未经审查的插件。技能本身也应该在沙箱中测试稳定后再投入实际使用。</w:t>
      </w:r>
    </w:p>
    <w:p w14:paraId="3494D68C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提示词随技能沉淀而简化</w:t>
      </w:r>
    </w:p>
    <w:p w14:paraId="272044D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一个有意思的现象：当技能定义得足够精准后，提示词会自然缩短。以前需要大段描述“你先做什么再做什么注意什么”，现在一句“用某某审查技能处理这份文件”就够。</w:t>
      </w:r>
    </w:p>
    <w:p w14:paraId="4BB5E43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提示词从“教AI怎么做”退化为“告诉AI做什么”——这是飞轮开始转动的一个观察指标。技能把方法固化下来后，提示词的负担就轻了。</w:t>
      </w:r>
    </w:p>
    <w:p w14:paraId="576EDEF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t>工作流：搭建人机协同的流程框架</w:t>
      </w:r>
    </w:p>
    <w:p w14:paraId="29BAFB4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工作流是技能的执行编排——它决定了多个技能以什么顺序、在什么条件下被调用，以及在哪些节点嵌入人工校验。</w:t>
      </w:r>
    </w:p>
    <w:p w14:paraId="0EEADA83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一个可参考的三段校验流程</w:t>
      </w:r>
    </w:p>
    <w:p w14:paraId="49979E6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有一种比较常见的人机协同做法是分段处理：</w:t>
      </w:r>
    </w:p>
    <w:p w14:paraId="150509E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前端：人工限定AI可接触的材料范围。含个人身份信息的材料AI不可见。这一步在本地完成。</w:t>
      </w:r>
    </w:p>
    <w:p w14:paraId="55E4B95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中端：AI执行任务。关键约束是——遇到不确定时必须提问，不猜测。宁愿它频繁打断，也不要自作主张。我自己现在的设置是，告诉AI“不确定就说不知道，不知道是合理的回答，比编造更好”。</w:t>
      </w:r>
    </w:p>
    <w:p w14:paraId="43533FE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尾端：AI输出后，人工复核修改，同时把修改原因记录下来。这个“修改原因”的积累，在我看来是飞轮的重要素材——它不是改改就完了，而是被系统记住，下次遇到类似情况自动调整。</w:t>
      </w:r>
    </w:p>
    <w:p w14:paraId="54ED49BF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一个来自境外法官讨论的判断标准</w:t>
      </w:r>
    </w:p>
    <w:p w14:paraId="6922411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从ABA相关会议材料中了解到，美国有法官提过一个比较直观的判断标准：如果不会让一名实习律师去做这件事，就不要让AI去做。需要自由裁量、需要权衡可信度、需要将法律适用于复杂事实的任务，留在自己手里【ABA Section of Business Law, 2026】。</w:t>
      </w:r>
    </w:p>
    <w:p w14:paraId="4FE1F0F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这个标准用起来比较顺手——不需要精细的定义，心里过一遍就有答案。</w:t>
      </w:r>
    </w:p>
    <w:p w14:paraId="3C2393E6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多Agent监督协同</w:t>
      </w:r>
    </w:p>
    <w:p w14:paraId="2A15AFD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上次跟您聊过设立独立人格的Agent进行监督。后来我在查阅中注意到，多智能体验证架构在一些学术研究中已有探索。</w:t>
      </w:r>
    </w:p>
    <w:p w14:paraId="13E6BEE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PROClaim框架模拟法庭辩论——原告Agent、被告Agent、法官Agent各司其职——在零样本评估中达到81.7%准确率【PROClaim, 2026】。VERDICT系统设计了“草拟—验证—修订”工作流，存储验证过的推理轨迹，实现跨轮次复用【VERDICT, 2026】。</w:t>
      </w:r>
    </w:p>
    <w:p w14:paraId="132F56E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LawThinker的DeepVerifier模块从三个维度审查每次知识探索：知识准确性、事实-法律关联性、程序合规性。这一机制让系统性能提升了约24%【Yang et al., 2026】。</w:t>
      </w:r>
    </w:p>
    <w:p w14:paraId="04B7AE6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这些研究帮我形成了一个理解：在主执行Agent之外，配置一个独立校验Agent，专门核验检索结果是否来自有效来源、推理链条有无逻辑跳跃、结论是否附带精确出处，可能是有益的补充。校验Agent不需要做生成，只做挑错——这个分工相对清晰。</w:t>
      </w:r>
    </w:p>
    <w:p w14:paraId="60D0642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t>记忆：让AI在使用中逐步适配个人偏好</w:t>
      </w:r>
    </w:p>
    <w:p w14:paraId="4E6891B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记忆是飞轮中“越用越顺”的关键——它让前几个组件积累的经验与规则，最终适配到具体使用者的个人标准。</w:t>
      </w:r>
    </w:p>
    <w:p w14:paraId="7DC31963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短期记忆与长期记忆的分工</w:t>
      </w:r>
    </w:p>
    <w:p w14:paraId="4F44A57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短期记忆维持同一任务处理过程中的信息连贯性，避免AI在长对话中遗忘前面的分析。长期记忆则存储工作风格偏好——审查重点放在哪里、对某些标准的宽严把握、偏好的文书结构和措辞习惯。</w:t>
      </w:r>
    </w:p>
    <w:p w14:paraId="5F58AB1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我自己的体会是，短期记忆不牢靠——对话长了、轮次多了，AI还是会丢信息。所以重要的上下文，我习惯在关键节点手动确认一遍。长期记忆则是靠每一次修正慢慢建立，没有捷径。</w:t>
      </w:r>
    </w:p>
    <w:p w14:paraId="0198B938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从详尽的提示词到简洁的任务意图</w:t>
      </w:r>
    </w:p>
    <w:p w14:paraId="2738FE9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初期每次跟AI说话可能都需要比较详细。但随着记忆层积累——AI记住了使用者对某些问题的判断标准、偏好的输出结构、常用的分析框架——提示词有望逐渐简化。</w:t>
      </w:r>
    </w:p>
    <w:p w14:paraId="727657B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有一种观点认为，提示词从长篇指令退化为一句话说明任务意图，是飞轮开始转动的标志【Veeva Agentic AI Flywheel Analysis, 2026】。这个进化是使用中长出来的，不是一次性设计出来的。</w:t>
      </w:r>
    </w:p>
    <w:p w14:paraId="589A093D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修正记录作为记忆的种子</w:t>
      </w:r>
    </w:p>
    <w:p w14:paraId="2F3D126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每次改AI输出时顺手记下的那句“为什么改”，本质上是在帮AI理解“我的标准和你默认的标准差在哪里”。积累到一定量后，AI在同类问题上自动向使用者的标准靠拢，不再需要每次纠正。</w:t>
      </w:r>
    </w:p>
    <w:p w14:paraId="54FE75C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这个做法没有什么技术门槛，唯一的成本是每次多花半分钟。但它可能是飞轮启动阶段性价比最高的动作。</w:t>
      </w:r>
    </w:p>
    <w:p w14:paraId="6E19CEE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t>关于AI诚实表达的训练</w:t>
      </w:r>
    </w:p>
    <w:p w14:paraId="3AAF7A8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诚实是飞轮能否建立信任的基础。AI如果不会说“不知道”，它就会猜测；一旦猜测，就可能产生虚构——这些虚构如果未被识别而进入案例库，会污染整个飞轮的数据根基。以下是我在实践中尝试过和从查阅中了解到的一些做法。</w:t>
      </w:r>
    </w:p>
    <w:p w14:paraId="3CB69489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在提示词中明确诚实优先</w:t>
      </w:r>
    </w:p>
    <w:p w14:paraId="088CB43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直接告诉AI：“不知道是合理的答案，比猜测更好。如果你没有找到足够信息支撑一个判断，请明确说出你的不确定。”这个要求看似简单，但加上和不加，AI的行为有明显差异。</w:t>
      </w:r>
    </w:p>
    <w:p w14:paraId="7EB65BE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需要注意的是，有些模型在训练中被灌输了“总是要有答案”的倾向，光靠提示词不一定完全扭转。所以提示词只是第一道防线，还需要后续手段配合。</w:t>
      </w:r>
    </w:p>
    <w:p w14:paraId="28A5BDED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用验证问题测试诚实基线</w:t>
      </w:r>
    </w:p>
    <w:p w14:paraId="0964E57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主动问AI一些已知答案的问题，观察它是否如实表达。测试时可以在不同条件下反复验证，找到当前版本的诚实表现规律。</w:t>
      </w:r>
    </w:p>
    <w:p w14:paraId="1AE0520F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鼓励AI暴露思考过程</w:t>
      </w:r>
    </w:p>
    <w:p w14:paraId="6BD7BCA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要求AI在给出结论的同时，展示它是怎么找到这个结论的——检索了哪些来源、排除了哪些可能、不确定的地方在哪里。思考过程透明了，虚构的藏身之处就少了，检验也有了抓手。</w:t>
      </w:r>
    </w:p>
    <w:p w14:paraId="24BF4FC4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在技能定义中嵌入诚实约束</w:t>
      </w:r>
    </w:p>
    <w:p w14:paraId="4BB87F0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以合同条款审查技能为例，在技能定义里可以加几条约束：凡是在合同文本中没有明确出现的条款，一律不推断；凡是需要外部分析才能确定的判断，一律标注“需人工确认”；凡是没有找到权威出处的引用，一律不生成。</w:t>
      </w:r>
    </w:p>
    <w:p w14:paraId="2C5183B0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这些约束把诚实从“期望”变成了“执行规范”。</w:t>
      </w:r>
    </w:p>
    <w:p w14:paraId="1318D38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用校验Agent做诚实监督</w:t>
      </w:r>
    </w:p>
    <w:p w14:paraId="0220B61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跟前一章的独立校验Agent衔接——校验Agent除了核验准确度，还可以专门标记“这个结论是否超出了AI应当自知的能力边界”。诚实和准确其实是校验的一体两面。</w:t>
      </w:r>
    </w:p>
    <w:p w14:paraId="047F4C2E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诚实度与使用习惯的关联</w:t>
      </w:r>
    </w:p>
    <w:p w14:paraId="1BE4629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从实践来看，AI的诚实表现跟使用者的互动方式有关。如果使用者每次在AI说“不确定”时给予正向反馈——比如认可它的诚实而非追着要答案——它的诚实行为会慢慢被强化。反之，如果每次都逼它给结论，它就会学会“编也要编一个”。</w:t>
      </w:r>
    </w:p>
    <w:p w14:paraId="4791F7F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一个也许有用的原则是：在AI诚实时奖赏它，在AI给不出答案时不惩罚它。</w:t>
      </w:r>
    </w:p>
    <w:p w14:paraId="394E7B6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t>安全与能力的兼顾：本地部署的一些方案参考</w:t>
      </w:r>
    </w:p>
    <w:p w14:paraId="6FAE000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安全是飞轮运行的外部边界。以下是我了解到的一些在本地部署前提下兼顾能力与安全的方案。</w:t>
      </w:r>
    </w:p>
    <w:p w14:paraId="2B3CB83F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模型压缩的可能性</w:t>
      </w:r>
    </w:p>
    <w:p w14:paraId="3078EC1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如果坚持全部本地部署，硬件的算力压力是客观存在的。我看到一些其他行业的实践：通过对模型剪枝和精度量化，在保持约92%准确率的前提下，单文档处理时延显著下降【金融行业模型量化部署案例，2025】。法律应用场景对精度要求更高，具体能压缩到什么程度需要实测验证，无法直接套用其他行业的结果。</w:t>
      </w:r>
    </w:p>
    <w:p w14:paraId="787387D2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端云协同的三段式方案</w:t>
      </w:r>
    </w:p>
    <w:p w14:paraId="13C42C9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有一种折中思路的架构：本地脱敏、云端推理、本地回填。</w:t>
      </w:r>
    </w:p>
    <w:p w14:paraId="12087BE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具体逻辑是：所有敏感信息在本地处理干净——姓名、金额、公司名称等替换为通用占位符——然后把纯粹的分析推理问题送出去算。云端只看见“甲方/乙方/X元”这样的无标识文本，算完返回本地，再把占位符还原为原始信息。</w:t>
      </w:r>
    </w:p>
    <w:p w14:paraId="349D5E2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原始数据始终不出域，云端接触不到任何可识别信息。LegalGuardian框架的实测数据显示，个人身份信息检测的F1得分在93%至97%之间，脱敏后语义保真度保持在高水平【LegalGuardian, 2025】。</w:t>
      </w:r>
    </w:p>
    <w:p w14:paraId="3325D83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这种方案并不是万能的——脱敏本身有漏检风险，云端传输链路也需要加密——但它提供了一种“不完全放弃云端算力”的可能性。</w:t>
      </w:r>
    </w:p>
    <w:p w14:paraId="118766A6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一些基础的安全原则</w:t>
      </w:r>
    </w:p>
    <w:p w14:paraId="1378CCE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无论选择哪种部署模式，我了解到的一些安全措施包括：每次AI调用全程留痕，以便追溯；对对方提交的外部文件做注入检测；技能来源保持审慎，仅从可信来源安装；所有AI相关工具在容器或沙箱中运行，限制其操作系统层面的权限。</w:t>
      </w:r>
    </w:p>
    <w:p w14:paraId="5E0AE14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这些都是原则性做法，具体落实需要根据实际部署环境和技术栈来适配。</w:t>
      </w:r>
    </w:p>
    <w:p w14:paraId="0802CE15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安全环境中AI诚实度的变化</w:t>
      </w:r>
    </w:p>
    <w:p w14:paraId="6845C66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有一个值得留意的现象：AI的诚实表达，跟运行环境的约束程度也有关系。我的体感是，当上下文窗口被大量资料占满时，AI更容易给出不确定的猜测而非诚实声明；当每次交互的信息量控制在合理范围内，它说“我不知道”的概率会更高一些。</w:t>
      </w:r>
    </w:p>
    <w:p w14:paraId="73397DA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保持每次交互的信息量适中，本身也是促进诚实度的一项基础操作。诚实度的问题，当前没有完美的解决方案——它需要提示词设计、技能约束、校验Agent监督、使用者的互动习惯、以及运行环境约束等多个环节配合。这部分在实践中仍然是一个需要持续关注的课题。</w:t>
      </w:r>
    </w:p>
    <w:p w14:paraId="73A1CB6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t>来自其他领域的经验碎片</w:t>
      </w:r>
    </w:p>
    <w:p w14:paraId="3BF05160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金融领域的权限分级思路</w:t>
      </w:r>
    </w:p>
    <w:p w14:paraId="47C4559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我了解到金融机构在部署AI时，通常将业务区域按风险等级划分：低风险区域允许自动化——比如报告摘要、数据整理；中风险区域部分授权——比如合同草案、初步分析；高风险区域强制人工全程参与——比如涉及客户的实质性决策、合规审查。</w:t>
      </w:r>
    </w:p>
    <w:p w14:paraId="3510881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这个分层逻辑也许可以参考。把任务类型和风险等级对应起来，逐级决定AI的自主程度，而不是一刀切地“全用”或“全不用”。</w:t>
      </w:r>
    </w:p>
    <w:p w14:paraId="75E522C5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科研领域的双飞轮训练思路</w:t>
      </w:r>
    </w:p>
    <w:p w14:paraId="7878CD0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阿里巴巴发布的AgenticQwen框架设计了两套飞轮：推理飞轮让AI从失败案例中自动生成更难的任务，智能体飞轮将简单工具调用扩展为多分支行为树。两个飞轮协作，自动提升AI处理复杂任务的能力，无需人工逐案标注【AgenticQwen, Lyu et al., 2026, arXiv:2604.21590】。</w:t>
      </w:r>
    </w:p>
    <w:p w14:paraId="65853F2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这个思路的一个启示是：也许不需要由人去逐一编写训练案例。系统可以根据过往结果自动生成更具挑战性的推演场景，训练和提升的过程本身也变成一种自动化资产。</w:t>
      </w:r>
    </w:p>
    <w:p w14:paraId="6BEF2585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医疗领域的隐私计算思路</w:t>
      </w:r>
    </w:p>
    <w:p w14:paraId="5AB2FC0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Lancelot系统将全同态加密与联邦学习融合，让多个机构可以联合训练模型，各自数据不出本地但知识共享【Ma et al., Nature Machine Intelligence, 2025】。</w:t>
      </w:r>
    </w:p>
    <w:p w14:paraId="13EE649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这提供了一种远期想象：在跨机构联合训练AI模型时，或许存在一条“数据不出域、知识可共享”的技术路径。当然，从学术研究到日常可用还有相当距离，只是想说明这个方向有人在探索。</w:t>
      </w:r>
    </w:p>
    <w:p w14:paraId="6BD881E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t>一份10步启动参考清单</w:t>
      </w:r>
    </w:p>
    <w:p w14:paraId="3D43162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以下是基于我自己这几个月实践和查阅整理的一个参考性清单，每一项都标注了大概的时间投入，供您比对。它不是一个执行计划，只是一个起步时可以随手翻翻的参照。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6075"/>
        <w:gridCol w:w="1641"/>
      </w:tblGrid>
      <w:tr w14:paraId="3F09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A2120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步驟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A1488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操作內容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87EFB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時間參考</w:t>
            </w:r>
          </w:p>
        </w:tc>
      </w:tr>
      <w:tr w14:paraId="36681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E1937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第1步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473D2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停止大量餵食。選一個最熟悉的任務類型，只帶一個小任務走通全流程。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EE995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立即</w:t>
            </w:r>
          </w:p>
        </w:tc>
      </w:tr>
      <w:tr w14:paraId="5010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F7FCB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第2步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4E319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把這個任務的材料拆解為程式事實、實體事實、法律要素、策略要素幾個維度。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63DEC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每個任務約1 - 2小時</w:t>
            </w:r>
          </w:p>
        </w:tc>
      </w:tr>
      <w:tr w14:paraId="39DD2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54AE6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第3步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F7DC2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請技術人員把Claw的檢索嵌入模型從通用版本換為法律專用版本或做領域微調。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18BB2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技術人員1 - 2天</w:t>
            </w:r>
          </w:p>
        </w:tc>
      </w:tr>
      <w:tr w14:paraId="7246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3D4AF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第4步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3F73A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要求AI輸出每個主張時附帶引用的具體來源和段落號。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08EC8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配置約1天</w:t>
            </w:r>
          </w:p>
        </w:tc>
      </w:tr>
      <w:tr w14:paraId="49C58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91F6F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第5步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72A58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確定一個直觀的判斷標準：不確定能不能讓AI做的事，先不做。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2B7CC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立即</w:t>
            </w:r>
          </w:p>
        </w:tc>
      </w:tr>
      <w:tr w14:paraId="21109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73BD0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第6步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C0A32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每次修改AI輸出，用一句話記下修改原因。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1C28F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每次約30秒</w:t>
            </w:r>
          </w:p>
        </w:tc>
      </w:tr>
      <w:tr w14:paraId="731B1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15D28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第7步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EFB8D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在沙箱中用脫敏舊材料反復練習，暫不碰實際案件。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22B9C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每日空閒</w:t>
            </w:r>
          </w:p>
        </w:tc>
      </w:tr>
      <w:tr w14:paraId="12E6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CAD8D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第8步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202D4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把一個常用的工作方法寫成Claw技能插件，在沙箱中測試穩定。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C982F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每技能約1 - 2小時</w:t>
            </w:r>
          </w:p>
        </w:tc>
      </w:tr>
      <w:tr w14:paraId="4E815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FB923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第9步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6B64B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在工作流中加入三段式校驗：前端限定範圍、中端要求不確定即提問、後端復核留痕。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B373F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融入日常</w:t>
            </w:r>
          </w:p>
        </w:tc>
      </w:tr>
      <w:tr w14:paraId="2F531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04A85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第10步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225F5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在一個領域打磨到輸出穩定後，再橫向擴展到其他類型。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72202">
            <w:pPr>
              <w:spacing w:beforeAutospacing="0" w:after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1 - 3個月</w:t>
            </w:r>
          </w:p>
        </w:tc>
      </w:tr>
    </w:tbl>
    <w:p w14:paraId="3F5CB063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几点补充</w:t>
      </w:r>
    </w:p>
    <w:p w14:paraId="7410EA1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前6步如果做扎实了，后面的扩展会比较顺畅。</w:t>
      </w:r>
    </w:p>
    <w:p w14:paraId="2D1E842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这个清单不包含技术选型、预算和团队培训——那些需要结合实际情况来定。</w:t>
      </w:r>
    </w:p>
    <w:p w14:paraId="5BEF35A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每个领域大概需要几十个完整任务的积累，AI在这一领域的输出才开始稳定。这个数字仅供参考。</w:t>
      </w:r>
    </w:p>
    <w:p w14:paraId="33BC997F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30CDCAD1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结尾</w:t>
      </w:r>
    </w:p>
    <w:p w14:paraId="0DD8622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写到这里，这份材料的主体就差不多了。</w:t>
      </w:r>
    </w:p>
    <w:p w14:paraId="218CBBC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这两个月跟Claw协作下来，最大的感受其实不是技术层面的——而是心态上的。一开始我也期待它能“开箱即用”，后来才慢慢接受，它需要被带、被磨、被约束，就像一个需要长期磨合的工作搭档。这个认知本身，可能比任何具体技巧都重要。</w:t>
      </w:r>
    </w:p>
    <w:p w14:paraId="3367685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资产飞轮也不是一个能一步到位的东西。它是用一次、改一次、记一次，这样一圈一圈转出来的。早期转得慢，甚至感觉不到在转，但积累到某个时点，改变会变得可以感知。</w:t>
      </w:r>
    </w:p>
    <w:p w14:paraId="7F348BE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我自己还在这条路上摸索。这份材料里提到的做法和数据，有些是我试过的，有些是我查到的，有些还在验证中。如果有那么几条恰好能用上，那就很好。如果大部分您已经了解或在别处读过，那它至少帮您确认了——您目前遇到的困难，不是您一个人的问题，而是一个很多人在同时面对、正在逐步解决的共同课题。</w:t>
      </w:r>
    </w:p>
    <w:p w14:paraId="448B859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 w:cs="Times New Roman"/>
          <w:sz w:val="24"/>
          <w:szCs w:val="24"/>
          <w:lang w:eastAsia="zh-CN"/>
        </w:rPr>
        <w:t>梁主席</w:t>
      </w:r>
      <w:r>
        <w:rPr>
          <w:rFonts w:ascii="Times New Roman" w:hAnsi="Times New Roman" w:eastAsia="宋体" w:cs="Times New Roman"/>
          <w:sz w:val="24"/>
          <w:szCs w:val="24"/>
        </w:rPr>
        <w:t>，跟您做这样一次同步，对我自己也是很踏实的学习。祝一切顺利。</w:t>
      </w:r>
    </w:p>
    <w:p w14:paraId="753C57BF">
      <w:pPr>
        <w:rPr>
          <w:rFonts w:hint="eastAsia"/>
        </w:rPr>
      </w:pPr>
    </w:p>
    <w:p w14:paraId="0D79265E">
      <w:pPr>
        <w:pStyle w:val="11"/>
        <w:wordWrap w:val="0"/>
        <w:jc w:val="right"/>
        <w:rPr>
          <w:rFonts w:hint="eastAsia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—— 一位同样在摸索中的Claw使用者</w:t>
      </w:r>
      <w:r>
        <w:rPr>
          <w:rFonts w:hint="eastAsia" w:eastAsia="宋体" w:cs="Times New Roman"/>
          <w:sz w:val="24"/>
          <w:szCs w:val="24"/>
          <w:lang w:val="en-US" w:eastAsia="zh-CN"/>
        </w:rPr>
        <w:t xml:space="preserve">   後輩學生  劉華斌</w:t>
      </w:r>
    </w:p>
    <w:p w14:paraId="42A78BE3">
      <w:pPr>
        <w:pStyle w:val="11"/>
        <w:wordWrap/>
        <w:jc w:val="right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eastAsia="宋体" w:cs="Times New Roman"/>
          <w:sz w:val="24"/>
          <w:szCs w:val="24"/>
          <w:lang w:val="en-US" w:eastAsia="zh-CN"/>
        </w:rPr>
        <w:t>2026年4月25日</w:t>
      </w:r>
    </w:p>
    <w:p w14:paraId="58DB373F">
      <w:pPr>
        <w:rPr>
          <w:rFonts w:hint="eastAsia"/>
        </w:rPr>
      </w:pPr>
    </w:p>
    <w:p w14:paraId="48536E05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506860FC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参考来源索引</w:t>
      </w:r>
    </w:p>
    <w:p w14:paraId="0720359A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377BFB36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实证研究与基准测试</w:t>
      </w:r>
    </w:p>
    <w:p w14:paraId="7C8FA6D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Butler et al., Legal RAG Bench: A New Benchmark for Retrieval-Augmented Generation in Law, 2026, arXiv:2603.01710. 【检索是性能天花板，法律嵌入提升约19个百分点】</w:t>
      </w:r>
    </w:p>
    <w:p w14:paraId="5AE27E8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Stanford-Yale Empirical Evaluation Study, Hallucination in Legal AI Tools, Journal of Empirical Legal Studies, 2025. 【Lexis+ AI约17%幻觉率，Westlaw AI约33%】</w:t>
      </w:r>
    </w:p>
    <w:p w14:paraId="5C8FD73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HalluHard Benchmark, 2026. 【多轮对话中错误级联放大】</w:t>
      </w:r>
    </w:p>
    <w:p w14:paraId="3D30191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国内AI法律工具系统性实证研究，2025. 【国内法律AI工具平均幻觉率约30.8%】</w:t>
      </w:r>
    </w:p>
    <w:p w14:paraId="4DED7D3A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7476B00E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智能体架构与验证框架</w:t>
      </w:r>
    </w:p>
    <w:p w14:paraId="105FDB9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LawThinker: Yang et al., Explore-Verify-Memorize for Legal Reasoning, 2026.</w:t>
      </w:r>
    </w:p>
    <w:p w14:paraId="31A4BC2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VERDICT: Multi-Agent Deliberation with Hybrid Jurisprudential Memory, 2026, arXiv:2603.19306.</w:t>
      </w:r>
    </w:p>
    <w:p w14:paraId="3179DEF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PROClaim: Adversarial Multi-Agent Legal Reasoning Framework, 2026.</w:t>
      </w:r>
    </w:p>
    <w:p w14:paraId="0813525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Memento-Skills: Self-Evolving Agent Skills, 2026, ICML 2026 submission.</w:t>
      </w:r>
    </w:p>
    <w:p w14:paraId="19B2786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AgenticQwen: Lyu et al., Dual Data Flywheels for Agent Training, 2026, arXiv:2604.21590.</w:t>
      </w:r>
    </w:p>
    <w:p w14:paraId="375121B7">
      <w:pPr>
        <w:rPr>
          <w:rFonts w:hint="eastAsia"/>
        </w:rPr>
      </w:pPr>
    </w:p>
    <w:p w14:paraId="300C0D45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安全与供应链</w:t>
      </w:r>
    </w:p>
    <w:p w14:paraId="34448F8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sz w:val="24"/>
          <w:szCs w:val="24"/>
        </w:rPr>
        <w:t>OpenClaw Security Taxonomy: Suwansathit et al., 2026, Texas A&amp;M University.</w:t>
      </w:r>
    </w:p>
    <w:p w14:paraId="1EC6D1A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ClawHavoc: Malicious Skill Injection in Agent Ecosystems, 2026.</w:t>
      </w:r>
    </w:p>
    <w:p w14:paraId="19BF3B8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SkillFortify: Bhardwaj, Formal Security Analysis of Agent Skills, 2026, arXiv:2603.00195.</w:t>
      </w:r>
    </w:p>
    <w:p w14:paraId="03D44F8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LegalGuardian: PII Redaction Framework for Legal AI, 2025. 【PII检测F1得分93%-97%】</w:t>
      </w:r>
    </w:p>
    <w:p w14:paraId="4BC2BA84">
      <w:pPr>
        <w:rPr>
          <w:rFonts w:hint="eastAsia"/>
        </w:rPr>
      </w:pPr>
    </w:p>
    <w:p w14:paraId="0A91BDCF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判例与监管指引</w:t>
      </w:r>
    </w:p>
    <w:p w14:paraId="13289F5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United States v. John Farris, No. 25-5623, 6th Cir., April 3, 2026. 【律师不可将验证职责委托非律师】</w:t>
      </w:r>
    </w:p>
    <w:p w14:paraId="0329FA1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UK Courts and Tribunals Judiciary, Artificial Intelligence Guidance for Judicial Office Holders, October 2025.</w:t>
      </w:r>
    </w:p>
    <w:p w14:paraId="7824288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Philippine Supreme Court A.M. No. 25-11-28-SC, February 18, 2026. 【五项强制披露要求】</w:t>
      </w:r>
    </w:p>
    <w:p w14:paraId="24FF6FB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深圳市中级人民法院等，《司法领域“智能体技术”应用指南》，2026. 【四项负面清单】</w:t>
      </w:r>
    </w:p>
    <w:p w14:paraId="64A8A86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ABA Section of Business Law, 2026 Spring Meeting Materials. 【明线测试】</w:t>
      </w:r>
    </w:p>
    <w:p w14:paraId="62F4CD3E">
      <w:pPr>
        <w:rPr>
          <w:rFonts w:hint="eastAsia"/>
        </w:rPr>
      </w:pPr>
    </w:p>
    <w:p w14:paraId="48CD2D48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产业分析与技术方案</w:t>
      </w:r>
    </w:p>
    <w:p w14:paraId="73D3E06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Artificial Lawyer Predictions 2026.</w:t>
      </w:r>
    </w:p>
    <w:p w14:paraId="39F1E29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Veeva Agentic AI Flywheel Analysis, AInvest, April 2026.</w:t>
      </w:r>
    </w:p>
    <w:p w14:paraId="540411F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Tiger Eye Consulting, Legal KM Trends 2026.</w:t>
      </w:r>
    </w:p>
    <w:p w14:paraId="66E5E05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观韬律师事务所AI部署实践，2025.</w:t>
      </w:r>
    </w:p>
    <w:p w14:paraId="6B23470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盈科律师事务所DeepSeek-R1部署实践，2025.</w:t>
      </w:r>
    </w:p>
    <w:p w14:paraId="405FC46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第四范式法律AI智能体解决方案，2025.</w:t>
      </w:r>
    </w:p>
    <w:p w14:paraId="16C1A85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法义经纬“劳有钳”基于OpenClaw的本地部署AI法律助手，2025.</w:t>
      </w:r>
    </w:p>
    <w:p w14:paraId="2F93BB1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无问芯穹InfiniClaw Box端云一体三段式架构，2025.</w:t>
      </w:r>
    </w:p>
    <w:p w14:paraId="77E4530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李学尧，“认知协同司法决策模型（六步法）”，2025.</w:t>
      </w:r>
    </w:p>
    <w:p w14:paraId="692AE45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贵州大学“法管家”项目，2025.</w:t>
      </w:r>
    </w:p>
    <w:p w14:paraId="64E93595">
      <w:pPr>
        <w:rPr>
          <w:rFonts w:hint="eastAsia"/>
        </w:rPr>
      </w:pPr>
    </w:p>
    <w:p w14:paraId="102B150D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医疗与金融跨领域参考</w:t>
      </w:r>
    </w:p>
    <w:p w14:paraId="40BCD82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Lancelot: Ma et al., Federated Learning with Fully Homomorphic Encryption, Nature Machine Intelligence, 2025.</w:t>
      </w:r>
    </w:p>
    <w:p w14:paraId="159F9ED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金融行业模型剪枝与量化部署案例，2025.</w:t>
      </w:r>
    </w:p>
    <w:p w14:paraId="7FC9E1AD">
      <w:pPr>
        <w:rPr>
          <w:rFonts w:hint="eastAsia"/>
        </w:rPr>
      </w:pPr>
    </w:p>
    <w:p w14:paraId="58290EB0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深度研究参考（本报告撰写过程中涉及的搜索主题）</w:t>
      </w:r>
    </w:p>
    <w:p w14:paraId="553C86A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法律AI幻觉率的多轮实证评估（Stanford-Yale RegLab联合研究，2025）</w:t>
      </w:r>
    </w:p>
    <w:p w14:paraId="45DC64C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法律RAG系统的信息检索性能上限（Isaacus团队Legal RAG Bench，2026）</w:t>
      </w:r>
    </w:p>
    <w:p w14:paraId="2A742B3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多Agent法律推理与验证框架（LawThinker, VERDICT, PROClaim，2026）</w:t>
      </w:r>
    </w:p>
    <w:p w14:paraId="7842CBC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Agent技能生态安全分析（ClawHavoc, SkillFortify，2026）</w:t>
      </w:r>
    </w:p>
    <w:p w14:paraId="4C7736C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司法AI治理框架比较（菲律宾最高法院指南，深圳智能体技术应用指南，UK Judicial AI Guidance，2026）</w:t>
      </w:r>
    </w:p>
    <w:p w14:paraId="3F97592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双飞轮训练机制（AgenticQwen，2026）</w:t>
      </w:r>
    </w:p>
    <w:p w14:paraId="67F15F9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隐私保护与端云协同架构（LegalGuardian, Lancelot, InfiniClaw Box，2025-2026）</w:t>
      </w:r>
    </w:p>
    <w:p w14:paraId="7D569AF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法律AI工具市场定价与部署模式（NexLaw, Harvey, LexisNexis, Westlaw，2026）</w:t>
      </w:r>
    </w:p>
    <w:p w14:paraId="6C7C8CE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律所AI培训与能力鸿沟（8am报告，ABA AI任务组，2026）</w:t>
      </w:r>
    </w:p>
    <w:p w14:paraId="4F4AFB2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- AI诚实度与校验Agent协同机制（基于实践验证，2025-2026）</w:t>
      </w:r>
    </w:p>
    <w:p w14:paraId="67F0E6F0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B1541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7F9047">
                          <w:pPr>
                            <w:pStyle w:val="12"/>
                          </w:pPr>
                          <w:r>
                            <w:rPr>
                              <w:rFonts w:eastAsia="宋体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eastAsia="宋体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eastAsia="宋体"/>
                            </w:rPr>
                            <w:t xml:space="preserve"> 頁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eastAsia="宋体"/>
                            </w:rPr>
                            <w:t>31</w:t>
                          </w:r>
                          <w:r>
                            <w:fldChar w:fldCharType="end"/>
                          </w:r>
                          <w:r>
                            <w:rPr>
                              <w:rFonts w:eastAsia="宋体"/>
                            </w:rPr>
                            <w:t xml:space="preserve"> 頁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7F9047">
                    <w:pPr>
                      <w:pStyle w:val="12"/>
                    </w:pPr>
                    <w:r>
                      <w:rPr>
                        <w:rFonts w:eastAsia="宋体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rFonts w:eastAsia="宋体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eastAsia="宋体"/>
                      </w:rPr>
                      <w:t xml:space="preserve"> 頁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rFonts w:eastAsia="宋体"/>
                      </w:rPr>
                      <w:t>31</w:t>
                    </w:r>
                    <w:r>
                      <w:fldChar w:fldCharType="end"/>
                    </w:r>
                    <w:r>
                      <w:rPr>
                        <w:rFonts w:eastAsia="宋体"/>
                      </w:rPr>
                      <w:t xml:space="preserve"> 頁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EC581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4C6EFF"/>
    <w:multiLevelType w:val="singleLevel"/>
    <w:tmpl w:val="444C6EF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C37A0"/>
    <w:rsid w:val="09AE3C4C"/>
    <w:rsid w:val="0B461B4E"/>
    <w:rsid w:val="195725A1"/>
    <w:rsid w:val="29E74DB9"/>
    <w:rsid w:val="41152BE9"/>
    <w:rsid w:val="62D91738"/>
    <w:rsid w:val="73FC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3131</Words>
  <Characters>3328</Characters>
  <Lines>0</Lines>
  <Paragraphs>0</Paragraphs>
  <TotalTime>125</TotalTime>
  <ScaleCrop>false</ScaleCrop>
  <LinksUpToDate>false</LinksUpToDate>
  <CharactersWithSpaces>3345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2026-04-24T19:27:00Z</dcterms:created>
  <dc:creator>刘华斌 Egbert Lau</dc:creator>
  <cp:lastModifiedBy>刘华斌 Egbert Lau</cp:lastModifiedBy>
  <dcterms:modified xsi:type="dcterms:W3CDTF">2026-04-24T22:50:22Z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EC16414A02A74AED9514A5C03C8E1B59_11</vt:lpwstr>
  </property>
  <property fmtid="{D5CDD505-2E9C-101B-9397-08002B2CF9AE}" pid="4" name="KSOTemplateDocerSaveRecord">
    <vt:lpwstr>eyJoZGlkIjoiMTQ3YmVlMWE2NDU2NjNmOGRhZWQ3ZDY0YzNlODJmOTUiLCJ1c2VySWQiOiIyMjQ3NDQ4ODIifQ==</vt:lpwstr>
  </property>
</Properties>
</file>