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584DB4" w:rsidRPr="00584DB4">
              <w:rPr>
                <w:rFonts w:ascii="宋体" w:hAnsi="宋体" w:cs="宋体"/>
                <w:szCs w:val="21"/>
              </w:rPr>
              <w:t xml:space="preserve">2018 年 10 月 15 日  09 点 30 分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 xml:space="preserve">2018 年 10 月 15 日  11 点 30 分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C50231" w:rsidRDefault="00C502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C50231" w:rsidRDefault="008C0F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灯光</w:t>
            </w:r>
          </w:p>
          <w:p w:rsidR="003146C9" w:rsidRPr="007C67D6" w:rsidRDefault="003146C9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922E27" w:rsidRDefault="00922E27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 xml:space="preserve">$</w:t>
            </w:r>
            <w:r>
              <w:rPr>
                <w:rFonts w:ascii="宋体" w:hAnsi="宋体" w:cs="宋体"/>
                <w:szCs w:val="21"/>
              </w:rPr>
              <w:t xml:space="preserve">leader_opinion</w:t>
            </w:r>
            <w:bookmarkStart w:id="0" w:name="_GoBack"/>
            <w:bookmarkEnd w:id="0"/>
            <w:r w:rsidRPr="0037003C">
              <w:rPr>
                <w:rFonts w:ascii="宋体" w:hAnsi="宋体" w:cs="宋体"/>
                <w:szCs w:val="21"/>
              </w:rPr>
              <w:t xml:space="preserve">$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7A8" w:rsidRDefault="002C17A8" w:rsidP="00AE79C5">
      <w:r>
        <w:separator/>
      </w:r>
    </w:p>
  </w:endnote>
  <w:endnote w:type="continuationSeparator" w:id="0">
    <w:p w:rsidR="002C17A8" w:rsidRDefault="002C17A8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7A8" w:rsidRDefault="002C17A8" w:rsidP="00AE79C5">
      <w:pPr/>
      <w:r>
        <w:separator/>
      </w:r>
    </w:p>
  </w:footnote>
  <w:footnote w:type="continuationSeparator" w:id="0">
    <w:p w:rsidR="002C17A8" w:rsidRDefault="002C17A8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5602F"/>
    <w:rsid w:val="00267EB5"/>
    <w:rsid w:val="00272D44"/>
    <w:rsid w:val="002C17A8"/>
    <w:rsid w:val="002E1134"/>
    <w:rsid w:val="002E4AD6"/>
    <w:rsid w:val="003146C9"/>
    <w:rsid w:val="00335570"/>
    <w:rsid w:val="0037003C"/>
    <w:rsid w:val="003E7F5C"/>
    <w:rsid w:val="00405464"/>
    <w:rsid w:val="004364DE"/>
    <w:rsid w:val="00486311"/>
    <w:rsid w:val="00491F88"/>
    <w:rsid w:val="004D36B4"/>
    <w:rsid w:val="00584DB4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922E27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B7F65"/>
    <w:rsid w:val="00F1177A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210</Words>
  <Characters>1202</Characters>
  <Lines>10</Lines>
  <Paragraphs>2</Paragraphs>
  <TotalTime>8</TotalTime>
  <ScaleCrop>false</ScaleCrop>
  <LinksUpToDate>false</LinksUpToDate>
  <CharactersWithSpaces>1410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2018-10-15T13:12:00Z</dcterms:modified>
  <cp:revision>10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