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E2293" w:rsidR="00934A6D" w:rsidP="00934A6D" w:rsidRDefault="00934A6D" w14:paraId="0734CF20" w14:textId="46CE2D69">
      <w:pPr>
        <w:pStyle w:val="Nadpis1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51C56C7C" w:rsidR="00934A6D">
        <w:rPr>
          <w:rFonts w:ascii="Times New Roman" w:hAnsi="Times New Roman" w:cs="Times New Roman"/>
          <w:sz w:val="36"/>
          <w:szCs w:val="36"/>
        </w:rPr>
        <w:t xml:space="preserve">Aktualizace stavu řešení identifikovaných problémů </w:t>
      </w:r>
      <w:r>
        <w:br/>
      </w:r>
      <w:r w:rsidRPr="51C56C7C" w:rsidR="00934A6D">
        <w:rPr>
          <w:rFonts w:ascii="Times New Roman" w:hAnsi="Times New Roman" w:cs="Times New Roman"/>
          <w:sz w:val="36"/>
          <w:szCs w:val="36"/>
        </w:rPr>
        <w:t>z Analýzy současného stavu EG – hodnocení za rok 2022</w:t>
      </w:r>
    </w:p>
    <w:p w:rsidR="00934A6D" w:rsidP="00934A6D" w:rsidRDefault="00934A6D" w14:paraId="0FFAB1A8" w14:textId="77777777">
      <w:pPr>
        <w:spacing w:line="360" w:lineRule="auto"/>
        <w:ind w:firstLine="431"/>
        <w:rPr>
          <w:rFonts w:ascii="Times New Roman" w:hAnsi="Times New Roman" w:cs="Times New Roman"/>
          <w:i/>
          <w:iCs/>
        </w:rPr>
      </w:pPr>
      <w:r w:rsidRPr="00C455C2">
        <w:rPr>
          <w:rFonts w:ascii="Times New Roman" w:hAnsi="Times New Roman" w:cs="Times New Roman"/>
          <w:i/>
          <w:iCs/>
        </w:rPr>
        <w:t>Aktualizace v lednu 2023</w:t>
      </w:r>
    </w:p>
    <w:p w:rsidRPr="00C455C2" w:rsidR="00934A6D" w:rsidP="00934A6D" w:rsidRDefault="00934A6D" w14:paraId="1F7E21E5" w14:textId="77777777">
      <w:pPr>
        <w:spacing w:line="360" w:lineRule="auto"/>
        <w:ind w:firstLine="431"/>
        <w:jc w:val="left"/>
        <w:rPr>
          <w:rFonts w:ascii="Times New Roman" w:hAnsi="Times New Roman" w:cs="Times New Roman"/>
          <w:i/>
          <w:iCs/>
        </w:rPr>
      </w:pPr>
    </w:p>
    <w:p w:rsidRPr="00C455C2" w:rsidR="00934A6D" w:rsidP="00934A6D" w:rsidRDefault="00934A6D" w14:paraId="44E719F2" w14:textId="77777777">
      <w:pPr>
        <w:pStyle w:val="Nadpis1"/>
        <w:spacing w:after="120" w:line="360" w:lineRule="auto"/>
        <w:ind w:left="431" w:hanging="431"/>
        <w:rPr>
          <w:rFonts w:ascii="Times New Roman" w:hAnsi="Times New Roman" w:eastAsia="Times New Roman" w:cs="Times New Roman"/>
          <w:bCs/>
          <w:kern w:val="32"/>
          <w:sz w:val="32"/>
          <w:szCs w:val="32"/>
          <w14:ligatures w14:val="none"/>
        </w:rPr>
      </w:pPr>
      <w:r w:rsidRPr="00C455C2">
        <w:rPr>
          <w:rFonts w:ascii="Times New Roman" w:hAnsi="Times New Roman" w:eastAsia="Times New Roman" w:cs="Times New Roman"/>
          <w:bCs/>
          <w:kern w:val="32"/>
          <w:sz w:val="32"/>
          <w:szCs w:val="32"/>
          <w14:ligatures w14:val="none"/>
        </w:rPr>
        <w:t>Úvod</w:t>
      </w:r>
    </w:p>
    <w:p w:rsidR="00934A6D" w:rsidP="00934A6D" w:rsidRDefault="00934A6D" w14:paraId="70DB24E4" w14:textId="77777777">
      <w:pPr>
        <w:spacing w:line="360" w:lineRule="auto"/>
        <w:ind w:firstLine="567"/>
        <w:rPr>
          <w:rFonts w:ascii="Times New Roman" w:hAnsi="Times New Roman" w:eastAsia="Times New Roman" w:cs="Times New Roman"/>
          <w14:ligatures w14:val="none"/>
        </w:rPr>
      </w:pPr>
      <w:r w:rsidRPr="00397D76">
        <w:rPr>
          <w:rFonts w:ascii="Times New Roman" w:hAnsi="Times New Roman" w:eastAsia="Times New Roman" w:cs="Times New Roman"/>
          <w14:ligatures w14:val="none"/>
        </w:rPr>
        <w:t xml:space="preserve">V rámci projektu Digitální úřad byla na konci roku 2020 vypracována </w:t>
      </w:r>
      <w:r w:rsidRPr="00CE2293">
        <w:rPr>
          <w:rFonts w:ascii="Times New Roman" w:hAnsi="Times New Roman" w:eastAsia="Times New Roman" w:cs="Times New Roman"/>
          <w:i/>
          <w:iCs/>
          <w14:ligatures w14:val="none"/>
        </w:rPr>
        <w:t>„Analýza současného stavu a výhledu“</w:t>
      </w:r>
      <w:r>
        <w:rPr>
          <w:rStyle w:val="Znakapoznpodarou"/>
          <w:rFonts w:ascii="Times New Roman" w:hAnsi="Times New Roman" w:eastAsia="Times New Roman" w:cs="Times New Roman"/>
          <w14:ligatures w14:val="none"/>
        </w:rPr>
        <w:footnoteReference w:id="2"/>
      </w:r>
      <w:r>
        <w:rPr>
          <w:rFonts w:ascii="Times New Roman" w:hAnsi="Times New Roman" w:eastAsia="Times New Roman" w:cs="Times New Roman"/>
          <w14:ligatures w14:val="none"/>
        </w:rPr>
        <w:t>,</w:t>
      </w:r>
      <w:r w:rsidRPr="005B6CD4">
        <w:rPr>
          <w:rFonts w:ascii="Times New Roman" w:hAnsi="Times New Roman" w:eastAsia="Times New Roman" w:cs="Times New Roman"/>
          <w14:ligatures w14:val="none"/>
        </w:rPr>
        <w:t xml:space="preserve"> která identifikovala</w:t>
      </w:r>
      <w:r>
        <w:rPr>
          <w:rFonts w:ascii="Times New Roman" w:hAnsi="Times New Roman" w:eastAsia="Times New Roman" w:cs="Times New Roman"/>
          <w14:ligatures w14:val="none"/>
        </w:rPr>
        <w:t>, popsala a zdůvodnila několik desítek</w:t>
      </w:r>
      <w:r w:rsidRPr="005B6CD4"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14:ligatures w14:val="none"/>
        </w:rPr>
        <w:t xml:space="preserve">konkrétních </w:t>
      </w:r>
      <w:r w:rsidRPr="005B6CD4">
        <w:rPr>
          <w:rFonts w:ascii="Times New Roman" w:hAnsi="Times New Roman" w:eastAsia="Times New Roman" w:cs="Times New Roman"/>
          <w14:ligatures w14:val="none"/>
        </w:rPr>
        <w:t>problémů</w:t>
      </w:r>
      <w:r>
        <w:rPr>
          <w:rFonts w:ascii="Times New Roman" w:hAnsi="Times New Roman" w:eastAsia="Times New Roman" w:cs="Times New Roman"/>
          <w14:ligatures w14:val="none"/>
        </w:rPr>
        <w:t xml:space="preserve"> a nedostatků českého eGovernmentu. Výsledkem bylo velmi nelichotivé</w:t>
      </w:r>
      <w:r w:rsidRPr="005B6CD4">
        <w:rPr>
          <w:rFonts w:ascii="Times New Roman" w:hAnsi="Times New Roman" w:eastAsia="Times New Roman" w:cs="Times New Roman"/>
          <w14:ligatures w14:val="none"/>
        </w:rPr>
        <w:t xml:space="preserve"> zhodnocení </w:t>
      </w:r>
      <w:r>
        <w:rPr>
          <w:rFonts w:ascii="Times New Roman" w:hAnsi="Times New Roman" w:eastAsia="Times New Roman" w:cs="Times New Roman"/>
          <w14:ligatures w14:val="none"/>
        </w:rPr>
        <w:t>stavu digitalizace a rozvoje eGovernmentu (EG). Na</w:t>
      </w:r>
      <w:r w:rsidRPr="005B6CD4">
        <w:rPr>
          <w:rFonts w:ascii="Times New Roman" w:hAnsi="Times New Roman" w:eastAsia="Times New Roman" w:cs="Times New Roman"/>
          <w14:ligatures w14:val="none"/>
        </w:rPr>
        <w:t xml:space="preserve"> začátku roku 2022 byla zpracována aktualizace tohoto hodnocení, respektive aktualizace přehledu nedostatků a hlavně uvedení, co se za rok 2021 (ne)změnilo. Vzhledem k tomu, že se z pohledu vlády jednalo o velice významný zdroj pro připravované změny v EG, byla v lednu 2023 zpracována </w:t>
      </w:r>
      <w:r>
        <w:rPr>
          <w:rFonts w:ascii="Times New Roman" w:hAnsi="Times New Roman" w:eastAsia="Times New Roman" w:cs="Times New Roman"/>
          <w14:ligatures w14:val="none"/>
        </w:rPr>
        <w:t>druhá</w:t>
      </w:r>
      <w:r w:rsidRPr="005B6CD4">
        <w:rPr>
          <w:rFonts w:ascii="Times New Roman" w:hAnsi="Times New Roman" w:eastAsia="Times New Roman" w:cs="Times New Roman"/>
          <w14:ligatures w14:val="none"/>
        </w:rPr>
        <w:t xml:space="preserve"> aktualizace hodnotící posun za rok 2022. Tentokrát jde o výstup, je</w:t>
      </w:r>
      <w:r>
        <w:rPr>
          <w:rFonts w:ascii="Times New Roman" w:hAnsi="Times New Roman" w:eastAsia="Times New Roman" w:cs="Times New Roman"/>
          <w14:ligatures w14:val="none"/>
        </w:rPr>
        <w:t>n</w:t>
      </w:r>
      <w:r w:rsidRPr="005B6CD4">
        <w:rPr>
          <w:rFonts w:ascii="Times New Roman" w:hAnsi="Times New Roman" w:eastAsia="Times New Roman" w:cs="Times New Roman"/>
          <w14:ligatures w14:val="none"/>
        </w:rPr>
        <w:t xml:space="preserve">ž je součástí </w:t>
      </w:r>
      <w:r w:rsidRPr="00031CCF">
        <w:rPr>
          <w:rFonts w:ascii="Times New Roman" w:hAnsi="Times New Roman" w:eastAsia="Times New Roman" w:cs="Times New Roman"/>
          <w14:ligatures w14:val="none"/>
        </w:rPr>
        <w:t>diplomové práce Miroslava Pavelky veden</w:t>
      </w:r>
      <w:r>
        <w:rPr>
          <w:rFonts w:ascii="Times New Roman" w:hAnsi="Times New Roman" w:eastAsia="Times New Roman" w:cs="Times New Roman"/>
          <w14:ligatures w14:val="none"/>
        </w:rPr>
        <w:t>é</w:t>
      </w:r>
      <w:r w:rsidRPr="00031CCF">
        <w:rPr>
          <w:rFonts w:ascii="Times New Roman" w:hAnsi="Times New Roman" w:eastAsia="Times New Roman" w:cs="Times New Roman"/>
          <w14:ligatures w14:val="none"/>
        </w:rPr>
        <w:t xml:space="preserve"> na Katedře informačních technologií</w:t>
      </w:r>
      <w:r>
        <w:rPr>
          <w:rFonts w:ascii="Times New Roman" w:hAnsi="Times New Roman" w:eastAsia="Times New Roman" w:cs="Times New Roman"/>
          <w14:ligatures w14:val="none"/>
        </w:rPr>
        <w:t xml:space="preserve"> </w:t>
      </w:r>
      <w:r w:rsidRPr="00031CCF">
        <w:rPr>
          <w:rFonts w:ascii="Times New Roman" w:hAnsi="Times New Roman" w:eastAsia="Times New Roman" w:cs="Times New Roman"/>
          <w14:ligatures w14:val="none"/>
        </w:rPr>
        <w:t>Provozně ekonomické fakulty České zemědělské univerzity v Praze</w:t>
      </w:r>
      <w:r w:rsidRPr="00397D76">
        <w:rPr>
          <w:rFonts w:ascii="Times New Roman" w:hAnsi="Times New Roman" w:eastAsia="Times New Roman" w:cs="Times New Roman"/>
          <w14:ligatures w14:val="none"/>
        </w:rPr>
        <w:t>.</w:t>
      </w:r>
    </w:p>
    <w:p w:rsidR="00934A6D" w:rsidP="00934A6D" w:rsidRDefault="00934A6D" w14:paraId="22231FB6" w14:textId="77777777">
      <w:pPr>
        <w:spacing w:line="360" w:lineRule="auto"/>
        <w:ind w:firstLine="567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Sloupec „stav řešení 2020-2022“ vyjadřuje stav předmětného problému za celé období od jeho identifikace do konce roku 2022. Sloupec „</w:t>
      </w:r>
      <w:r w:rsidRPr="00C35CC0">
        <w:rPr>
          <w:rFonts w:ascii="Times New Roman" w:hAnsi="Times New Roman" w:eastAsia="Times New Roman" w:cs="Times New Roman"/>
          <w14:ligatures w14:val="none"/>
        </w:rPr>
        <w:t>Popis stavu za rok 2022</w:t>
      </w:r>
      <w:r>
        <w:rPr>
          <w:rFonts w:ascii="Times New Roman" w:hAnsi="Times New Roman" w:eastAsia="Times New Roman" w:cs="Times New Roman"/>
          <w14:ligatures w14:val="none"/>
        </w:rPr>
        <w:t xml:space="preserve">“ pak představuje meziroční srovnání změn uskutečněných od předchozího vyhodnocení do konce roku 2022. </w:t>
      </w:r>
      <w:r w:rsidRPr="00397D76">
        <w:rPr>
          <w:rFonts w:ascii="Times New Roman" w:hAnsi="Times New Roman" w:eastAsia="Times New Roman" w:cs="Times New Roman"/>
          <w14:ligatures w14:val="none"/>
        </w:rPr>
        <w:t>Na serveru EGdílna.cz je případným zájemcům k</w:t>
      </w:r>
      <w:r>
        <w:rPr>
          <w:rFonts w:ascii="Times New Roman" w:hAnsi="Times New Roman" w:eastAsia="Times New Roman" w:cs="Times New Roman"/>
          <w14:ligatures w14:val="none"/>
        </w:rPr>
        <w:t> </w:t>
      </w:r>
      <w:r w:rsidRPr="00397D76">
        <w:rPr>
          <w:rFonts w:ascii="Times New Roman" w:hAnsi="Times New Roman" w:eastAsia="Times New Roman" w:cs="Times New Roman"/>
          <w14:ligatures w14:val="none"/>
        </w:rPr>
        <w:t>dispozici také celková srovnávací tabulka za obě období.</w:t>
      </w:r>
    </w:p>
    <w:p w:rsidRPr="00397D76" w:rsidR="00934A6D" w:rsidP="00934A6D" w:rsidRDefault="00934A6D" w14:paraId="38845DB6" w14:textId="77777777">
      <w:pPr>
        <w:spacing w:line="360" w:lineRule="auto"/>
        <w:ind w:firstLine="567"/>
        <w:rPr>
          <w:rFonts w:ascii="Times New Roman" w:hAnsi="Times New Roman" w:eastAsia="Times New Roman" w:cs="Times New Roman"/>
          <w14:ligatures w14:val="none"/>
        </w:rPr>
      </w:pPr>
    </w:p>
    <w:p w:rsidRPr="00397D76" w:rsidR="00934A6D" w:rsidP="00934A6D" w:rsidRDefault="00934A6D" w14:paraId="490BEBBA" w14:textId="77777777">
      <w:pPr>
        <w:pStyle w:val="Nadpis1"/>
        <w:spacing w:after="120" w:line="360" w:lineRule="auto"/>
        <w:ind w:left="431" w:hanging="431"/>
        <w:rPr>
          <w:rFonts w:ascii="Times New Roman" w:hAnsi="Times New Roman" w:eastAsia="Times New Roman" w:cs="Times New Roman"/>
          <w:bCs/>
          <w:kern w:val="32"/>
          <w:sz w:val="32"/>
          <w:szCs w:val="32"/>
          <w14:ligatures w14:val="none"/>
        </w:rPr>
      </w:pPr>
      <w:r w:rsidRPr="00397D76">
        <w:rPr>
          <w:rFonts w:ascii="Times New Roman" w:hAnsi="Times New Roman" w:eastAsia="Times New Roman" w:cs="Times New Roman"/>
          <w:bCs/>
          <w:kern w:val="32"/>
          <w:sz w:val="32"/>
          <w:szCs w:val="32"/>
          <w14:ligatures w14:val="none"/>
        </w:rPr>
        <w:t>Shrnutí</w:t>
      </w:r>
    </w:p>
    <w:p w:rsidR="00934A6D" w:rsidP="00934A6D" w:rsidRDefault="00934A6D" w14:paraId="695F2BE3" w14:textId="77777777">
      <w:pPr>
        <w:spacing w:line="360" w:lineRule="auto"/>
        <w:ind w:firstLine="567"/>
        <w:rPr>
          <w:rFonts w:ascii="Times New Roman" w:hAnsi="Times New Roman" w:eastAsia="Times New Roman" w:cs="Times New Roman"/>
          <w14:ligatures w14:val="none"/>
        </w:rPr>
      </w:pPr>
      <w:r w:rsidRPr="00397D76">
        <w:rPr>
          <w:rFonts w:ascii="Times New Roman" w:hAnsi="Times New Roman" w:eastAsia="Times New Roman" w:cs="Times New Roman"/>
          <w14:ligatures w14:val="none"/>
        </w:rPr>
        <w:t xml:space="preserve">Pro </w:t>
      </w:r>
      <w:r>
        <w:rPr>
          <w:rFonts w:ascii="Times New Roman" w:hAnsi="Times New Roman" w:eastAsia="Times New Roman" w:cs="Times New Roman"/>
          <w14:ligatures w14:val="none"/>
        </w:rPr>
        <w:t xml:space="preserve">aktuální </w:t>
      </w:r>
      <w:r w:rsidRPr="00397D76">
        <w:rPr>
          <w:rFonts w:ascii="Times New Roman" w:hAnsi="Times New Roman" w:eastAsia="Times New Roman" w:cs="Times New Roman"/>
          <w14:ligatures w14:val="none"/>
        </w:rPr>
        <w:t>vyhodnocení byly vybrány všechny identifikované problémy uvedené v kapitole 1.6 původní analýzy</w:t>
      </w:r>
      <w:r>
        <w:rPr>
          <w:rFonts w:ascii="Times New Roman" w:hAnsi="Times New Roman" w:eastAsia="Times New Roman" w:cs="Times New Roman"/>
          <w14:ligatures w14:val="none"/>
        </w:rPr>
        <w:t xml:space="preserve"> z roku 2020</w:t>
      </w:r>
      <w:r w:rsidRPr="00397D76">
        <w:rPr>
          <w:rFonts w:ascii="Times New Roman" w:hAnsi="Times New Roman" w:eastAsia="Times New Roman" w:cs="Times New Roman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14:ligatures w14:val="none"/>
        </w:rPr>
        <w:t xml:space="preserve">V jednom případě došlo ke sloučení dvou významově se překrývajících problémů. V </w:t>
      </w:r>
      <w:r w:rsidRPr="00397D76">
        <w:rPr>
          <w:rFonts w:ascii="Times New Roman" w:hAnsi="Times New Roman" w:eastAsia="Times New Roman" w:cs="Times New Roman"/>
          <w14:ligatures w14:val="none"/>
        </w:rPr>
        <w:t xml:space="preserve">hodnocení za rok 2022 </w:t>
      </w:r>
      <w:r>
        <w:rPr>
          <w:rFonts w:ascii="Times New Roman" w:hAnsi="Times New Roman" w:eastAsia="Times New Roman" w:cs="Times New Roman"/>
          <w14:ligatures w14:val="none"/>
        </w:rPr>
        <w:t xml:space="preserve">je tak </w:t>
      </w:r>
      <w:r w:rsidRPr="00397D76">
        <w:rPr>
          <w:rFonts w:ascii="Times New Roman" w:hAnsi="Times New Roman" w:eastAsia="Times New Roman" w:cs="Times New Roman"/>
          <w14:ligatures w14:val="none"/>
        </w:rPr>
        <w:t>posuzováno celkem 5</w:t>
      </w:r>
      <w:r>
        <w:rPr>
          <w:rFonts w:ascii="Times New Roman" w:hAnsi="Times New Roman" w:eastAsia="Times New Roman" w:cs="Times New Roman"/>
          <w14:ligatures w14:val="none"/>
        </w:rPr>
        <w:t>5</w:t>
      </w:r>
      <w:r w:rsidRPr="00397D76">
        <w:rPr>
          <w:rFonts w:ascii="Times New Roman" w:hAnsi="Times New Roman" w:eastAsia="Times New Roman" w:cs="Times New Roman"/>
          <w14:ligatures w14:val="none"/>
        </w:rPr>
        <w:t xml:space="preserve"> identifikovaných problémů</w:t>
      </w:r>
      <w:r>
        <w:rPr>
          <w:rFonts w:ascii="Times New Roman" w:hAnsi="Times New Roman" w:eastAsia="Times New Roman" w:cs="Times New Roman"/>
          <w14:ligatures w14:val="none"/>
        </w:rPr>
        <w:t xml:space="preserve"> (předchozí aktualizace analýzy za rok 2021 hodnotila 56 problémů). Aby nedošlo ke zkreslení, je z následujícího porovnání dvou období nově neposuzovaný (sloučený) problém vyřazen.</w:t>
      </w:r>
      <w:r>
        <w:rPr>
          <w:rFonts w:ascii="Times New Roman" w:hAnsi="Times New Roman" w:eastAsia="Times New Roman" w:cs="Times New Roman"/>
          <w14:ligatures w14:val="none"/>
        </w:rPr>
        <w:br w:type="page"/>
      </w:r>
    </w:p>
    <w:p w:rsidR="00934A6D" w:rsidP="00934A6D" w:rsidRDefault="00934A6D" w14:paraId="0323A432" w14:textId="77777777">
      <w:pPr>
        <w:spacing w:line="360" w:lineRule="auto"/>
        <w:ind w:firstLine="567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Kvantifikované komparativní srovnání stavu EG v obdobích 2020-2021 a 2020-2022: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118"/>
        <w:gridCol w:w="2977"/>
      </w:tblGrid>
      <w:tr w:rsidR="00934A6D" w:rsidTr="00CF6FAD" w14:paraId="0BFEBA36" w14:textId="77777777">
        <w:trPr>
          <w:jc w:val="center"/>
        </w:trPr>
        <w:tc>
          <w:tcPr>
            <w:tcW w:w="2552" w:type="dxa"/>
            <w:vAlign w:val="center"/>
          </w:tcPr>
          <w:p w:rsidRPr="00397D76" w:rsidR="00934A6D" w:rsidP="00CF6FAD" w:rsidRDefault="00934A6D" w14:paraId="095EC7E4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</w:pPr>
            <w:r w:rsidRPr="00397D76"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  <w:t xml:space="preserve">Stav </w:t>
            </w:r>
            <w:r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  <w:t xml:space="preserve">řešení </w:t>
            </w:r>
            <w:r w:rsidRPr="00397D76"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  <w:t>problému</w:t>
            </w:r>
          </w:p>
        </w:tc>
        <w:tc>
          <w:tcPr>
            <w:tcW w:w="3118" w:type="dxa"/>
            <w:vAlign w:val="center"/>
          </w:tcPr>
          <w:p w:rsidRPr="00397D76" w:rsidR="00934A6D" w:rsidP="00CF6FAD" w:rsidRDefault="00934A6D" w14:paraId="14273260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</w:pPr>
            <w:r w:rsidRPr="00397D76"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  <w:t>Počet za období 2020-2021</w:t>
            </w:r>
          </w:p>
        </w:tc>
        <w:tc>
          <w:tcPr>
            <w:tcW w:w="2977" w:type="dxa"/>
            <w:vAlign w:val="center"/>
          </w:tcPr>
          <w:p w:rsidRPr="00397D76" w:rsidR="00934A6D" w:rsidP="00CF6FAD" w:rsidRDefault="00934A6D" w14:paraId="3EC44E5A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</w:pPr>
            <w:r w:rsidRPr="00397D76"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  <w:t>Počet za období 2020-2022</w:t>
            </w:r>
          </w:p>
        </w:tc>
      </w:tr>
      <w:tr w:rsidR="00934A6D" w:rsidTr="00CF6FAD" w14:paraId="084DAA4A" w14:textId="77777777">
        <w:trPr>
          <w:jc w:val="center"/>
        </w:trPr>
        <w:tc>
          <w:tcPr>
            <w:tcW w:w="2552" w:type="dxa"/>
            <w:vAlign w:val="center"/>
          </w:tcPr>
          <w:p w:rsidRPr="00397D76" w:rsidR="00934A6D" w:rsidP="00CF6FAD" w:rsidRDefault="00934A6D" w14:paraId="463A6DCD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</w:pPr>
            <w:r w:rsidRPr="00397D76">
              <w:rPr>
                <w:rFonts w:ascii="Times New Roman" w:hAnsi="Times New Roman" w:eastAsia="Times New Roman" w:cs="Times New Roman"/>
                <w:b/>
                <w:bCs/>
                <w:color w:val="FF0000"/>
                <w14:ligatures w14:val="none"/>
              </w:rPr>
              <w:t>Trvá</w:t>
            </w:r>
          </w:p>
        </w:tc>
        <w:tc>
          <w:tcPr>
            <w:tcW w:w="3118" w:type="dxa"/>
            <w:vAlign w:val="center"/>
          </w:tcPr>
          <w:p w:rsidR="00934A6D" w:rsidP="00CF6FAD" w:rsidRDefault="00934A6D" w14:paraId="4A93368D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14:ligatures w14:val="none"/>
              </w:rPr>
              <w:t>40</w:t>
            </w:r>
          </w:p>
        </w:tc>
        <w:tc>
          <w:tcPr>
            <w:tcW w:w="2977" w:type="dxa"/>
            <w:vAlign w:val="center"/>
          </w:tcPr>
          <w:p w:rsidR="00934A6D" w:rsidP="00CF6FAD" w:rsidRDefault="00934A6D" w14:paraId="0CA09A57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14:ligatures w14:val="none"/>
              </w:rPr>
              <w:t>28</w:t>
            </w:r>
          </w:p>
        </w:tc>
      </w:tr>
      <w:tr w:rsidR="00934A6D" w:rsidTr="00CF6FAD" w14:paraId="661BDA3A" w14:textId="77777777">
        <w:trPr>
          <w:jc w:val="center"/>
        </w:trPr>
        <w:tc>
          <w:tcPr>
            <w:tcW w:w="2552" w:type="dxa"/>
            <w:vAlign w:val="center"/>
          </w:tcPr>
          <w:p w:rsidRPr="00397D76" w:rsidR="00934A6D" w:rsidP="00CF6FAD" w:rsidRDefault="00934A6D" w14:paraId="268A9294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</w:pPr>
            <w:r w:rsidRPr="00397D76">
              <w:rPr>
                <w:rFonts w:ascii="Times New Roman" w:hAnsi="Times New Roman" w:eastAsia="Times New Roman" w:cs="Times New Roman"/>
                <w:b/>
                <w:bCs/>
                <w:color w:val="ED7D31" w:themeColor="accent2"/>
                <w14:ligatures w14:val="none"/>
              </w:rPr>
              <w:t xml:space="preserve">Práce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ED7D31" w:themeColor="accent2"/>
                <w14:ligatures w14:val="none"/>
              </w:rPr>
              <w:t>či příprava</w:t>
            </w:r>
          </w:p>
        </w:tc>
        <w:tc>
          <w:tcPr>
            <w:tcW w:w="3118" w:type="dxa"/>
            <w:vAlign w:val="center"/>
          </w:tcPr>
          <w:p w:rsidR="00934A6D" w:rsidP="00CF6FAD" w:rsidRDefault="00934A6D" w14:paraId="2D260C5C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14:ligatures w14:val="none"/>
              </w:rPr>
              <w:t>5</w:t>
            </w:r>
          </w:p>
        </w:tc>
        <w:tc>
          <w:tcPr>
            <w:tcW w:w="2977" w:type="dxa"/>
            <w:vAlign w:val="center"/>
          </w:tcPr>
          <w:p w:rsidR="00934A6D" w:rsidP="00CF6FAD" w:rsidRDefault="00934A6D" w14:paraId="27B50209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14:ligatures w14:val="none"/>
              </w:rPr>
              <w:t>0</w:t>
            </w:r>
          </w:p>
        </w:tc>
      </w:tr>
      <w:tr w:rsidR="00934A6D" w:rsidTr="00CF6FAD" w14:paraId="04B32593" w14:textId="77777777">
        <w:trPr>
          <w:jc w:val="center"/>
        </w:trPr>
        <w:tc>
          <w:tcPr>
            <w:tcW w:w="2552" w:type="dxa"/>
            <w:vAlign w:val="center"/>
          </w:tcPr>
          <w:p w:rsidRPr="00397D76" w:rsidR="00934A6D" w:rsidP="00CF6FAD" w:rsidRDefault="00934A6D" w14:paraId="558FBD6F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</w:pPr>
            <w:r w:rsidRPr="00397D76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118" w:type="dxa"/>
            <w:vAlign w:val="center"/>
          </w:tcPr>
          <w:p w:rsidR="00934A6D" w:rsidP="00CF6FAD" w:rsidRDefault="00934A6D" w14:paraId="0663276A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14:ligatures w14:val="none"/>
              </w:rPr>
              <w:t>10</w:t>
            </w:r>
          </w:p>
        </w:tc>
        <w:tc>
          <w:tcPr>
            <w:tcW w:w="2977" w:type="dxa"/>
            <w:vAlign w:val="center"/>
          </w:tcPr>
          <w:p w:rsidR="00934A6D" w:rsidP="00CF6FAD" w:rsidRDefault="00934A6D" w14:paraId="24EBCA0D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14:ligatures w14:val="none"/>
              </w:rPr>
              <w:t>23</w:t>
            </w:r>
          </w:p>
        </w:tc>
      </w:tr>
      <w:tr w:rsidR="00934A6D" w:rsidTr="00CF6FAD" w14:paraId="0CF44DFC" w14:textId="77777777">
        <w:trPr>
          <w:jc w:val="center"/>
        </w:trPr>
        <w:tc>
          <w:tcPr>
            <w:tcW w:w="2552" w:type="dxa"/>
            <w:vAlign w:val="center"/>
          </w:tcPr>
          <w:p w:rsidRPr="00397D76" w:rsidR="00934A6D" w:rsidP="00CF6FAD" w:rsidRDefault="00934A6D" w14:paraId="67B52B80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Cs/>
                <w14:ligatures w14:val="none"/>
              </w:rPr>
            </w:pPr>
            <w:r w:rsidRPr="00397D76">
              <w:rPr>
                <w:rFonts w:ascii="Times New Roman" w:hAnsi="Times New Roman" w:eastAsia="Times New Roman" w:cs="Times New Roman"/>
                <w:b/>
                <w:bCs/>
                <w:color w:val="00B050"/>
                <w14:ligatures w14:val="none"/>
              </w:rPr>
              <w:t>Vyřešeno</w:t>
            </w:r>
          </w:p>
        </w:tc>
        <w:tc>
          <w:tcPr>
            <w:tcW w:w="3118" w:type="dxa"/>
            <w:vAlign w:val="center"/>
          </w:tcPr>
          <w:p w:rsidR="00934A6D" w:rsidP="00CF6FAD" w:rsidRDefault="00934A6D" w14:paraId="2C52C90F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14:ligatures w14:val="none"/>
              </w:rPr>
              <w:t>0</w:t>
            </w:r>
          </w:p>
        </w:tc>
        <w:tc>
          <w:tcPr>
            <w:tcW w:w="2977" w:type="dxa"/>
            <w:vAlign w:val="center"/>
          </w:tcPr>
          <w:p w:rsidR="00934A6D" w:rsidP="00CF6FAD" w:rsidRDefault="00934A6D" w14:paraId="7EF80C14" w14:textId="77777777"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14:ligatures w14:val="none"/>
              </w:rPr>
              <w:t>4</w:t>
            </w:r>
          </w:p>
        </w:tc>
      </w:tr>
    </w:tbl>
    <w:p w:rsidR="00934A6D" w:rsidP="00934A6D" w:rsidRDefault="00934A6D" w14:paraId="1360739F" w14:textId="77777777">
      <w:pPr>
        <w:spacing w:line="360" w:lineRule="auto"/>
        <w:ind w:firstLine="567"/>
        <w:rPr>
          <w:rFonts w:ascii="Times New Roman" w:hAnsi="Times New Roman" w:eastAsia="Times New Roman" w:cs="Times New Roman"/>
          <w14:ligatures w14:val="none"/>
        </w:rPr>
      </w:pPr>
    </w:p>
    <w:p w:rsidR="00934A6D" w:rsidP="00934A6D" w:rsidRDefault="00934A6D" w14:paraId="764061A4" w14:textId="77777777">
      <w:pPr>
        <w:spacing w:line="360" w:lineRule="auto"/>
        <w:ind w:firstLine="567"/>
        <w:rPr>
          <w:rFonts w:ascii="Times New Roman" w:hAnsi="Times New Roman" w:eastAsia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14:ligatures w14:val="none"/>
        </w:rPr>
        <w:t>U čtyř problémů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14:ligatures w14:val="none"/>
        </w:rPr>
        <w:t xml:space="preserve">se 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ve vztahu k roku 2020 </w:t>
      </w:r>
      <w:r>
        <w:rPr>
          <w:rFonts w:ascii="Times New Roman" w:hAnsi="Times New Roman" w:eastAsia="Times New Roman" w:cs="Times New Roman"/>
          <w14:ligatures w14:val="none"/>
        </w:rPr>
        <w:t xml:space="preserve">objevil </w:t>
      </w:r>
      <w:r w:rsidRPr="00C4297B">
        <w:rPr>
          <w:rFonts w:ascii="Times New Roman" w:hAnsi="Times New Roman" w:eastAsia="Times New Roman" w:cs="Times New Roman"/>
          <w14:ligatures w14:val="none"/>
        </w:rPr>
        <w:t>výrazn</w:t>
      </w:r>
      <w:r>
        <w:rPr>
          <w:rFonts w:ascii="Times New Roman" w:hAnsi="Times New Roman" w:eastAsia="Times New Roman" w:cs="Times New Roman"/>
          <w14:ligatures w14:val="none"/>
        </w:rPr>
        <w:t>ý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 posun</w:t>
      </w:r>
      <w:r>
        <w:rPr>
          <w:rFonts w:ascii="Times New Roman" w:hAnsi="Times New Roman" w:eastAsia="Times New Roman" w:cs="Times New Roman"/>
          <w14:ligatures w14:val="none"/>
        </w:rPr>
        <w:t xml:space="preserve"> (stav „Vyřešeno“), </w:t>
      </w:r>
      <w:r w:rsidRPr="00C4297B">
        <w:rPr>
          <w:rFonts w:ascii="Times New Roman" w:hAnsi="Times New Roman" w:eastAsia="Times New Roman" w:cs="Times New Roman"/>
          <w14:ligatures w14:val="none"/>
        </w:rPr>
        <w:t>u</w:t>
      </w:r>
      <w:r>
        <w:rPr>
          <w:rFonts w:ascii="Times New Roman" w:hAnsi="Times New Roman" w:eastAsia="Times New Roman" w:cs="Times New Roman"/>
          <w14:ligatures w14:val="none"/>
        </w:rPr>
        <w:t xml:space="preserve"> dvaceti tří </w:t>
      </w:r>
      <w:r w:rsidRPr="00C4297B">
        <w:rPr>
          <w:rFonts w:ascii="Times New Roman" w:hAnsi="Times New Roman" w:eastAsia="Times New Roman" w:cs="Times New Roman"/>
          <w14:ligatures w14:val="none"/>
        </w:rPr>
        <w:t>problém</w:t>
      </w:r>
      <w:r>
        <w:rPr>
          <w:rFonts w:ascii="Times New Roman" w:hAnsi="Times New Roman" w:eastAsia="Times New Roman" w:cs="Times New Roman"/>
          <w14:ligatures w14:val="none"/>
        </w:rPr>
        <w:t>ů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 došlo k částečnému vyřešení </w:t>
      </w:r>
      <w:r>
        <w:rPr>
          <w:rFonts w:ascii="Times New Roman" w:hAnsi="Times New Roman" w:eastAsia="Times New Roman" w:cs="Times New Roman"/>
          <w14:ligatures w14:val="none"/>
        </w:rPr>
        <w:t>–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 čeká </w:t>
      </w:r>
      <w:r>
        <w:rPr>
          <w:rFonts w:ascii="Times New Roman" w:hAnsi="Times New Roman" w:eastAsia="Times New Roman" w:cs="Times New Roman"/>
          <w14:ligatures w14:val="none"/>
        </w:rPr>
        <w:t xml:space="preserve">se na 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přijetí nové legislativy, </w:t>
      </w:r>
      <w:r>
        <w:rPr>
          <w:rFonts w:ascii="Times New Roman" w:hAnsi="Times New Roman" w:eastAsia="Times New Roman" w:cs="Times New Roman"/>
          <w14:ligatures w14:val="none"/>
        </w:rPr>
        <w:t>případně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 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na uplynutí legisvakanční lhůty již platné legislativy, </w:t>
      </w:r>
      <w:r>
        <w:rPr>
          <w:rFonts w:ascii="Times New Roman" w:hAnsi="Times New Roman" w:eastAsia="Times New Roman" w:cs="Times New Roman"/>
          <w14:ligatures w14:val="none"/>
        </w:rPr>
        <w:t>jež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 by měla vybrané problémy řešit. V některých případech spočívalo částečné řešení v revizi či v zavedení nových postu</w:t>
      </w:r>
      <w:r>
        <w:rPr>
          <w:rFonts w:ascii="Times New Roman" w:hAnsi="Times New Roman" w:eastAsia="Times New Roman" w:cs="Times New Roman"/>
          <w14:ligatures w14:val="none"/>
        </w:rPr>
        <w:t>pů, případně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 souvisí se zřízením nového ústředního orgánu státní správy, Digitální a informační agentur</w:t>
      </w:r>
      <w:r>
        <w:rPr>
          <w:rFonts w:ascii="Times New Roman" w:hAnsi="Times New Roman" w:eastAsia="Times New Roman" w:cs="Times New Roman"/>
          <w14:ligatures w14:val="none"/>
        </w:rPr>
        <w:t>y</w:t>
      </w:r>
      <w:r w:rsidRPr="00C4297B">
        <w:rPr>
          <w:rFonts w:ascii="Times New Roman" w:hAnsi="Times New Roman" w:eastAsia="Times New Roman" w:cs="Times New Roman"/>
          <w14:ligatures w14:val="none"/>
        </w:rPr>
        <w:t xml:space="preserve"> (DIA). </w:t>
      </w:r>
      <w:r>
        <w:rPr>
          <w:rFonts w:ascii="Times New Roman" w:hAnsi="Times New Roman" w:eastAsia="Times New Roman" w:cs="Times New Roman"/>
          <w14:ligatures w14:val="none"/>
        </w:rPr>
        <w:t>Přibližně</w:t>
      </w:r>
      <w:r w:rsidRPr="00397D76"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14:ligatures w14:val="none"/>
        </w:rPr>
        <w:t xml:space="preserve">u poloviny </w:t>
      </w:r>
      <w:r w:rsidRPr="00397D76">
        <w:rPr>
          <w:rFonts w:ascii="Times New Roman" w:hAnsi="Times New Roman" w:eastAsia="Times New Roman" w:cs="Times New Roman"/>
          <w14:ligatures w14:val="none"/>
        </w:rPr>
        <w:t>problémů</w:t>
      </w:r>
      <w:r>
        <w:rPr>
          <w:rFonts w:ascii="Times New Roman" w:hAnsi="Times New Roman" w:eastAsia="Times New Roman" w:cs="Times New Roman"/>
          <w14:ligatures w14:val="none"/>
        </w:rPr>
        <w:t xml:space="preserve"> (</w:t>
      </w:r>
      <w:r w:rsidRPr="00397D76">
        <w:rPr>
          <w:rFonts w:ascii="Times New Roman" w:hAnsi="Times New Roman" w:eastAsia="Times New Roman" w:cs="Times New Roman"/>
          <w14:ligatures w14:val="none"/>
        </w:rPr>
        <w:t xml:space="preserve">konkrétně u </w:t>
      </w:r>
      <w:r>
        <w:rPr>
          <w:rFonts w:ascii="Times New Roman" w:hAnsi="Times New Roman" w:eastAsia="Times New Roman" w:cs="Times New Roman"/>
          <w14:ligatures w14:val="none"/>
        </w:rPr>
        <w:t>28 případů )</w:t>
      </w:r>
      <w:r w:rsidRPr="00397D76"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14:ligatures w14:val="none"/>
        </w:rPr>
        <w:t>nedošlo k žádnému progresu.</w:t>
      </w:r>
    </w:p>
    <w:p w:rsidRPr="00C455C2" w:rsidR="00934A6D" w:rsidP="00934A6D" w:rsidRDefault="00934A6D" w14:paraId="1EEECA57" w14:textId="77777777">
      <w:pPr>
        <w:spacing w:line="360" w:lineRule="auto"/>
        <w:ind w:firstLine="567"/>
        <w:rPr>
          <w:rFonts w:ascii="Times New Roman" w:hAnsi="Times New Roman" w:eastAsia="Times New Roman" w:cs="Times New Roman"/>
          <w14:ligatures w14:val="none"/>
        </w:rPr>
      </w:pPr>
      <w:r w:rsidRPr="00397D76">
        <w:rPr>
          <w:rFonts w:ascii="Times New Roman" w:hAnsi="Times New Roman" w:eastAsia="Times New Roman" w:cs="Times New Roman"/>
          <w14:ligatures w14:val="none"/>
        </w:rPr>
        <w:t>Většina níže popisovaných problémů nemá navíc systémové řešení, a to i přes vytrvalou legislativní snahu, kterou asi nejvýrazněji reprezentuje změnový zákon č. 261/2021 Sb., tzv. balíček „DEPO“</w:t>
      </w:r>
      <w:r w:rsidRPr="00C455C2">
        <w:rPr>
          <w:rFonts w:ascii="Times New Roman" w:hAnsi="Times New Roman" w:eastAsia="Times New Roman" w:cs="Times New Roman"/>
          <w14:ligatures w14:val="none"/>
        </w:rPr>
        <w:t>.</w:t>
      </w:r>
      <w:r>
        <w:rPr>
          <w:rFonts w:ascii="Times New Roman" w:hAnsi="Times New Roman" w:eastAsia="Times New Roman" w:cs="Times New Roman"/>
          <w14:ligatures w14:val="none"/>
        </w:rPr>
        <w:t xml:space="preserve"> Takový stav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 dopadá nejen na klienty veřejné správy, ale </w:t>
      </w:r>
      <w:r>
        <w:rPr>
          <w:rFonts w:ascii="Times New Roman" w:hAnsi="Times New Roman" w:eastAsia="Times New Roman" w:cs="Times New Roman"/>
          <w14:ligatures w14:val="none"/>
        </w:rPr>
        <w:t>významně i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14:ligatures w14:val="none"/>
        </w:rPr>
        <w:t xml:space="preserve">na 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veřejnou správu </w:t>
      </w:r>
      <w:r>
        <w:rPr>
          <w:rFonts w:ascii="Times New Roman" w:hAnsi="Times New Roman" w:eastAsia="Times New Roman" w:cs="Times New Roman"/>
          <w14:ligatures w14:val="none"/>
        </w:rPr>
        <w:t>jako takovou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. </w:t>
      </w:r>
    </w:p>
    <w:p w:rsidR="00934A6D" w:rsidP="00934A6D" w:rsidRDefault="00934A6D" w14:paraId="49D52586" w14:textId="77777777">
      <w:pPr>
        <w:spacing w:line="360" w:lineRule="auto"/>
        <w:ind w:firstLine="567"/>
        <w:rPr>
          <w:rFonts w:ascii="Times New Roman" w:hAnsi="Times New Roman" w:eastAsia="Times New Roman" w:cs="Times New Roman"/>
          <w:b/>
          <w:bCs/>
          <w:kern w:val="32"/>
          <w:sz w:val="32"/>
          <w:szCs w:val="32"/>
          <w14:ligatures w14:val="none"/>
        </w:rPr>
      </w:pPr>
      <w:r w:rsidRPr="00C455C2">
        <w:rPr>
          <w:rFonts w:ascii="Times New Roman" w:hAnsi="Times New Roman" w:eastAsia="Times New Roman" w:cs="Times New Roman"/>
          <w14:ligatures w14:val="none"/>
        </w:rPr>
        <w:t xml:space="preserve">Celkově lze konstatovat, že hodnocení </w:t>
      </w:r>
      <w:r>
        <w:rPr>
          <w:rFonts w:ascii="Times New Roman" w:hAnsi="Times New Roman" w:eastAsia="Times New Roman" w:cs="Times New Roman"/>
          <w14:ligatures w14:val="none"/>
        </w:rPr>
        <w:t xml:space="preserve">stavu eGovernmentu 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vyznívá </w:t>
      </w:r>
      <w:r>
        <w:rPr>
          <w:rFonts w:ascii="Times New Roman" w:hAnsi="Times New Roman" w:eastAsia="Times New Roman" w:cs="Times New Roman"/>
          <w14:ligatures w14:val="none"/>
        </w:rPr>
        <w:t>převážně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 </w:t>
      </w:r>
      <w:r w:rsidRPr="00C455C2">
        <w:rPr>
          <w:rFonts w:ascii="Times New Roman" w:hAnsi="Times New Roman" w:eastAsia="Times New Roman" w:cs="Times New Roman"/>
          <w14:ligatures w14:val="none"/>
        </w:rPr>
        <w:t>negativně, určitý posun je však již registrovatelný a zřejmá je i snaha vlády danou problematiku aktivně řešit.</w:t>
      </w:r>
      <w:r>
        <w:rPr>
          <w:rFonts w:ascii="Times New Roman" w:hAnsi="Times New Roman" w:eastAsia="Times New Roman" w:cs="Times New Roman"/>
          <w14:ligatures w14:val="none"/>
        </w:rPr>
        <w:t xml:space="preserve"> </w:t>
      </w:r>
      <w:r w:rsidRPr="00C455C2">
        <w:rPr>
          <w:rFonts w:ascii="Times New Roman" w:hAnsi="Times New Roman" w:eastAsia="Times New Roman" w:cs="Times New Roman"/>
          <w14:ligatures w14:val="none"/>
        </w:rPr>
        <w:t>Za nejvýznamnější krok pak lze považovat úplnou změnu zodpovědnosti a působnosti v oblasti EG, která se projevuje přesunem kompetencí a pravomocí z dosud neefektivního až „bezzubého“</w:t>
      </w:r>
      <w:r>
        <w:rPr>
          <w:rFonts w:ascii="Times New Roman" w:hAnsi="Times New Roman" w:eastAsia="Times New Roman" w:cs="Times New Roman"/>
          <w14:ligatures w14:val="none"/>
        </w:rPr>
        <w:t>,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 a v mnoha ohledech nefunkčního</w:t>
      </w:r>
      <w:r>
        <w:rPr>
          <w:rFonts w:ascii="Times New Roman" w:hAnsi="Times New Roman" w:eastAsia="Times New Roman" w:cs="Times New Roman"/>
          <w14:ligatures w14:val="none"/>
        </w:rPr>
        <w:t>,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 Ministerstva vnitra</w:t>
      </w:r>
      <w:r>
        <w:rPr>
          <w:rFonts w:ascii="Times New Roman" w:hAnsi="Times New Roman" w:eastAsia="Times New Roman" w:cs="Times New Roman"/>
          <w14:ligatures w14:val="none"/>
        </w:rPr>
        <w:t xml:space="preserve"> ČR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 (MV</w:t>
      </w:r>
      <w:r>
        <w:rPr>
          <w:rFonts w:ascii="Times New Roman" w:hAnsi="Times New Roman" w:eastAsia="Times New Roman" w:cs="Times New Roman"/>
          <w14:ligatures w14:val="none"/>
        </w:rPr>
        <w:t xml:space="preserve"> ČR</w:t>
      </w:r>
      <w:r w:rsidRPr="00C455C2">
        <w:rPr>
          <w:rFonts w:ascii="Times New Roman" w:hAnsi="Times New Roman" w:eastAsia="Times New Roman" w:cs="Times New Roman"/>
          <w14:ligatures w14:val="none"/>
        </w:rPr>
        <w:t>) na plně autonomní a na MV</w:t>
      </w:r>
      <w:r>
        <w:rPr>
          <w:rFonts w:ascii="Times New Roman" w:hAnsi="Times New Roman" w:eastAsia="Times New Roman" w:cs="Times New Roman"/>
          <w14:ligatures w14:val="none"/>
        </w:rPr>
        <w:t xml:space="preserve"> ČR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 nezávislý úřad – na již zmíněnou Digitální a informační agenturu. V kontrastu s tím lze vyzdvihnout posun v konzultační a metodické činnosti spojený se vznikem Kompetenčního centra v rámci NAKIT, je</w:t>
      </w:r>
      <w:r>
        <w:rPr>
          <w:rFonts w:ascii="Times New Roman" w:hAnsi="Times New Roman" w:eastAsia="Times New Roman" w:cs="Times New Roman"/>
          <w14:ligatures w14:val="none"/>
        </w:rPr>
        <w:t>hož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 práci si úřady pochvalují. To jen dokládá pravdivost v níže aktualizovaném hodnocení, kdy jako jeden z nejpalčivějších problémů byly identifikovány personální a odborné nedostatky v</w:t>
      </w:r>
      <w:r>
        <w:rPr>
          <w:rFonts w:ascii="Times New Roman" w:hAnsi="Times New Roman" w:eastAsia="Times New Roman" w:cs="Times New Roman"/>
          <w14:ligatures w14:val="none"/>
        </w:rPr>
        <w:t> </w:t>
      </w:r>
      <w:r w:rsidRPr="00C455C2">
        <w:rPr>
          <w:rFonts w:ascii="Times New Roman" w:hAnsi="Times New Roman" w:eastAsia="Times New Roman" w:cs="Times New Roman"/>
          <w14:ligatures w14:val="none"/>
        </w:rPr>
        <w:t>úřadech</w:t>
      </w:r>
      <w:r>
        <w:rPr>
          <w:rFonts w:ascii="Times New Roman" w:hAnsi="Times New Roman" w:eastAsia="Times New Roman" w:cs="Times New Roman"/>
          <w14:ligatures w14:val="none"/>
        </w:rPr>
        <w:t>,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 a rovněž akcentována potřeba jim v předmětné problematice aktivně pomoci. </w:t>
      </w:r>
      <w:r>
        <w:rPr>
          <w:rFonts w:ascii="Times New Roman" w:hAnsi="Times New Roman" w:eastAsia="Times New Roman" w:cs="Times New Roman"/>
          <w14:ligatures w14:val="none"/>
        </w:rPr>
        <w:t>M</w:t>
      </w:r>
      <w:r w:rsidRPr="00C455C2">
        <w:rPr>
          <w:rFonts w:ascii="Times New Roman" w:hAnsi="Times New Roman" w:eastAsia="Times New Roman" w:cs="Times New Roman"/>
          <w14:ligatures w14:val="none"/>
        </w:rPr>
        <w:t xml:space="preserve">yšlenku kompetenčních center </w:t>
      </w:r>
      <w:r>
        <w:rPr>
          <w:rFonts w:ascii="Times New Roman" w:hAnsi="Times New Roman" w:eastAsia="Times New Roman" w:cs="Times New Roman"/>
          <w14:ligatures w14:val="none"/>
        </w:rPr>
        <w:t xml:space="preserve">lze </w:t>
      </w:r>
      <w:r w:rsidRPr="00C455C2">
        <w:rPr>
          <w:rFonts w:ascii="Times New Roman" w:hAnsi="Times New Roman" w:eastAsia="Times New Roman" w:cs="Times New Roman"/>
          <w14:ligatures w14:val="none"/>
        </w:rPr>
        <w:t>jednoznačně podpořit, jejich činnost by měla nepochybně pokračovat i v</w:t>
      </w:r>
      <w:r>
        <w:rPr>
          <w:rFonts w:ascii="Times New Roman" w:hAnsi="Times New Roman" w:eastAsia="Times New Roman" w:cs="Times New Roman"/>
          <w14:ligatures w14:val="none"/>
        </w:rPr>
        <w:t> </w:t>
      </w:r>
      <w:r w:rsidRPr="00C455C2">
        <w:rPr>
          <w:rFonts w:ascii="Times New Roman" w:hAnsi="Times New Roman" w:eastAsia="Times New Roman" w:cs="Times New Roman"/>
          <w14:ligatures w14:val="none"/>
        </w:rPr>
        <w:t>rámci DIA.</w:t>
      </w:r>
      <w:r>
        <w:rPr>
          <w:rFonts w:ascii="Times New Roman" w:hAnsi="Times New Roman" w:eastAsia="Times New Roman" w:cs="Times New Roman"/>
          <w:bCs/>
          <w:kern w:val="32"/>
          <w:sz w:val="32"/>
          <w:szCs w:val="32"/>
          <w14:ligatures w14:val="none"/>
        </w:rPr>
        <w:br w:type="page"/>
      </w:r>
    </w:p>
    <w:p w:rsidRPr="00C455C2" w:rsidR="00934A6D" w:rsidP="00934A6D" w:rsidRDefault="00934A6D" w14:paraId="110D6F2F" w14:textId="77777777">
      <w:pPr>
        <w:pStyle w:val="Nadpis1"/>
        <w:spacing w:after="120" w:line="360" w:lineRule="auto"/>
        <w:ind w:left="431" w:hanging="431"/>
        <w:rPr>
          <w:rFonts w:ascii="Times New Roman" w:hAnsi="Times New Roman" w:eastAsia="Times New Roman" w:cs="Times New Roman"/>
          <w:bCs/>
          <w:kern w:val="32"/>
          <w:sz w:val="32"/>
          <w:szCs w:val="32"/>
          <w14:ligatures w14:val="none"/>
        </w:rPr>
      </w:pPr>
      <w:r w:rsidRPr="00C455C2">
        <w:rPr>
          <w:rFonts w:ascii="Times New Roman" w:hAnsi="Times New Roman" w:eastAsia="Times New Roman" w:cs="Times New Roman"/>
          <w:bCs/>
          <w:kern w:val="32"/>
          <w:sz w:val="32"/>
          <w:szCs w:val="32"/>
          <w14:ligatures w14:val="none"/>
        </w:rPr>
        <w:t>Přehled vyhodnocení posunu v řešení identifikovaných problémů</w:t>
      </w:r>
    </w:p>
    <w:tbl>
      <w:tblPr>
        <w:tblW w:w="9214" w:type="dxa"/>
        <w:tblInd w:w="-147" w:type="dxa"/>
        <w:tblBorders>
          <w:top w:val="single" w:color="000000" w:themeColor="text1" w:sz="12" w:space="0"/>
          <w:left w:val="single" w:color="000000" w:themeColor="text1" w:sz="4" w:space="0"/>
          <w:bottom w:val="single" w:color="000000" w:themeColor="text1" w:sz="12" w:space="0"/>
          <w:right w:val="single" w:color="000000" w:themeColor="text1" w:sz="4" w:space="0"/>
          <w:insideH w:val="dotted" w:color="000000" w:themeColor="text1" w:sz="4" w:space="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1134"/>
        <w:gridCol w:w="1134"/>
        <w:gridCol w:w="3969"/>
      </w:tblGrid>
      <w:tr w:rsidRPr="00CA5265" w:rsidR="00934A6D" w:rsidTr="00CF6FAD" w14:paraId="021DA17B" w14:textId="77777777">
        <w:trPr>
          <w:trHeight w:val="268"/>
        </w:trPr>
        <w:tc>
          <w:tcPr>
            <w:tcW w:w="2977" w:type="dxa"/>
            <w:vMerge w:val="restart"/>
            <w:tcBorders>
              <w:top w:val="single" w:color="000000" w:themeColor="text1" w:sz="12" w:space="0"/>
              <w:bottom w:val="dotted" w:color="000000" w:themeColor="text1" w:sz="4" w:space="0"/>
              <w:right w:val="dotted" w:color="000000" w:themeColor="text1" w:sz="4" w:space="0"/>
            </w:tcBorders>
            <w:vAlign w:val="center"/>
          </w:tcPr>
          <w:p w:rsidRPr="00C779AC" w:rsidR="00934A6D" w:rsidP="00CF6FAD" w:rsidRDefault="00934A6D" w14:paraId="4B6F07F5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B5772">
              <w:rPr>
                <w:rFonts w:ascii="Times New Roman" w:hAnsi="Times New Roman" w:cs="Times New Roman"/>
                <w:b/>
                <w:color w:val="000000" w:themeColor="text1"/>
              </w:rPr>
              <w:t>Problém</w:t>
            </w:r>
            <w:r w:rsidRPr="008B5772">
              <w:rPr>
                <w:rStyle w:val="Znakapoznpodarou"/>
                <w:rFonts w:ascii="Times New Roman" w:hAnsi="Times New Roman" w:cs="Times New Roman"/>
                <w:b/>
                <w:color w:val="000000" w:themeColor="text1"/>
              </w:rPr>
              <w:footnoteReference w:id="3"/>
            </w:r>
          </w:p>
        </w:tc>
        <w:tc>
          <w:tcPr>
            <w:tcW w:w="2268" w:type="dxa"/>
            <w:gridSpan w:val="2"/>
            <w:tcBorders>
              <w:top w:val="single" w:color="000000" w:themeColor="text1" w:sz="12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vAlign w:val="center"/>
          </w:tcPr>
          <w:p w:rsidRPr="00C455C2" w:rsidR="00934A6D" w:rsidP="00CF6FAD" w:rsidRDefault="00934A6D" w14:paraId="7D91307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Stav řešení</w:t>
            </w:r>
          </w:p>
        </w:tc>
        <w:tc>
          <w:tcPr>
            <w:tcW w:w="3969" w:type="dxa"/>
            <w:vMerge w:val="restart"/>
            <w:tcBorders>
              <w:top w:val="single" w:color="000000" w:themeColor="text1" w:sz="12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160" w:type="dxa"/>
              <w:left w:w="57" w:type="dxa"/>
              <w:bottom w:w="160" w:type="dxa"/>
              <w:right w:w="57" w:type="dxa"/>
            </w:tcMar>
            <w:vAlign w:val="center"/>
          </w:tcPr>
          <w:p w:rsidRPr="00C455C2" w:rsidR="00934A6D" w:rsidP="00CF6FAD" w:rsidRDefault="00934A6D" w14:paraId="45FC7B9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  <w:b/>
              </w:rPr>
              <w:t>Popis stavu za rok 2022</w:t>
            </w:r>
          </w:p>
        </w:tc>
      </w:tr>
      <w:tr w:rsidRPr="00CA5265" w:rsidR="00934A6D" w:rsidTr="00CF6FAD" w14:paraId="1B1D1F52" w14:textId="77777777">
        <w:trPr>
          <w:trHeight w:val="99"/>
        </w:trPr>
        <w:tc>
          <w:tcPr>
            <w:tcW w:w="2977" w:type="dxa"/>
            <w:vMerge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vAlign w:val="center"/>
          </w:tcPr>
          <w:p w:rsidRPr="00C779AC" w:rsidR="00934A6D" w:rsidP="00CF6FAD" w:rsidRDefault="00934A6D" w14:paraId="45C88E7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vAlign w:val="center"/>
          </w:tcPr>
          <w:p w:rsidRPr="009475E1" w:rsidR="00934A6D" w:rsidP="00CF6FAD" w:rsidRDefault="00934A6D" w14:paraId="3A0DB669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75E1">
              <w:rPr>
                <w:rFonts w:ascii="Times New Roman" w:hAnsi="Times New Roman" w:cs="Times New Roman"/>
                <w:b/>
                <w:bCs/>
              </w:rPr>
              <w:t>2020-2021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160" w:type="dxa"/>
              <w:left w:w="30" w:type="dxa"/>
              <w:bottom w:w="160" w:type="dxa"/>
              <w:right w:w="30" w:type="dxa"/>
            </w:tcMar>
            <w:vAlign w:val="center"/>
          </w:tcPr>
          <w:p w:rsidRPr="009475E1" w:rsidR="00934A6D" w:rsidP="00CF6FAD" w:rsidRDefault="00934A6D" w14:paraId="3B1BA27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75E1">
              <w:rPr>
                <w:rFonts w:ascii="Times New Roman" w:hAnsi="Times New Roman" w:cs="Times New Roman"/>
                <w:b/>
                <w:bCs/>
              </w:rPr>
              <w:t>2020-2022</w:t>
            </w:r>
          </w:p>
        </w:tc>
        <w:tc>
          <w:tcPr>
            <w:tcW w:w="3969" w:type="dxa"/>
            <w:vMerge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160" w:type="dxa"/>
              <w:left w:w="57" w:type="dxa"/>
              <w:bottom w:w="160" w:type="dxa"/>
              <w:right w:w="57" w:type="dxa"/>
            </w:tcMar>
            <w:vAlign w:val="center"/>
          </w:tcPr>
          <w:p w:rsidRPr="00FC3B71" w:rsidR="00934A6D" w:rsidP="00CF6FAD" w:rsidRDefault="00934A6D" w14:paraId="2E33FA7B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Pr="00CA5265" w:rsidR="00934A6D" w:rsidTr="00CF6FAD" w14:paraId="7D6CA511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7475013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návody pro respektování Digitálně přívětivé legislativy a související zásady IKČR č. 14.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15D7C71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16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1FD7D3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16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44B8B7B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V této oblasti </w:t>
            </w:r>
            <w:r>
              <w:rPr>
                <w:rFonts w:ascii="Times New Roman" w:hAnsi="Times New Roman" w:cs="Times New Roman"/>
              </w:rPr>
              <w:t>nedošlo ke změnám</w:t>
            </w:r>
            <w:r w:rsidRPr="00C455C2">
              <w:rPr>
                <w:rFonts w:ascii="Times New Roman" w:hAnsi="Times New Roman" w:cs="Times New Roman"/>
              </w:rPr>
              <w:t>. Pracovní výbor pro digitálně přívětivou legislativu</w:t>
            </w:r>
            <w:r>
              <w:rPr>
                <w:rFonts w:ascii="Times New Roman" w:hAnsi="Times New Roman" w:cs="Times New Roman"/>
              </w:rPr>
              <w:t xml:space="preserve"> (DPL)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při Radě vlády pro informační společnost (RVIS) </w:t>
            </w:r>
            <w:r w:rsidRPr="00C455C2">
              <w:rPr>
                <w:rFonts w:ascii="Times New Roman" w:hAnsi="Times New Roman" w:cs="Times New Roman"/>
              </w:rPr>
              <w:t xml:space="preserve">za uplynulý rok </w:t>
            </w:r>
            <w:r>
              <w:rPr>
                <w:rFonts w:ascii="Times New Roman" w:hAnsi="Times New Roman" w:cs="Times New Roman"/>
              </w:rPr>
              <w:t xml:space="preserve">k této problematice </w:t>
            </w:r>
            <w:r w:rsidRPr="00C455C2">
              <w:rPr>
                <w:rFonts w:ascii="Times New Roman" w:hAnsi="Times New Roman" w:cs="Times New Roman"/>
              </w:rPr>
              <w:t xml:space="preserve">nic nezpracoval a metodiky </w:t>
            </w:r>
            <w:r>
              <w:rPr>
                <w:rFonts w:ascii="Times New Roman" w:hAnsi="Times New Roman" w:cs="Times New Roman"/>
              </w:rPr>
              <w:t xml:space="preserve">bohužel </w:t>
            </w:r>
            <w:r w:rsidRPr="00C455C2">
              <w:rPr>
                <w:rFonts w:ascii="Times New Roman" w:hAnsi="Times New Roman" w:cs="Times New Roman"/>
              </w:rPr>
              <w:t>stále chybí.</w:t>
            </w:r>
          </w:p>
        </w:tc>
      </w:tr>
      <w:tr w:rsidRPr="00CA5265" w:rsidR="00934A6D" w:rsidTr="00CF6FAD" w14:paraId="7572EE64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C058937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edukace a školení pro legislativce.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0B6DEF8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38BD5A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68F606B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V této oblasti</w:t>
            </w:r>
            <w:r>
              <w:rPr>
                <w:rFonts w:ascii="Times New Roman" w:hAnsi="Times New Roman" w:cs="Times New Roman"/>
              </w:rPr>
              <w:t xml:space="preserve"> rovněž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nedošlo ke změnám</w:t>
            </w:r>
            <w:r w:rsidRPr="00C455C2">
              <w:rPr>
                <w:rFonts w:ascii="Times New Roman" w:hAnsi="Times New Roman" w:cs="Times New Roman"/>
              </w:rPr>
              <w:t xml:space="preserve">. Pracovní výbor pro </w:t>
            </w:r>
            <w:r>
              <w:rPr>
                <w:rFonts w:ascii="Times New Roman" w:hAnsi="Times New Roman" w:cs="Times New Roman"/>
              </w:rPr>
              <w:t>DPL</w:t>
            </w:r>
            <w:r w:rsidRPr="00C455C2">
              <w:rPr>
                <w:rFonts w:ascii="Times New Roman" w:hAnsi="Times New Roman" w:cs="Times New Roman"/>
              </w:rPr>
              <w:t xml:space="preserve"> svůj úkol doposud nesplnil. Vzdělávání neprobíhá.</w:t>
            </w:r>
          </w:p>
        </w:tc>
      </w:tr>
      <w:tr w:rsidRPr="00CA5265" w:rsidR="00934A6D" w:rsidTr="00CF6FAD" w14:paraId="5EBC3CE4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5530668A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Nedostatečná kontrola dodržování DPL ze strany Úřadu vlády ČR a Legislativní rady vlády.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3CDAB1D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2CE5930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E4601B3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Předkladatelé sice v některých případech zpracováva</w:t>
            </w:r>
            <w:r>
              <w:rPr>
                <w:rFonts w:ascii="Times New Roman" w:hAnsi="Times New Roman" w:cs="Times New Roman"/>
              </w:rPr>
              <w:t>j</w:t>
            </w:r>
            <w:r w:rsidRPr="00C455C2">
              <w:rPr>
                <w:rFonts w:ascii="Times New Roman" w:hAnsi="Times New Roman" w:cs="Times New Roman"/>
              </w:rPr>
              <w:t>í povinn</w:t>
            </w:r>
            <w:r>
              <w:rPr>
                <w:rFonts w:ascii="Times New Roman" w:hAnsi="Times New Roman" w:cs="Times New Roman"/>
              </w:rPr>
              <w:t>á</w:t>
            </w:r>
            <w:r w:rsidRPr="00C455C2">
              <w:rPr>
                <w:rFonts w:ascii="Times New Roman" w:hAnsi="Times New Roman" w:cs="Times New Roman"/>
              </w:rPr>
              <w:t xml:space="preserve"> zhodnocení souladu se zásadami DPL, </w:t>
            </w:r>
            <w:r>
              <w:rPr>
                <w:rFonts w:ascii="Times New Roman" w:hAnsi="Times New Roman" w:cs="Times New Roman"/>
              </w:rPr>
              <w:t>ta však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nejsou </w:t>
            </w:r>
            <w:r w:rsidRPr="00C455C2">
              <w:rPr>
                <w:rFonts w:ascii="Times New Roman" w:hAnsi="Times New Roman" w:cs="Times New Roman"/>
              </w:rPr>
              <w:t xml:space="preserve">většinou </w:t>
            </w:r>
            <w:r>
              <w:rPr>
                <w:rFonts w:ascii="Times New Roman" w:hAnsi="Times New Roman" w:cs="Times New Roman"/>
              </w:rPr>
              <w:t>příliš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55C2">
              <w:rPr>
                <w:rFonts w:ascii="Times New Roman" w:hAnsi="Times New Roman" w:cs="Times New Roman"/>
              </w:rPr>
              <w:t>kvalitní</w:t>
            </w:r>
            <w:r>
              <w:rPr>
                <w:rFonts w:ascii="Times New Roman" w:hAnsi="Times New Roman" w:cs="Times New Roman"/>
              </w:rPr>
              <w:t>.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Selhávají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 kontrolní mechanismy</w:t>
            </w:r>
            <w:r w:rsidRPr="00C455C2">
              <w:rPr>
                <w:rFonts w:ascii="Times New Roman" w:hAnsi="Times New Roman" w:cs="Times New Roman"/>
              </w:rPr>
              <w:t xml:space="preserve">. Pod </w:t>
            </w:r>
            <w:r>
              <w:rPr>
                <w:rFonts w:ascii="Times New Roman" w:hAnsi="Times New Roman" w:cs="Times New Roman"/>
              </w:rPr>
              <w:t>Legislativní radou vlády (</w:t>
            </w:r>
            <w:r w:rsidRPr="00C455C2">
              <w:rPr>
                <w:rFonts w:ascii="Times New Roman" w:hAnsi="Times New Roman" w:cs="Times New Roman"/>
              </w:rPr>
              <w:t>LRV</w:t>
            </w:r>
            <w:r>
              <w:rPr>
                <w:rFonts w:ascii="Times New Roman" w:hAnsi="Times New Roman" w:cs="Times New Roman"/>
              </w:rPr>
              <w:t>)</w:t>
            </w:r>
            <w:r w:rsidRPr="00C455C2">
              <w:rPr>
                <w:rFonts w:ascii="Times New Roman" w:hAnsi="Times New Roman" w:cs="Times New Roman"/>
              </w:rPr>
              <w:t xml:space="preserve"> dosud nebyla zřízena pracovní komise, která by se této problematice věnovala.</w:t>
            </w:r>
          </w:p>
        </w:tc>
      </w:tr>
      <w:tr w:rsidRPr="00CA5265" w:rsidR="00934A6D" w:rsidTr="00CF6FAD" w14:paraId="3028EE99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7678E33F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C779AC">
              <w:rPr>
                <w:rFonts w:ascii="Times New Roman" w:hAnsi="Times New Roman" w:cs="Times New Roman"/>
                <w:color w:val="000000" w:themeColor="text1"/>
              </w:rPr>
              <w:t>Nedaří</w:t>
            </w:r>
            <w:proofErr w:type="gramEnd"/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se princip "navrhovat legislativu s využitím modelů Národní architektury včetně budoucí architektury úřadů v dotčené oblasti, jejích procesů a IT podpory, a tak zajistit lepší nastavení právních pravidel, jejich efektivnější podporu IT řešeními a v důsledku toho rychlejší a levnější realizaci transformačních změn;".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16B2E1B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678A372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3C7358F8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Nedošlo ani ke změně legislativních pravidel vlády, ani nebyla vytvořena žádná metodika pro předkladatele. T</w:t>
            </w:r>
            <w:r>
              <w:rPr>
                <w:rFonts w:ascii="Times New Roman" w:hAnsi="Times New Roman" w:cs="Times New Roman"/>
              </w:rPr>
              <w:t>u</w:t>
            </w:r>
            <w:r w:rsidRPr="00C455C2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problematiku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akcentuje</w:t>
            </w:r>
            <w:r w:rsidRPr="00C455C2">
              <w:rPr>
                <w:rFonts w:ascii="Times New Roman" w:hAnsi="Times New Roman" w:cs="Times New Roman"/>
              </w:rPr>
              <w:t xml:space="preserve"> IKČR z roku 2022 v hlavním cíli č. 2 </w:t>
            </w:r>
            <w:r>
              <w:rPr>
                <w:rFonts w:ascii="Times New Roman" w:hAnsi="Times New Roman" w:cs="Times New Roman"/>
              </w:rPr>
              <w:t xml:space="preserve">„Digitálně přívětivá legislativa“ </w:t>
            </w:r>
            <w:r w:rsidRPr="00C455C2">
              <w:rPr>
                <w:rFonts w:ascii="Times New Roman" w:hAnsi="Times New Roman" w:cs="Times New Roman"/>
              </w:rPr>
              <w:t xml:space="preserve">a jeho dílčích cílech, které byly příslušným způsobem </w:t>
            </w:r>
            <w:r>
              <w:rPr>
                <w:rFonts w:ascii="Times New Roman" w:hAnsi="Times New Roman" w:cs="Times New Roman"/>
              </w:rPr>
              <w:t>přepsány</w:t>
            </w:r>
            <w:r w:rsidRPr="00C455C2"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20A82FEC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2D562884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větší edukace a důraz na respektování digitálně přívětivé legislativy.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5D5D2DF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5ABA1B2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30B1662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V této oblasti </w:t>
            </w:r>
            <w:r>
              <w:rPr>
                <w:rFonts w:ascii="Times New Roman" w:hAnsi="Times New Roman" w:cs="Times New Roman"/>
              </w:rPr>
              <w:t>nedošlo k posunu. Problematiku</w:t>
            </w:r>
            <w:r w:rsidRPr="00CF32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akcentuje</w:t>
            </w:r>
            <w:r w:rsidRPr="00CF328E">
              <w:rPr>
                <w:rFonts w:ascii="Times New Roman" w:hAnsi="Times New Roman" w:cs="Times New Roman"/>
              </w:rPr>
              <w:t xml:space="preserve"> IKČR z roku 2022 v hlavním cíli č. 2 </w:t>
            </w:r>
            <w:r>
              <w:rPr>
                <w:rFonts w:ascii="Times New Roman" w:hAnsi="Times New Roman" w:cs="Times New Roman"/>
              </w:rPr>
              <w:t xml:space="preserve">„Digitálně přívětivá legislativa“ </w:t>
            </w:r>
            <w:r w:rsidRPr="00CF328E">
              <w:rPr>
                <w:rFonts w:ascii="Times New Roman" w:hAnsi="Times New Roman" w:cs="Times New Roman"/>
              </w:rPr>
              <w:t xml:space="preserve">a jeho dílčích cílech, které byly příslušným způsobem </w:t>
            </w:r>
            <w:r>
              <w:rPr>
                <w:rFonts w:ascii="Times New Roman" w:hAnsi="Times New Roman" w:cs="Times New Roman"/>
              </w:rPr>
              <w:t>přepsány</w:t>
            </w:r>
            <w:r w:rsidRPr="00CF328E"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0E577905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6F433717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i jakákoliv kontrola a vynucování dodržování pravidel ministerstvy, nulový nátlak na členy vlády.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00A55CB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62E215D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166DD37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V této oblasti </w:t>
            </w:r>
            <w:r>
              <w:rPr>
                <w:rFonts w:ascii="Times New Roman" w:hAnsi="Times New Roman" w:cs="Times New Roman"/>
              </w:rPr>
              <w:t>doposud nedošlo ke změnám</w:t>
            </w:r>
            <w:r w:rsidRPr="00C455C2">
              <w:rPr>
                <w:rFonts w:ascii="Times New Roman" w:hAnsi="Times New Roman" w:cs="Times New Roman"/>
              </w:rPr>
              <w:t xml:space="preserve">. Bude zřízeno </w:t>
            </w:r>
            <w:r>
              <w:rPr>
                <w:rFonts w:ascii="Times New Roman" w:hAnsi="Times New Roman" w:cs="Times New Roman"/>
              </w:rPr>
              <w:t>K</w:t>
            </w:r>
            <w:r w:rsidRPr="00C455C2">
              <w:rPr>
                <w:rFonts w:ascii="Times New Roman" w:hAnsi="Times New Roman" w:cs="Times New Roman"/>
              </w:rPr>
              <w:t>ompetenční centrum pod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55C2">
              <w:rPr>
                <w:rFonts w:ascii="Times New Roman" w:hAnsi="Times New Roman" w:cs="Times New Roman"/>
              </w:rPr>
              <w:t>DIA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455C2">
              <w:rPr>
                <w:rFonts w:ascii="Times New Roman" w:hAnsi="Times New Roman" w:cs="Times New Roman"/>
              </w:rPr>
              <w:t>od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 xml:space="preserve">kterého se očekává posun v oblasti kontroly a koordinace dodržování pravidel. </w:t>
            </w:r>
          </w:p>
        </w:tc>
      </w:tr>
      <w:tr w:rsidRPr="00CA5265" w:rsidR="00934A6D" w:rsidTr="00CF6FAD" w14:paraId="2B48A7C3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CCA6C0A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zamezení zneužívání vrchnostenského postavení a ignorování pravidel vlády.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0C9F907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60757D4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1654873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C455C2">
              <w:rPr>
                <w:rFonts w:ascii="Times New Roman" w:hAnsi="Times New Roman" w:cs="Times New Roman"/>
              </w:rPr>
              <w:t xml:space="preserve">ravidla a povinnosti </w:t>
            </w:r>
            <w:r>
              <w:rPr>
                <w:rFonts w:ascii="Times New Roman" w:hAnsi="Times New Roman" w:cs="Times New Roman"/>
              </w:rPr>
              <w:t xml:space="preserve">nejsou </w:t>
            </w:r>
            <w:r w:rsidRPr="00777079">
              <w:rPr>
                <w:rFonts w:ascii="Times New Roman" w:hAnsi="Times New Roman" w:cs="Times New Roman"/>
              </w:rPr>
              <w:t>předkladateli</w:t>
            </w:r>
            <w:r w:rsidRPr="00C455C2">
              <w:rPr>
                <w:rFonts w:ascii="Times New Roman" w:hAnsi="Times New Roman" w:cs="Times New Roman"/>
              </w:rPr>
              <w:t xml:space="preserve"> vládních materiálů </w:t>
            </w:r>
            <w:r>
              <w:rPr>
                <w:rFonts w:ascii="Times New Roman" w:hAnsi="Times New Roman" w:cs="Times New Roman"/>
              </w:rPr>
              <w:t xml:space="preserve">často dodržovány. Obcházena jsou například i </w:t>
            </w:r>
            <w:r w:rsidRPr="00C455C2">
              <w:rPr>
                <w:rFonts w:ascii="Times New Roman" w:hAnsi="Times New Roman" w:cs="Times New Roman"/>
              </w:rPr>
              <w:t>meziresortní připomínkov</w:t>
            </w:r>
            <w:r>
              <w:rPr>
                <w:rFonts w:ascii="Times New Roman" w:hAnsi="Times New Roman" w:cs="Times New Roman"/>
              </w:rPr>
              <w:t>á</w:t>
            </w:r>
            <w:r w:rsidRPr="00C455C2">
              <w:rPr>
                <w:rFonts w:ascii="Times New Roman" w:hAnsi="Times New Roman" w:cs="Times New Roman"/>
              </w:rPr>
              <w:t xml:space="preserve"> řízení</w:t>
            </w:r>
            <w:r>
              <w:rPr>
                <w:rFonts w:ascii="Times New Roman" w:hAnsi="Times New Roman" w:cs="Times New Roman"/>
              </w:rPr>
              <w:t xml:space="preserve"> nebo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nejsou prováděna </w:t>
            </w:r>
            <w:r w:rsidRPr="00C455C2">
              <w:rPr>
                <w:rFonts w:ascii="Times New Roman" w:hAnsi="Times New Roman" w:cs="Times New Roman"/>
              </w:rPr>
              <w:t>vyhodnocování kvality legislativních návrhů.</w:t>
            </w:r>
          </w:p>
          <w:p w:rsidRPr="00C455C2" w:rsidR="00934A6D" w:rsidP="00CF6FAD" w:rsidRDefault="00934A6D" w14:paraId="43D3B16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Vláda </w:t>
            </w:r>
            <w:r>
              <w:rPr>
                <w:rFonts w:ascii="Times New Roman" w:hAnsi="Times New Roman" w:cs="Times New Roman"/>
              </w:rPr>
              <w:t>při</w:t>
            </w:r>
            <w:r w:rsidRPr="00C455C2">
              <w:rPr>
                <w:rFonts w:ascii="Times New Roman" w:hAnsi="Times New Roman" w:cs="Times New Roman"/>
              </w:rPr>
              <w:t>slíbila v programovém prohlášení změny v </w:t>
            </w:r>
            <w:r w:rsidRPr="007130C8">
              <w:rPr>
                <w:rFonts w:ascii="Times New Roman" w:hAnsi="Times New Roman" w:cs="Times New Roman"/>
              </w:rPr>
              <w:t>tvorbě</w:t>
            </w:r>
            <w:r w:rsidRPr="00C455C2">
              <w:rPr>
                <w:rFonts w:ascii="Times New Roman" w:hAnsi="Times New Roman" w:cs="Times New Roman"/>
              </w:rPr>
              <w:t xml:space="preserve"> a vyhodnocování legislativy a očekává se také výrazné zapojení DIA.</w:t>
            </w:r>
          </w:p>
        </w:tc>
      </w:tr>
      <w:tr w:rsidRPr="00CA5265" w:rsidR="00934A6D" w:rsidTr="00CF6FAD" w14:paraId="2E3984C7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1D58AF4C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C779AC">
              <w:rPr>
                <w:rFonts w:ascii="Times New Roman" w:hAnsi="Times New Roman" w:cs="Times New Roman"/>
                <w:color w:val="000000" w:themeColor="text1"/>
              </w:rPr>
              <w:t>Nedaří</w:t>
            </w:r>
            <w:proofErr w:type="gramEnd"/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se správně naplňovat princip "při navrhování služeb veřejné správy a legislativy maximálně zohlednit potřeby klienta".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6E49A6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A8D857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4246B92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Za uplynulý rok se podařilo v některých případech budovat komplexní služby pro klienty, ale stále jde o minimální rozsah. V tomto by měla výrazně pomoct DIA díky svým kompetencím. </w:t>
            </w:r>
          </w:p>
        </w:tc>
      </w:tr>
      <w:tr w:rsidRPr="00CA5265" w:rsidR="00934A6D" w:rsidTr="00CF6FAD" w14:paraId="4CD47B4B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6FA792F1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Pro naplnění zásady IKČR, že na prvním místě je klient, chybí ucelená metodika, jak vytvářet skutečně efektivní a atraktivní služby pro klienty.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3E5A15" w:rsidR="00934A6D" w:rsidP="00CF6FAD" w:rsidRDefault="00934A6D" w14:paraId="0ABD20C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49F94F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E5A15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4922885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Komplexní metodika sice chybí, </w:t>
            </w:r>
            <w:r>
              <w:rPr>
                <w:rFonts w:ascii="Times New Roman" w:hAnsi="Times New Roman" w:cs="Times New Roman"/>
              </w:rPr>
              <w:t>došlo však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 </w:t>
            </w:r>
            <w:r w:rsidRPr="00C455C2">
              <w:rPr>
                <w:rFonts w:ascii="Times New Roman" w:hAnsi="Times New Roman" w:cs="Times New Roman"/>
              </w:rPr>
              <w:t>aktualizaci IKČR</w:t>
            </w:r>
            <w:r>
              <w:rPr>
                <w:rFonts w:ascii="Times New Roman" w:hAnsi="Times New Roman" w:cs="Times New Roman"/>
              </w:rPr>
              <w:t>,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vzniku</w:t>
            </w:r>
            <w:r w:rsidRPr="00C455C2">
              <w:rPr>
                <w:rFonts w:ascii="Times New Roman" w:hAnsi="Times New Roman" w:cs="Times New Roman"/>
              </w:rPr>
              <w:t xml:space="preserve"> dílčí</w:t>
            </w:r>
            <w:r>
              <w:rPr>
                <w:rFonts w:ascii="Times New Roman" w:hAnsi="Times New Roman" w:cs="Times New Roman"/>
              </w:rPr>
              <w:t>ch</w:t>
            </w:r>
            <w:r w:rsidRPr="00C455C2">
              <w:rPr>
                <w:rFonts w:ascii="Times New Roman" w:hAnsi="Times New Roman" w:cs="Times New Roman"/>
              </w:rPr>
              <w:t xml:space="preserve"> metodik (např. Federace portálu ve VS) a </w:t>
            </w:r>
            <w:r>
              <w:rPr>
                <w:rFonts w:ascii="Times New Roman" w:hAnsi="Times New Roman" w:cs="Times New Roman"/>
              </w:rPr>
              <w:t>k </w:t>
            </w:r>
            <w:r w:rsidRPr="00C455C2">
              <w:rPr>
                <w:rFonts w:ascii="Times New Roman" w:hAnsi="Times New Roman" w:cs="Times New Roman"/>
              </w:rPr>
              <w:t>většímu rozpracování digitálních služeb v</w:t>
            </w:r>
            <w:r>
              <w:rPr>
                <w:rFonts w:ascii="Times New Roman" w:hAnsi="Times New Roman" w:cs="Times New Roman"/>
              </w:rPr>
              <w:t> </w:t>
            </w:r>
            <w:r w:rsidRPr="00CF328E">
              <w:rPr>
                <w:rFonts w:ascii="Times New Roman" w:hAnsi="Times New Roman" w:cs="Times New Roman"/>
              </w:rPr>
              <w:t>Národní</w:t>
            </w:r>
            <w:r>
              <w:rPr>
                <w:rFonts w:ascii="Times New Roman" w:hAnsi="Times New Roman" w:cs="Times New Roman"/>
              </w:rPr>
              <w:t>m</w:t>
            </w:r>
            <w:r w:rsidRPr="00CF328E">
              <w:rPr>
                <w:rFonts w:ascii="Times New Roman" w:hAnsi="Times New Roman" w:cs="Times New Roman"/>
              </w:rPr>
              <w:t xml:space="preserve"> architektonick</w:t>
            </w:r>
            <w:r>
              <w:rPr>
                <w:rFonts w:ascii="Times New Roman" w:hAnsi="Times New Roman" w:cs="Times New Roman"/>
              </w:rPr>
              <w:t>ém</w:t>
            </w:r>
            <w:r w:rsidRPr="00CF328E">
              <w:rPr>
                <w:rFonts w:ascii="Times New Roman" w:hAnsi="Times New Roman" w:cs="Times New Roman"/>
              </w:rPr>
              <w:t xml:space="preserve"> plán</w:t>
            </w:r>
            <w:r>
              <w:rPr>
                <w:rFonts w:ascii="Times New Roman" w:hAnsi="Times New Roman" w:cs="Times New Roman"/>
              </w:rPr>
              <w:t>u</w:t>
            </w:r>
            <w:r w:rsidRPr="00C455C2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(</w:t>
            </w:r>
            <w:r w:rsidRPr="00C455C2">
              <w:rPr>
                <w:rFonts w:ascii="Times New Roman" w:hAnsi="Times New Roman" w:cs="Times New Roman"/>
              </w:rPr>
              <w:t>NAP</w:t>
            </w:r>
            <w:r>
              <w:rPr>
                <w:rFonts w:ascii="Times New Roman" w:hAnsi="Times New Roman" w:cs="Times New Roman"/>
              </w:rPr>
              <w:t>). V brzké době tak lze očekávat zlepšení situace</w:t>
            </w:r>
            <w:r w:rsidRPr="00C455C2">
              <w:rPr>
                <w:rFonts w:ascii="Times New Roman" w:hAnsi="Times New Roman" w:cs="Times New Roman"/>
              </w:rPr>
              <w:t>. Výraznou roli bude mít v této oblasti DIA.</w:t>
            </w:r>
          </w:p>
        </w:tc>
      </w:tr>
      <w:tr w:rsidRPr="00CA5265" w:rsidR="00934A6D" w:rsidTr="00CF6FAD" w14:paraId="360A3B32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0E8ACD5B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Navíc, chybí důraznější vynucování výměny údajů, tedy klient sice službu má, ale v důsledku je pro něj složitější, než klasický </w:t>
            </w:r>
            <w:proofErr w:type="gramStart"/>
            <w:r w:rsidRPr="00C779AC">
              <w:rPr>
                <w:rFonts w:ascii="Times New Roman" w:hAnsi="Times New Roman" w:cs="Times New Roman"/>
                <w:color w:val="000000" w:themeColor="text1"/>
              </w:rPr>
              <w:t>způsob</w:t>
            </w:r>
            <w:proofErr w:type="gramEnd"/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a tedy ji nevyužije.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7DF4DF1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3620718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15B0ADDA" w14:textId="77777777">
            <w:pPr>
              <w:tabs>
                <w:tab w:val="left" w:pos="3276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Zákon o </w:t>
            </w:r>
            <w:r>
              <w:rPr>
                <w:rFonts w:ascii="Times New Roman" w:hAnsi="Times New Roman" w:cs="Times New Roman"/>
              </w:rPr>
              <w:t>právu na digitální služby (</w:t>
            </w:r>
            <w:proofErr w:type="spellStart"/>
            <w:r>
              <w:rPr>
                <w:rFonts w:ascii="Times New Roman" w:hAnsi="Times New Roman" w:cs="Times New Roman"/>
              </w:rPr>
              <w:t>Zo</w:t>
            </w:r>
            <w:r w:rsidRPr="00C455C2">
              <w:rPr>
                <w:rFonts w:ascii="Times New Roman" w:hAnsi="Times New Roman" w:cs="Times New Roman"/>
              </w:rPr>
              <w:t>PDS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C455C2">
              <w:rPr>
                <w:rFonts w:ascii="Times New Roman" w:hAnsi="Times New Roman" w:cs="Times New Roman"/>
              </w:rPr>
              <w:t xml:space="preserve"> a DEPO nastavily dobře legislativu, ale ukázalo se, že MV</w:t>
            </w:r>
            <w:r>
              <w:rPr>
                <w:rFonts w:ascii="Times New Roman" w:hAnsi="Times New Roman" w:cs="Times New Roman"/>
              </w:rPr>
              <w:t xml:space="preserve"> ČR není ochotno a schopno </w:t>
            </w:r>
            <w:r w:rsidRPr="00C455C2">
              <w:rPr>
                <w:rFonts w:ascii="Times New Roman" w:hAnsi="Times New Roman" w:cs="Times New Roman"/>
              </w:rPr>
              <w:t xml:space="preserve">ji </w:t>
            </w:r>
            <w:r>
              <w:rPr>
                <w:rFonts w:ascii="Times New Roman" w:hAnsi="Times New Roman" w:cs="Times New Roman"/>
              </w:rPr>
              <w:t xml:space="preserve">v praxi </w:t>
            </w:r>
            <w:r w:rsidRPr="00C455C2">
              <w:rPr>
                <w:rFonts w:ascii="Times New Roman" w:hAnsi="Times New Roman" w:cs="Times New Roman"/>
              </w:rPr>
              <w:t>vynucovat. Kvůli tomu byla zřízena DIA s poměrně výraznými pravomocemi.</w:t>
            </w:r>
          </w:p>
        </w:tc>
      </w:tr>
      <w:tr w:rsidRPr="00CA5265" w:rsidR="00934A6D" w:rsidTr="00CF6FAD" w14:paraId="3364F7CA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18DAD14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Pro potřebnou změnu myšlení úředníků chybí </w:t>
            </w:r>
            <w:proofErr w:type="gramStart"/>
            <w:r w:rsidRPr="00C779AC">
              <w:rPr>
                <w:rFonts w:ascii="Times New Roman" w:hAnsi="Times New Roman" w:cs="Times New Roman"/>
                <w:color w:val="000000" w:themeColor="text1"/>
              </w:rPr>
              <w:t>edukace</w:t>
            </w:r>
            <w:proofErr w:type="gramEnd"/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a hlavně praktické postupy, jak mají úřady svoje myšlení měnit.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7335AFC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6DA56B7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E198089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Problém přetrvává a v</w:t>
            </w:r>
            <w:r w:rsidRPr="00C455C2">
              <w:rPr>
                <w:rFonts w:ascii="Times New Roman" w:hAnsi="Times New Roman" w:cs="Times New Roman"/>
              </w:rPr>
              <w:t xml:space="preserve">ětšina metodik stále chybí, </w:t>
            </w:r>
            <w:r>
              <w:rPr>
                <w:rFonts w:ascii="Times New Roman" w:hAnsi="Times New Roman" w:cs="Times New Roman"/>
              </w:rPr>
              <w:t>není dostatek příkladů dobré praxe a selhává i odborná příprava a vzdělávání v této oblasti. I </w:t>
            </w:r>
            <w:r w:rsidRPr="00C455C2">
              <w:rPr>
                <w:rFonts w:ascii="Times New Roman" w:hAnsi="Times New Roman" w:cs="Times New Roman"/>
              </w:rPr>
              <w:t xml:space="preserve">k tomu byla zřízena DIA, která má povinnost vzdělávat v EG, </w:t>
            </w:r>
            <w:r>
              <w:rPr>
                <w:rFonts w:ascii="Times New Roman" w:hAnsi="Times New Roman" w:cs="Times New Roman"/>
              </w:rPr>
              <w:t>spolu s </w:t>
            </w:r>
            <w:r w:rsidRPr="00C455C2">
              <w:rPr>
                <w:rFonts w:ascii="Times New Roman" w:hAnsi="Times New Roman" w:cs="Times New Roman"/>
              </w:rPr>
              <w:t>povinnost</w:t>
            </w:r>
            <w:r>
              <w:rPr>
                <w:rFonts w:ascii="Times New Roman" w:hAnsi="Times New Roman" w:cs="Times New Roman"/>
              </w:rPr>
              <w:t>í</w:t>
            </w:r>
            <w:r w:rsidRPr="00C455C2">
              <w:rPr>
                <w:rFonts w:ascii="Times New Roman" w:hAnsi="Times New Roman" w:cs="Times New Roman"/>
              </w:rPr>
              <w:t xml:space="preserve"> provádět metodickou a koordinační činnost. V některých případech jsou tvořeny edukační materiály v rámci projekt</w:t>
            </w:r>
            <w:r>
              <w:rPr>
                <w:rFonts w:ascii="Times New Roman" w:hAnsi="Times New Roman" w:cs="Times New Roman"/>
              </w:rPr>
              <w:t>ů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55C2">
              <w:rPr>
                <w:rFonts w:ascii="Times New Roman" w:hAnsi="Times New Roman" w:cs="Times New Roman"/>
              </w:rPr>
              <w:t>EGdílna</w:t>
            </w:r>
            <w:proofErr w:type="spellEnd"/>
            <w:r w:rsidRPr="00C455C2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455C2">
              <w:rPr>
                <w:rFonts w:ascii="Times New Roman" w:hAnsi="Times New Roman" w:cs="Times New Roman"/>
              </w:rPr>
              <w:t>EGOVedu</w:t>
            </w:r>
            <w:proofErr w:type="spellEnd"/>
            <w:r w:rsidRPr="00C455C2">
              <w:rPr>
                <w:rFonts w:ascii="Times New Roman" w:hAnsi="Times New Roman" w:cs="Times New Roman"/>
              </w:rPr>
              <w:t xml:space="preserve"> a podle těchto podkladů se již prakticky vzdělává.</w:t>
            </w:r>
          </w:p>
        </w:tc>
      </w:tr>
      <w:tr w:rsidRPr="00CA5265" w:rsidR="00934A6D" w:rsidTr="00CF6FAD" w14:paraId="3855961A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382C923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i odborná příprava zodpovědných osob v úřadech.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0B6B2BD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297EA98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B3B987B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roblém s odbornou a systematickou přípravou zodpovědných osob v úřadech p</w:t>
            </w:r>
            <w:r w:rsidRPr="00C455C2">
              <w:rPr>
                <w:rFonts w:ascii="Times New Roman" w:hAnsi="Times New Roman" w:cs="Times New Roman"/>
              </w:rPr>
              <w:t>řetrvává</w:t>
            </w:r>
            <w:r>
              <w:rPr>
                <w:rFonts w:ascii="Times New Roman" w:hAnsi="Times New Roman" w:cs="Times New Roman"/>
              </w:rPr>
              <w:t>.</w:t>
            </w:r>
            <w:r w:rsidRPr="00C455C2">
              <w:rPr>
                <w:rFonts w:ascii="Times New Roman" w:hAnsi="Times New Roman" w:cs="Times New Roman"/>
              </w:rPr>
              <w:t xml:space="preserve"> Na základě potřeby vznikl projekt </w:t>
            </w:r>
            <w:proofErr w:type="spellStart"/>
            <w:r w:rsidRPr="00C455C2">
              <w:rPr>
                <w:rFonts w:ascii="Times New Roman" w:hAnsi="Times New Roman" w:cs="Times New Roman"/>
              </w:rPr>
              <w:t>EGOVedu</w:t>
            </w:r>
            <w:proofErr w:type="spellEnd"/>
            <w:r w:rsidRPr="00C455C2">
              <w:rPr>
                <w:rFonts w:ascii="Times New Roman" w:hAnsi="Times New Roman" w:cs="Times New Roman"/>
              </w:rPr>
              <w:t>, který s</w:t>
            </w:r>
            <w:r>
              <w:rPr>
                <w:rFonts w:ascii="Times New Roman" w:hAnsi="Times New Roman" w:cs="Times New Roman"/>
              </w:rPr>
              <w:t>e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setkává u </w:t>
            </w:r>
            <w:r w:rsidRPr="00C455C2">
              <w:rPr>
                <w:rFonts w:ascii="Times New Roman" w:hAnsi="Times New Roman" w:cs="Times New Roman"/>
              </w:rPr>
              <w:t>řad</w:t>
            </w:r>
            <w:r>
              <w:rPr>
                <w:rFonts w:ascii="Times New Roman" w:hAnsi="Times New Roman" w:cs="Times New Roman"/>
              </w:rPr>
              <w:t>y</w:t>
            </w:r>
            <w:r w:rsidRPr="00C455C2">
              <w:rPr>
                <w:rFonts w:ascii="Times New Roman" w:hAnsi="Times New Roman" w:cs="Times New Roman"/>
              </w:rPr>
              <w:t xml:space="preserve"> úřadů </w:t>
            </w:r>
            <w:r>
              <w:rPr>
                <w:rFonts w:ascii="Times New Roman" w:hAnsi="Times New Roman" w:cs="Times New Roman"/>
              </w:rPr>
              <w:t>s pozitivním ohlasem</w:t>
            </w:r>
            <w:r w:rsidRPr="00C455C2">
              <w:rPr>
                <w:rFonts w:ascii="Times New Roman" w:hAnsi="Times New Roman" w:cs="Times New Roman"/>
              </w:rPr>
              <w:t>. V rámci něho jsou realizována školen</w:t>
            </w:r>
            <w:r>
              <w:rPr>
                <w:rFonts w:ascii="Times New Roman" w:hAnsi="Times New Roman" w:cs="Times New Roman"/>
              </w:rPr>
              <w:t>í</w:t>
            </w:r>
            <w:r w:rsidRPr="00C455C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h</w:t>
            </w:r>
            <w:r w:rsidRPr="005F7975">
              <w:rPr>
                <w:rFonts w:ascii="Times New Roman" w:hAnsi="Times New Roman" w:cs="Times New Roman"/>
              </w:rPr>
              <w:t>lavním přínosem je zejména tvorba a vznik univerzálně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7975">
              <w:rPr>
                <w:rFonts w:ascii="Times New Roman" w:hAnsi="Times New Roman" w:cs="Times New Roman"/>
              </w:rPr>
              <w:t>použitelných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55C2">
              <w:rPr>
                <w:rFonts w:ascii="Times New Roman" w:hAnsi="Times New Roman" w:cs="Times New Roman"/>
              </w:rPr>
              <w:t>a volně dostupn</w:t>
            </w:r>
            <w:r>
              <w:rPr>
                <w:rFonts w:ascii="Times New Roman" w:hAnsi="Times New Roman" w:cs="Times New Roman"/>
              </w:rPr>
              <w:t>ých</w:t>
            </w:r>
            <w:r w:rsidRPr="00C455C2">
              <w:rPr>
                <w:rFonts w:ascii="Times New Roman" w:hAnsi="Times New Roman" w:cs="Times New Roman"/>
              </w:rPr>
              <w:t xml:space="preserve"> vzdělávací</w:t>
            </w:r>
            <w:r>
              <w:rPr>
                <w:rFonts w:ascii="Times New Roman" w:hAnsi="Times New Roman" w:cs="Times New Roman"/>
              </w:rPr>
              <w:t>ch</w:t>
            </w:r>
            <w:r w:rsidRPr="00C455C2">
              <w:rPr>
                <w:rFonts w:ascii="Times New Roman" w:hAnsi="Times New Roman" w:cs="Times New Roman"/>
              </w:rPr>
              <w:t xml:space="preserve"> materiál</w:t>
            </w:r>
            <w:r>
              <w:rPr>
                <w:rFonts w:ascii="Times New Roman" w:hAnsi="Times New Roman" w:cs="Times New Roman"/>
              </w:rPr>
              <w:t>ů</w:t>
            </w:r>
            <w:r w:rsidRPr="00C455C2"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29A6757C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66C412E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Chybí větší kontrola a tlak na úřady využívat v maximální míře již existující principy a systémy eGovernmentu, jako jsou základní registry, datové schránky či eGovernment </w:t>
            </w:r>
            <w:proofErr w:type="spellStart"/>
            <w:r w:rsidRPr="00C779AC">
              <w:rPr>
                <w:rFonts w:ascii="Times New Roman" w:hAnsi="Times New Roman" w:cs="Times New Roman"/>
                <w:color w:val="000000" w:themeColor="text1"/>
              </w:rPr>
              <w:t>Service</w:t>
            </w:r>
            <w:proofErr w:type="spellEnd"/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Bus.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420D647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6D4128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60D6C09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  <w:r w:rsidRPr="00C455C2">
              <w:rPr>
                <w:rFonts w:ascii="Times New Roman" w:hAnsi="Times New Roman" w:cs="Times New Roman"/>
              </w:rPr>
              <w:t xml:space="preserve"> ČR </w:t>
            </w:r>
            <w:r>
              <w:rPr>
                <w:rFonts w:ascii="Times New Roman" w:hAnsi="Times New Roman" w:cs="Times New Roman"/>
              </w:rPr>
              <w:t>není v oblasti kontrol dostatečně aktivní a důrazné, vůči orgánům veřejné moci je příliš benevolentní</w:t>
            </w:r>
            <w:r w:rsidRPr="00C455C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Se </w:t>
            </w:r>
            <w:r w:rsidRPr="00C455C2">
              <w:rPr>
                <w:rFonts w:ascii="Times New Roman" w:hAnsi="Times New Roman" w:cs="Times New Roman"/>
              </w:rPr>
              <w:t>zřízen</w:t>
            </w:r>
            <w:r>
              <w:rPr>
                <w:rFonts w:ascii="Times New Roman" w:hAnsi="Times New Roman" w:cs="Times New Roman"/>
              </w:rPr>
              <w:t>ím</w:t>
            </w:r>
            <w:r w:rsidRPr="00C455C2">
              <w:rPr>
                <w:rFonts w:ascii="Times New Roman" w:hAnsi="Times New Roman" w:cs="Times New Roman"/>
              </w:rPr>
              <w:t xml:space="preserve"> DIA </w:t>
            </w:r>
            <w:r>
              <w:rPr>
                <w:rFonts w:ascii="Times New Roman" w:hAnsi="Times New Roman" w:cs="Times New Roman"/>
              </w:rPr>
              <w:t>lze pro její</w:t>
            </w:r>
            <w:r w:rsidRPr="00C455C2">
              <w:rPr>
                <w:rFonts w:ascii="Times New Roman" w:hAnsi="Times New Roman" w:cs="Times New Roman"/>
              </w:rPr>
              <w:t> velk</w:t>
            </w:r>
            <w:r>
              <w:rPr>
                <w:rFonts w:ascii="Times New Roman" w:hAnsi="Times New Roman" w:cs="Times New Roman"/>
              </w:rPr>
              <w:t>é</w:t>
            </w:r>
            <w:r w:rsidRPr="00C455C2">
              <w:rPr>
                <w:rFonts w:ascii="Times New Roman" w:hAnsi="Times New Roman" w:cs="Times New Roman"/>
              </w:rPr>
              <w:t xml:space="preserve"> kontrolní a vynucovací pravomoc</w:t>
            </w:r>
            <w:r>
              <w:rPr>
                <w:rFonts w:ascii="Times New Roman" w:hAnsi="Times New Roman" w:cs="Times New Roman"/>
              </w:rPr>
              <w:t>i očekávat posun</w:t>
            </w:r>
            <w:r w:rsidRPr="00C455C2"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662A976F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71F5E4B8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Pro vyhodnocování kvality a KPI nejsou dobře nastavené mechanismy určování reálné kvality, které se principiálně </w:t>
            </w:r>
            <w:proofErr w:type="gramStart"/>
            <w:r w:rsidRPr="00C779AC">
              <w:rPr>
                <w:rFonts w:ascii="Times New Roman" w:hAnsi="Times New Roman" w:cs="Times New Roman"/>
                <w:color w:val="000000" w:themeColor="text1"/>
              </w:rPr>
              <w:t>liší</w:t>
            </w:r>
            <w:proofErr w:type="gramEnd"/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od KPI v komerčním sektoru.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Del="00204804" w:rsidP="00CF6FAD" w:rsidRDefault="00934A6D" w14:paraId="01545C6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C69DB7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241574B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Byly upraveny metodické materiály MV</w:t>
            </w:r>
            <w:r>
              <w:rPr>
                <w:rFonts w:ascii="Times New Roman" w:hAnsi="Times New Roman" w:cs="Times New Roman"/>
              </w:rPr>
              <w:t xml:space="preserve"> ČR</w:t>
            </w:r>
            <w:r w:rsidRPr="00C455C2">
              <w:rPr>
                <w:rFonts w:ascii="Times New Roman" w:hAnsi="Times New Roman" w:cs="Times New Roman"/>
              </w:rPr>
              <w:t xml:space="preserve"> k řízení kvality</w:t>
            </w:r>
            <w:r>
              <w:rPr>
                <w:rFonts w:ascii="Times New Roman" w:hAnsi="Times New Roman" w:cs="Times New Roman"/>
              </w:rPr>
              <w:t>.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</w:t>
            </w:r>
            <w:r w:rsidRPr="00C455C2">
              <w:rPr>
                <w:rFonts w:ascii="Times New Roman" w:hAnsi="Times New Roman" w:cs="Times New Roman"/>
              </w:rPr>
              <w:t>ostupně</w:t>
            </w:r>
            <w:r>
              <w:rPr>
                <w:rFonts w:ascii="Times New Roman" w:hAnsi="Times New Roman" w:cs="Times New Roman"/>
              </w:rPr>
              <w:t xml:space="preserve"> je u úřadů </w:t>
            </w:r>
            <w:r w:rsidRPr="00C455C2">
              <w:rPr>
                <w:rFonts w:ascii="Times New Roman" w:hAnsi="Times New Roman" w:cs="Times New Roman"/>
              </w:rPr>
              <w:t>realizován periodický benchmark na potřeby řízení</w:t>
            </w:r>
            <w:r>
              <w:rPr>
                <w:rFonts w:ascii="Times New Roman" w:hAnsi="Times New Roman" w:cs="Times New Roman"/>
              </w:rPr>
              <w:t xml:space="preserve"> úřadu</w:t>
            </w:r>
            <w:r w:rsidRPr="00C455C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 xml:space="preserve">řízení </w:t>
            </w:r>
            <w:r w:rsidRPr="00C455C2">
              <w:rPr>
                <w:rFonts w:ascii="Times New Roman" w:hAnsi="Times New Roman" w:cs="Times New Roman"/>
              </w:rPr>
              <w:t>kvality. Jako jeden ze zdrojů sledování kvality úřadu bude nově koncipována IK úřadu</w:t>
            </w:r>
            <w:r>
              <w:rPr>
                <w:rFonts w:ascii="Times New Roman" w:hAnsi="Times New Roman" w:cs="Times New Roman"/>
              </w:rPr>
              <w:t xml:space="preserve"> spolu s </w:t>
            </w:r>
            <w:proofErr w:type="spellStart"/>
            <w:r w:rsidRPr="00C455C2">
              <w:rPr>
                <w:rFonts w:ascii="Times New Roman" w:hAnsi="Times New Roman" w:cs="Times New Roman"/>
              </w:rPr>
              <w:t>Assessmentem</w:t>
            </w:r>
            <w:proofErr w:type="spellEnd"/>
            <w:r w:rsidRPr="00C455C2">
              <w:rPr>
                <w:rFonts w:ascii="Times New Roman" w:hAnsi="Times New Roman" w:cs="Times New Roman"/>
              </w:rPr>
              <w:t xml:space="preserve"> povinností. Do </w:t>
            </w:r>
            <w:r>
              <w:rPr>
                <w:rFonts w:ascii="Times New Roman" w:hAnsi="Times New Roman" w:cs="Times New Roman"/>
              </w:rPr>
              <w:t>IKČR</w:t>
            </w:r>
            <w:r w:rsidRPr="00C455C2">
              <w:rPr>
                <w:rFonts w:ascii="Times New Roman" w:hAnsi="Times New Roman" w:cs="Times New Roman"/>
              </w:rPr>
              <w:t xml:space="preserve"> byl přidán nový princip č. 20 (Metriky digitálních služeb). </w:t>
            </w:r>
          </w:p>
        </w:tc>
      </w:tr>
      <w:tr w:rsidRPr="00CA5265" w:rsidR="00934A6D" w:rsidTr="00CF6FAD" w14:paraId="3170DEA4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0B005974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Řízení a sledování kvality, zejména u výkonu veřejné správy, je stále víceméně nahodilé, dobrovolné a nesystémové.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Del="0084054F" w:rsidP="00CF6FAD" w:rsidRDefault="00934A6D" w14:paraId="277463F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372B2C9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7F7F7F" w:themeColor="text1" w:themeTint="80"/>
              </w:rPr>
              <w:t>Zrušeno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0E5A18AA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Sloučeno s předchozím bodem.</w:t>
            </w:r>
          </w:p>
        </w:tc>
      </w:tr>
      <w:tr w:rsidRPr="00CA5265" w:rsidR="00934A6D" w:rsidTr="00CF6FAD" w14:paraId="32D93DC9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521A0BD9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Sledování kvality u vnitřních činností úřadu chybí zcela.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Del="00A7200D" w:rsidP="00CF6FAD" w:rsidRDefault="00934A6D" w14:paraId="4C456E9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EB103E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07F09037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Problém sice přetrvává, ale díky nově vznikajícím IK úřadu a potřebě sebehodnocení souladu s principy a zásadami </w:t>
            </w:r>
            <w:r>
              <w:rPr>
                <w:rFonts w:ascii="Times New Roman" w:hAnsi="Times New Roman" w:cs="Times New Roman"/>
              </w:rPr>
              <w:t>z IKČR</w:t>
            </w:r>
            <w:r w:rsidRPr="00C455C2">
              <w:rPr>
                <w:rFonts w:ascii="Times New Roman" w:hAnsi="Times New Roman" w:cs="Times New Roman"/>
              </w:rPr>
              <w:t xml:space="preserve"> (typicky </w:t>
            </w:r>
            <w:r>
              <w:rPr>
                <w:rFonts w:ascii="Times New Roman" w:hAnsi="Times New Roman" w:cs="Times New Roman"/>
              </w:rPr>
              <w:t>Z</w:t>
            </w:r>
            <w:r w:rsidRPr="00C455C2">
              <w:rPr>
                <w:rFonts w:ascii="Times New Roman" w:hAnsi="Times New Roman" w:cs="Times New Roman"/>
              </w:rPr>
              <w:t xml:space="preserve">ásadami řízení ICT, např. zásadou vnitřní digitalizace, zásadou řízení kvality atp.) si toto úřady uvědomují a nedostatky postupně </w:t>
            </w:r>
            <w:proofErr w:type="gramStart"/>
            <w:r w:rsidRPr="00C455C2">
              <w:rPr>
                <w:rFonts w:ascii="Times New Roman" w:hAnsi="Times New Roman" w:cs="Times New Roman"/>
              </w:rPr>
              <w:t>řeš</w:t>
            </w:r>
            <w:r>
              <w:rPr>
                <w:rFonts w:ascii="Times New Roman" w:hAnsi="Times New Roman" w:cs="Times New Roman"/>
              </w:rPr>
              <w:t>í</w:t>
            </w:r>
            <w:proofErr w:type="gramEnd"/>
            <w:r w:rsidRPr="00C455C2"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5382ABE8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53241D83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Pro řízení přínosů a kvality chybí potřebné motivace a kontroly veřejné správy. Nedostatečně se to prosazuje i na úrovni jednotlivých projektů.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2B8D0E1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5D6290F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295F9923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Toto</w:t>
            </w:r>
            <w:r w:rsidRPr="00C455C2">
              <w:rPr>
                <w:rFonts w:ascii="Times New Roman" w:hAnsi="Times New Roman" w:cs="Times New Roman"/>
              </w:rPr>
              <w:t xml:space="preserve"> stále platí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455C2">
              <w:rPr>
                <w:rFonts w:ascii="Times New Roman" w:hAnsi="Times New Roman" w:cs="Times New Roman"/>
              </w:rPr>
              <w:t>nezavedou</w:t>
            </w:r>
            <w:r>
              <w:rPr>
                <w:rFonts w:ascii="Times New Roman" w:hAnsi="Times New Roman" w:cs="Times New Roman"/>
              </w:rPr>
              <w:t>-li se</w:t>
            </w:r>
            <w:r w:rsidRPr="00C455C2">
              <w:rPr>
                <w:rFonts w:ascii="Times New Roman" w:hAnsi="Times New Roman" w:cs="Times New Roman"/>
              </w:rPr>
              <w:t xml:space="preserve"> tvrdé personální a osobní </w:t>
            </w:r>
            <w:r>
              <w:rPr>
                <w:rFonts w:ascii="Times New Roman" w:hAnsi="Times New Roman" w:cs="Times New Roman"/>
              </w:rPr>
              <w:t>postihy</w:t>
            </w:r>
            <w:r w:rsidRPr="00C455C2">
              <w:rPr>
                <w:rFonts w:ascii="Times New Roman" w:hAnsi="Times New Roman" w:cs="Times New Roman"/>
              </w:rPr>
              <w:t xml:space="preserve"> liknav</w:t>
            </w:r>
            <w:r>
              <w:rPr>
                <w:rFonts w:ascii="Times New Roman" w:hAnsi="Times New Roman" w:cs="Times New Roman"/>
              </w:rPr>
              <w:t>ého vedení úřadů</w:t>
            </w:r>
            <w:r w:rsidRPr="00C455C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zlepšení se nedostaví. Aplikací </w:t>
            </w:r>
            <w:r w:rsidRPr="00C455C2">
              <w:rPr>
                <w:rFonts w:ascii="Times New Roman" w:hAnsi="Times New Roman" w:cs="Times New Roman"/>
              </w:rPr>
              <w:t xml:space="preserve">principů sebehodnocení (viz předchozí body) se touto problematikou začínají úřady </w:t>
            </w:r>
            <w:r>
              <w:rPr>
                <w:rFonts w:ascii="Times New Roman" w:hAnsi="Times New Roman" w:cs="Times New Roman"/>
              </w:rPr>
              <w:t xml:space="preserve">pomalu </w:t>
            </w:r>
            <w:r w:rsidRPr="00C455C2">
              <w:rPr>
                <w:rFonts w:ascii="Times New Roman" w:hAnsi="Times New Roman" w:cs="Times New Roman"/>
              </w:rPr>
              <w:t>zabývat. Se vznikem DIA a zejména s </w:t>
            </w:r>
            <w:r>
              <w:rPr>
                <w:rFonts w:ascii="Times New Roman" w:hAnsi="Times New Roman" w:cs="Times New Roman"/>
              </w:rPr>
              <w:t>n</w:t>
            </w:r>
            <w:r w:rsidRPr="00C455C2">
              <w:rPr>
                <w:rFonts w:ascii="Times New Roman" w:hAnsi="Times New Roman" w:cs="Times New Roman"/>
              </w:rPr>
              <w:t>ovou vyhláškou o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dlouhodobém řízení</w:t>
            </w:r>
            <w:r>
              <w:rPr>
                <w:rFonts w:ascii="Times New Roman" w:hAnsi="Times New Roman" w:cs="Times New Roman"/>
              </w:rPr>
              <w:t xml:space="preserve"> (v průběhu roku 2023 by měla nahradit stávající </w:t>
            </w:r>
            <w:r w:rsidRPr="0044388B">
              <w:rPr>
                <w:rFonts w:ascii="Times New Roman" w:hAnsi="Times New Roman" w:cs="Times New Roman"/>
              </w:rPr>
              <w:t>vyhlášk</w:t>
            </w:r>
            <w:r>
              <w:rPr>
                <w:rFonts w:ascii="Times New Roman" w:hAnsi="Times New Roman" w:cs="Times New Roman"/>
              </w:rPr>
              <w:t>u</w:t>
            </w:r>
            <w:r w:rsidRPr="0044388B">
              <w:rPr>
                <w:rFonts w:ascii="Times New Roman" w:hAnsi="Times New Roman" w:cs="Times New Roman"/>
              </w:rPr>
              <w:t xml:space="preserve"> o dlouhodobém řízení </w:t>
            </w:r>
            <w:r>
              <w:rPr>
                <w:rFonts w:ascii="Times New Roman" w:hAnsi="Times New Roman" w:cs="Times New Roman"/>
              </w:rPr>
              <w:t>ISVS z roku 2006)</w:t>
            </w:r>
            <w:r w:rsidRPr="00C455C2">
              <w:rPr>
                <w:rFonts w:ascii="Times New Roman" w:hAnsi="Times New Roman" w:cs="Times New Roman"/>
              </w:rPr>
              <w:t xml:space="preserve">, která bude obsahovat nové povinnosti zaměřené i na tuto problematiku, </w:t>
            </w:r>
            <w:r>
              <w:rPr>
                <w:rFonts w:ascii="Times New Roman" w:hAnsi="Times New Roman" w:cs="Times New Roman"/>
              </w:rPr>
              <w:t>by mělo postupně docházet k narovnání</w:t>
            </w:r>
            <w:r w:rsidRPr="00C455C2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Pr="00CA5265" w:rsidR="00934A6D" w:rsidTr="00CF6FAD" w14:paraId="70852999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5709B51A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Nefunguje stanovování a vynucování zodpovědností podle zásady IKČR č 7.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645B3" w:rsidR="00934A6D" w:rsidP="00CF6FAD" w:rsidRDefault="00934A6D" w14:paraId="2A758DC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7ACCAAE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18C59F83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Na úrovni organizací </w:t>
            </w:r>
            <w:r>
              <w:rPr>
                <w:rFonts w:ascii="Times New Roman" w:hAnsi="Times New Roman" w:cs="Times New Roman"/>
              </w:rPr>
              <w:t xml:space="preserve">VS </w:t>
            </w:r>
            <w:r w:rsidRPr="00C455C2">
              <w:rPr>
                <w:rFonts w:ascii="Times New Roman" w:hAnsi="Times New Roman" w:cs="Times New Roman"/>
              </w:rPr>
              <w:t xml:space="preserve">přetrvává </w:t>
            </w:r>
            <w:r>
              <w:rPr>
                <w:rFonts w:ascii="Times New Roman" w:hAnsi="Times New Roman" w:cs="Times New Roman"/>
              </w:rPr>
              <w:t>sklon k </w:t>
            </w:r>
            <w:r w:rsidRPr="00C455C2">
              <w:rPr>
                <w:rFonts w:ascii="Times New Roman" w:hAnsi="Times New Roman" w:cs="Times New Roman"/>
              </w:rPr>
              <w:t>resortismu</w:t>
            </w:r>
            <w:r>
              <w:rPr>
                <w:rFonts w:ascii="Times New Roman" w:hAnsi="Times New Roman" w:cs="Times New Roman"/>
              </w:rPr>
              <w:t xml:space="preserve">, pohodlnosti a k výmluvám na jiné subjekty.  Vnitřní </w:t>
            </w:r>
            <w:r w:rsidRPr="00C455C2">
              <w:rPr>
                <w:rFonts w:ascii="Times New Roman" w:hAnsi="Times New Roman" w:cs="Times New Roman"/>
              </w:rPr>
              <w:t xml:space="preserve">matice zodpovědností </w:t>
            </w:r>
            <w:r>
              <w:rPr>
                <w:rFonts w:ascii="Times New Roman" w:hAnsi="Times New Roman" w:cs="Times New Roman"/>
              </w:rPr>
              <w:t xml:space="preserve">v úřadech jsou často </w:t>
            </w:r>
            <w:r w:rsidRPr="00C455C2">
              <w:rPr>
                <w:rFonts w:ascii="Times New Roman" w:hAnsi="Times New Roman" w:cs="Times New Roman"/>
              </w:rPr>
              <w:t>nedostatečné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455C2">
              <w:rPr>
                <w:rFonts w:ascii="Times New Roman" w:hAnsi="Times New Roman" w:cs="Times New Roman"/>
              </w:rPr>
              <w:t>neúplné a zodpovědnosti se nevynucují. V rámci sebehodnocení je tento problém nově reflektován v nové IK úřadu</w:t>
            </w:r>
            <w:r>
              <w:rPr>
                <w:rFonts w:ascii="Times New Roman" w:hAnsi="Times New Roman" w:cs="Times New Roman"/>
              </w:rPr>
              <w:t>,</w:t>
            </w:r>
            <w:r w:rsidRPr="00C455C2">
              <w:rPr>
                <w:rFonts w:ascii="Times New Roman" w:hAnsi="Times New Roman" w:cs="Times New Roman"/>
              </w:rPr>
              <w:t xml:space="preserve"> a je řešen i v</w:t>
            </w:r>
            <w:r>
              <w:rPr>
                <w:rFonts w:ascii="Times New Roman" w:hAnsi="Times New Roman" w:cs="Times New Roman"/>
              </w:rPr>
              <w:t> chystané N</w:t>
            </w:r>
            <w:r w:rsidRPr="00C455C2">
              <w:rPr>
                <w:rFonts w:ascii="Times New Roman" w:hAnsi="Times New Roman" w:cs="Times New Roman"/>
              </w:rPr>
              <w:t>ové vyhláš</w:t>
            </w:r>
            <w:r>
              <w:rPr>
                <w:rFonts w:ascii="Times New Roman" w:hAnsi="Times New Roman" w:cs="Times New Roman"/>
              </w:rPr>
              <w:t>ce</w:t>
            </w:r>
            <w:r w:rsidRPr="00C455C2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 xml:space="preserve">dlouhodobém řízení. </w:t>
            </w:r>
          </w:p>
        </w:tc>
      </w:tr>
      <w:tr w:rsidRPr="00CA5265" w:rsidR="00934A6D" w:rsidTr="00CF6FAD" w14:paraId="5A2CD60C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3F99B796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Není dostatečné vynucování, dosavadní aktivity (jako jsou Digitální zmocněnci) skončily fiaskem, není to nijak řízeno a dohlíženo na to.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0724C9A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29584B6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="00934A6D" w:rsidP="00CF6FAD" w:rsidRDefault="00934A6D" w14:paraId="3B50A7E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 řešení tohoto nedostatku k posunu nedošlo, </w:t>
            </w:r>
            <w:r w:rsidRPr="00C455C2">
              <w:rPr>
                <w:rFonts w:ascii="Times New Roman" w:hAnsi="Times New Roman" w:cs="Times New Roman"/>
              </w:rPr>
              <w:t xml:space="preserve">sporadické </w:t>
            </w:r>
            <w:r>
              <w:rPr>
                <w:rFonts w:ascii="Times New Roman" w:hAnsi="Times New Roman" w:cs="Times New Roman"/>
              </w:rPr>
              <w:t>snahy</w:t>
            </w:r>
            <w:r w:rsidRPr="00C455C2">
              <w:rPr>
                <w:rFonts w:ascii="Times New Roman" w:hAnsi="Times New Roman" w:cs="Times New Roman"/>
              </w:rPr>
              <w:t xml:space="preserve"> o koordinaci a zodpovědnost digitálních zmocněnců </w:t>
            </w:r>
            <w:r>
              <w:rPr>
                <w:rFonts w:ascii="Times New Roman" w:hAnsi="Times New Roman" w:cs="Times New Roman"/>
              </w:rPr>
              <w:t>postupně</w:t>
            </w:r>
            <w:r w:rsidRPr="00C455C2">
              <w:rPr>
                <w:rFonts w:ascii="Times New Roman" w:hAnsi="Times New Roman" w:cs="Times New Roman"/>
              </w:rPr>
              <w:t xml:space="preserve"> opadly</w:t>
            </w:r>
            <w:r>
              <w:rPr>
                <w:rFonts w:ascii="Times New Roman" w:hAnsi="Times New Roman" w:cs="Times New Roman"/>
              </w:rPr>
              <w:t>. Buď musí dojít k revizi a zefektivnění konceptu digitálních zmocněnců jejich větším zapojením, zvýšení pravomocí a vyvozením jejich osobní odpovědnosti,</w:t>
            </w:r>
            <w:r w:rsidRPr="00C455C2">
              <w:rPr>
                <w:rFonts w:ascii="Times New Roman" w:hAnsi="Times New Roman" w:cs="Times New Roman"/>
              </w:rPr>
              <w:t xml:space="preserve"> nebo </w:t>
            </w:r>
            <w:r>
              <w:rPr>
                <w:rFonts w:ascii="Times New Roman" w:hAnsi="Times New Roman" w:cs="Times New Roman"/>
              </w:rPr>
              <w:t>k jeho zrušení</w:t>
            </w:r>
            <w:r w:rsidRPr="00C455C2">
              <w:rPr>
                <w:rFonts w:ascii="Times New Roman" w:hAnsi="Times New Roman" w:cs="Times New Roman"/>
              </w:rPr>
              <w:t xml:space="preserve">. </w:t>
            </w:r>
          </w:p>
          <w:p w:rsidRPr="00C455C2" w:rsidR="00934A6D" w:rsidP="00CF6FAD" w:rsidRDefault="00934A6D" w14:paraId="2046E0DA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 narovnání této problematiky nově přispívá </w:t>
            </w:r>
            <w:r w:rsidRPr="00C455C2">
              <w:rPr>
                <w:rFonts w:ascii="Times New Roman" w:hAnsi="Times New Roman" w:cs="Times New Roman"/>
              </w:rPr>
              <w:t>novel</w:t>
            </w:r>
            <w:r>
              <w:rPr>
                <w:rFonts w:ascii="Times New Roman" w:hAnsi="Times New Roman" w:cs="Times New Roman"/>
              </w:rPr>
              <w:t>a</w:t>
            </w:r>
            <w:r w:rsidRPr="00C455C2">
              <w:rPr>
                <w:rFonts w:ascii="Times New Roman" w:hAnsi="Times New Roman" w:cs="Times New Roman"/>
              </w:rPr>
              <w:t xml:space="preserve"> zákona o ISVS zakotvením Rady vlády pro informační společnost (RVIS) </w:t>
            </w:r>
            <w:r>
              <w:rPr>
                <w:rFonts w:ascii="Times New Roman" w:hAnsi="Times New Roman" w:cs="Times New Roman"/>
              </w:rPr>
              <w:t xml:space="preserve">spolu se </w:t>
            </w:r>
            <w:r w:rsidRPr="00C455C2">
              <w:rPr>
                <w:rFonts w:ascii="Times New Roman" w:hAnsi="Times New Roman" w:cs="Times New Roman"/>
              </w:rPr>
              <w:t>zakotvením fungování digitálních zmocněnců a správců digitálních služeb. Stanovení zodpovědností za jednotlivé systémy a služby je nově součástí IK úřadu. I přes uvedené však problém přetrvává.</w:t>
            </w:r>
          </w:p>
        </w:tc>
      </w:tr>
      <w:tr w:rsidRPr="00CA5265" w:rsidR="00934A6D" w:rsidTr="00CF6FAD" w14:paraId="3658550D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051C75CF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Nedostatečné propojování údajů.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2FE04BC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4AC9143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1F19A840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ZoPDS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DEPO sice vymezují relevantní legislativní rámec</w:t>
            </w:r>
            <w:r w:rsidRPr="00C455C2">
              <w:rPr>
                <w:rFonts w:ascii="Times New Roman" w:hAnsi="Times New Roman" w:cs="Times New Roman"/>
              </w:rPr>
              <w:t xml:space="preserve">, účinnost a </w:t>
            </w:r>
            <w:r>
              <w:rPr>
                <w:rFonts w:ascii="Times New Roman" w:hAnsi="Times New Roman" w:cs="Times New Roman"/>
              </w:rPr>
              <w:t xml:space="preserve">plnění </w:t>
            </w:r>
            <w:r w:rsidRPr="00C455C2">
              <w:rPr>
                <w:rFonts w:ascii="Times New Roman" w:hAnsi="Times New Roman" w:cs="Times New Roman"/>
              </w:rPr>
              <w:t>povinnost</w:t>
            </w:r>
            <w:r>
              <w:rPr>
                <w:rFonts w:ascii="Times New Roman" w:hAnsi="Times New Roman" w:cs="Times New Roman"/>
              </w:rPr>
              <w:t>í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jsou však zatím v nedohlednu</w:t>
            </w:r>
            <w:r w:rsidRPr="00C455C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A</w:t>
            </w:r>
            <w:r w:rsidRPr="00C455C2">
              <w:rPr>
                <w:rFonts w:ascii="Times New Roman" w:hAnsi="Times New Roman" w:cs="Times New Roman"/>
              </w:rPr>
              <w:t xml:space="preserve">ni stávající </w:t>
            </w:r>
            <w:r>
              <w:rPr>
                <w:rFonts w:ascii="Times New Roman" w:hAnsi="Times New Roman" w:cs="Times New Roman"/>
              </w:rPr>
              <w:t>povinnosti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vyplývající ze </w:t>
            </w:r>
            <w:proofErr w:type="spellStart"/>
            <w:r>
              <w:rPr>
                <w:rFonts w:ascii="Times New Roman" w:hAnsi="Times New Roman" w:cs="Times New Roman"/>
              </w:rPr>
              <w:t>ZoPDS</w:t>
            </w:r>
            <w:proofErr w:type="spellEnd"/>
            <w:r>
              <w:rPr>
                <w:rFonts w:ascii="Times New Roman" w:hAnsi="Times New Roman" w:cs="Times New Roman"/>
              </w:rPr>
              <w:t xml:space="preserve"> si aktuálně VS neplní</w:t>
            </w:r>
            <w:r w:rsidRPr="00C455C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např.</w:t>
            </w:r>
            <w:r w:rsidRPr="00C455C2">
              <w:rPr>
                <w:rFonts w:ascii="Times New Roman" w:hAnsi="Times New Roman" w:cs="Times New Roman"/>
              </w:rPr>
              <w:t xml:space="preserve"> záznam o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skutečnosti v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RPP)</w:t>
            </w:r>
            <w:r>
              <w:rPr>
                <w:rFonts w:ascii="Times New Roman" w:hAnsi="Times New Roman" w:cs="Times New Roman"/>
              </w:rPr>
              <w:t>, a</w:t>
            </w:r>
            <w:r w:rsidRPr="00C455C2">
              <w:rPr>
                <w:rFonts w:ascii="Times New Roman" w:hAnsi="Times New Roman" w:cs="Times New Roman"/>
              </w:rPr>
              <w:t xml:space="preserve"> to i přes účinnost nov</w:t>
            </w:r>
            <w:r>
              <w:rPr>
                <w:rFonts w:ascii="Times New Roman" w:hAnsi="Times New Roman" w:cs="Times New Roman"/>
              </w:rPr>
              <w:t>ého</w:t>
            </w:r>
            <w:r w:rsidRPr="00C455C2">
              <w:rPr>
                <w:rFonts w:ascii="Times New Roman" w:hAnsi="Times New Roman" w:cs="Times New Roman"/>
              </w:rPr>
              <w:t xml:space="preserve"> ustanovení o využívání údajů z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agendového informačního systému</w:t>
            </w:r>
            <w:r>
              <w:rPr>
                <w:rFonts w:ascii="Times New Roman" w:hAnsi="Times New Roman" w:cs="Times New Roman"/>
              </w:rPr>
              <w:t xml:space="preserve"> (AIS)</w:t>
            </w:r>
            <w:r w:rsidRPr="00C455C2">
              <w:rPr>
                <w:rFonts w:ascii="Times New Roman" w:hAnsi="Times New Roman" w:cs="Times New Roman"/>
              </w:rPr>
              <w:t xml:space="preserve"> v zákoně o základních registrech a nového ustanovení ve Správním řádu. V uvedené oblasti nedošlo k žádnému posunu, nicméně lze v budoucnu očekávat postupné řešení problému </w:t>
            </w:r>
            <w:r>
              <w:rPr>
                <w:rFonts w:ascii="Times New Roman" w:hAnsi="Times New Roman" w:cs="Times New Roman"/>
              </w:rPr>
              <w:t>využitím</w:t>
            </w:r>
            <w:r w:rsidRPr="00C455C2">
              <w:rPr>
                <w:rFonts w:ascii="Times New Roman" w:hAnsi="Times New Roman" w:cs="Times New Roman"/>
              </w:rPr>
              <w:t xml:space="preserve"> pravomocí ze strany DIA.</w:t>
            </w:r>
          </w:p>
        </w:tc>
      </w:tr>
      <w:tr w:rsidRPr="00CA5265" w:rsidR="00934A6D" w:rsidTr="00CF6FAD" w14:paraId="42B21D2C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75C3973B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větší kontrola dodržování EG povinností ze strany OHA.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6B8DA58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3413DF8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972C30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 ČR</w:t>
            </w:r>
            <w:r w:rsidRPr="00C455C2">
              <w:rPr>
                <w:rFonts w:ascii="Times New Roman" w:hAnsi="Times New Roman" w:cs="Times New Roman"/>
              </w:rPr>
              <w:t xml:space="preserve"> na vrcholové úrovni </w:t>
            </w:r>
            <w:r>
              <w:rPr>
                <w:rFonts w:ascii="Times New Roman" w:hAnsi="Times New Roman" w:cs="Times New Roman"/>
              </w:rPr>
              <w:t xml:space="preserve">problém dlouhodobě aktivně </w:t>
            </w:r>
            <w:proofErr w:type="gramStart"/>
            <w:r>
              <w:rPr>
                <w:rFonts w:ascii="Times New Roman" w:hAnsi="Times New Roman" w:cs="Times New Roman"/>
              </w:rPr>
              <w:t>neřeší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Pr="00C455C2">
              <w:rPr>
                <w:rFonts w:ascii="Times New Roman" w:hAnsi="Times New Roman" w:cs="Times New Roman"/>
              </w:rPr>
              <w:t>ukazuje se i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 xml:space="preserve">nedostatečný rozsah </w:t>
            </w:r>
            <w:r>
              <w:rPr>
                <w:rFonts w:ascii="Times New Roman" w:hAnsi="Times New Roman" w:cs="Times New Roman"/>
              </w:rPr>
              <w:t>reálných</w:t>
            </w:r>
            <w:r w:rsidRPr="00C455C2">
              <w:rPr>
                <w:rFonts w:ascii="Times New Roman" w:hAnsi="Times New Roman" w:cs="Times New Roman"/>
              </w:rPr>
              <w:t xml:space="preserve"> kompetencí </w:t>
            </w:r>
            <w:r w:rsidRPr="006A771E">
              <w:rPr>
                <w:rFonts w:ascii="Times New Roman" w:hAnsi="Times New Roman" w:cs="Times New Roman"/>
              </w:rPr>
              <w:t xml:space="preserve">odboru hlavního architekta eGovernmentu </w:t>
            </w:r>
            <w:r>
              <w:rPr>
                <w:rFonts w:ascii="Times New Roman" w:hAnsi="Times New Roman" w:cs="Times New Roman"/>
              </w:rPr>
              <w:t>(</w:t>
            </w:r>
            <w:r w:rsidRPr="00C455C2">
              <w:rPr>
                <w:rFonts w:ascii="Times New Roman" w:hAnsi="Times New Roman" w:cs="Times New Roman"/>
              </w:rPr>
              <w:t>OHA</w:t>
            </w:r>
            <w:r>
              <w:rPr>
                <w:rFonts w:ascii="Times New Roman" w:hAnsi="Times New Roman" w:cs="Times New Roman"/>
              </w:rPr>
              <w:t>)</w:t>
            </w:r>
            <w:r w:rsidRPr="00C455C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Je třeba zaujmout tvrdší postoj</w:t>
            </w:r>
            <w:r w:rsidRPr="00C455C2">
              <w:rPr>
                <w:rFonts w:ascii="Times New Roman" w:hAnsi="Times New Roman" w:cs="Times New Roman"/>
              </w:rPr>
              <w:t xml:space="preserve"> a vynucov</w:t>
            </w:r>
            <w:r>
              <w:rPr>
                <w:rFonts w:ascii="Times New Roman" w:hAnsi="Times New Roman" w:cs="Times New Roman"/>
              </w:rPr>
              <w:t>at dodržování povinností</w:t>
            </w:r>
            <w:r w:rsidRPr="00C455C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Zlepšení stavu lze o</w:t>
            </w:r>
            <w:r w:rsidRPr="00C455C2">
              <w:rPr>
                <w:rFonts w:ascii="Times New Roman" w:hAnsi="Times New Roman" w:cs="Times New Roman"/>
              </w:rPr>
              <w:t>čekáv</w:t>
            </w:r>
            <w:r>
              <w:rPr>
                <w:rFonts w:ascii="Times New Roman" w:hAnsi="Times New Roman" w:cs="Times New Roman"/>
              </w:rPr>
              <w:t>at</w:t>
            </w:r>
            <w:r w:rsidRPr="00C455C2">
              <w:rPr>
                <w:rFonts w:ascii="Times New Roman" w:hAnsi="Times New Roman" w:cs="Times New Roman"/>
              </w:rPr>
              <w:t xml:space="preserve"> se vznikem DIA a přechodem OHA z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MV</w:t>
            </w:r>
            <w:r>
              <w:rPr>
                <w:rFonts w:ascii="Times New Roman" w:hAnsi="Times New Roman" w:cs="Times New Roman"/>
              </w:rPr>
              <w:t xml:space="preserve"> ČR</w:t>
            </w:r>
            <w:r w:rsidRPr="00C455C2">
              <w:rPr>
                <w:rFonts w:ascii="Times New Roman" w:hAnsi="Times New Roman" w:cs="Times New Roman"/>
              </w:rPr>
              <w:t xml:space="preserve"> pod DIA. </w:t>
            </w:r>
            <w:r>
              <w:rPr>
                <w:rFonts w:ascii="Times New Roman" w:hAnsi="Times New Roman" w:cs="Times New Roman"/>
              </w:rPr>
              <w:t>P</w:t>
            </w:r>
            <w:r w:rsidRPr="00C455C2">
              <w:rPr>
                <w:rFonts w:ascii="Times New Roman" w:hAnsi="Times New Roman" w:cs="Times New Roman"/>
              </w:rPr>
              <w:t>řechod</w:t>
            </w:r>
            <w:r>
              <w:rPr>
                <w:rFonts w:ascii="Times New Roman" w:hAnsi="Times New Roman" w:cs="Times New Roman"/>
              </w:rPr>
              <w:t>em</w:t>
            </w:r>
            <w:r w:rsidRPr="00C455C2">
              <w:rPr>
                <w:rFonts w:ascii="Times New Roman" w:hAnsi="Times New Roman" w:cs="Times New Roman"/>
              </w:rPr>
              <w:t xml:space="preserve"> pravomocí koordinace a schvalování</w:t>
            </w:r>
            <w:r>
              <w:rPr>
                <w:rFonts w:ascii="Times New Roman" w:hAnsi="Times New Roman" w:cs="Times New Roman"/>
              </w:rPr>
              <w:t>m</w:t>
            </w:r>
            <w:r w:rsidRPr="00C455C2">
              <w:rPr>
                <w:rFonts w:ascii="Times New Roman" w:hAnsi="Times New Roman" w:cs="Times New Roman"/>
              </w:rPr>
              <w:t xml:space="preserve"> v rámci DIA by mělo dojít k zásadnímu posunu v řešení tohoto problému.</w:t>
            </w:r>
          </w:p>
        </w:tc>
      </w:tr>
      <w:tr w:rsidRPr="00CA5265" w:rsidR="00934A6D" w:rsidTr="00CF6FAD" w14:paraId="5961FD35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615EB3D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Dále chybí nějaká metodika, jak opravdu budovat službu, na co přitom nezapomenout a co naopak nedělat.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51EE5D3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407B3A4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5277CF8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Předmětná</w:t>
            </w:r>
            <w:r w:rsidRPr="00C455C2">
              <w:rPr>
                <w:rFonts w:ascii="Times New Roman" w:hAnsi="Times New Roman" w:cs="Times New Roman"/>
              </w:rPr>
              <w:t xml:space="preserve"> metodika stále </w:t>
            </w:r>
            <w:r>
              <w:rPr>
                <w:rFonts w:ascii="Times New Roman" w:hAnsi="Times New Roman" w:cs="Times New Roman"/>
              </w:rPr>
              <w:t xml:space="preserve">chybí, 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 rostoucím </w:t>
            </w:r>
            <w:r w:rsidRPr="00C455C2">
              <w:rPr>
                <w:rFonts w:ascii="Times New Roman" w:hAnsi="Times New Roman" w:cs="Times New Roman"/>
              </w:rPr>
              <w:t xml:space="preserve">počtem neizolovaných služeb </w:t>
            </w:r>
            <w:r>
              <w:rPr>
                <w:rFonts w:ascii="Times New Roman" w:hAnsi="Times New Roman" w:cs="Times New Roman"/>
              </w:rPr>
              <w:t>se problém prohlubuje</w:t>
            </w:r>
            <w:r w:rsidRPr="00C455C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K</w:t>
            </w:r>
            <w:r w:rsidRPr="00C455C2">
              <w:rPr>
                <w:rFonts w:ascii="Times New Roman" w:hAnsi="Times New Roman" w:cs="Times New Roman"/>
              </w:rPr>
              <w:t>ompetenční centr</w:t>
            </w:r>
            <w:r>
              <w:rPr>
                <w:rFonts w:ascii="Times New Roman" w:hAnsi="Times New Roman" w:cs="Times New Roman"/>
              </w:rPr>
              <w:t>um pod DIA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by mělo zajistit </w:t>
            </w:r>
            <w:r w:rsidRPr="00C455C2">
              <w:rPr>
                <w:rFonts w:ascii="Times New Roman" w:hAnsi="Times New Roman" w:cs="Times New Roman"/>
              </w:rPr>
              <w:t xml:space="preserve">vznik </w:t>
            </w:r>
            <w:r>
              <w:rPr>
                <w:rFonts w:ascii="Times New Roman" w:hAnsi="Times New Roman" w:cs="Times New Roman"/>
              </w:rPr>
              <w:t>potřebné</w:t>
            </w:r>
            <w:r w:rsidRPr="00C455C2">
              <w:rPr>
                <w:rFonts w:ascii="Times New Roman" w:hAnsi="Times New Roman" w:cs="Times New Roman"/>
              </w:rPr>
              <w:t xml:space="preserve"> metodiky.</w:t>
            </w:r>
          </w:p>
        </w:tc>
      </w:tr>
      <w:tr w:rsidRPr="00CA5265" w:rsidR="00934A6D" w:rsidTr="00CF6FAD" w14:paraId="3181F2D2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1F3BC1CF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Rozvoji opravdu efektivních a atraktivních služeb brání i neplnění povinnosti využívání referenčních údajů a nutnost klientů dokládat stále stejné údaje – tedy, to pro ně není efektivní. V této oblasti se musí také prohloubit koordinace a vynucování ze strany MV ČR.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5286D6B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9E85D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025FD52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Došlo sice ke zlepšení </w:t>
            </w:r>
            <w:r w:rsidRPr="00C455C2">
              <w:rPr>
                <w:rFonts w:ascii="Times New Roman" w:hAnsi="Times New Roman" w:cs="Times New Roman"/>
              </w:rPr>
              <w:t>využívání referenčních údajů, nicméně vzhledem k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absenci (neúčinnosti) legislativy k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propojenému datovému fondu (</w:t>
            </w:r>
            <w:proofErr w:type="spellStart"/>
            <w:r>
              <w:rPr>
                <w:rFonts w:ascii="Times New Roman" w:hAnsi="Times New Roman" w:cs="Times New Roman"/>
              </w:rPr>
              <w:t>ZoPDS</w:t>
            </w:r>
            <w:proofErr w:type="spellEnd"/>
            <w:r>
              <w:rPr>
                <w:rFonts w:ascii="Times New Roman" w:hAnsi="Times New Roman" w:cs="Times New Roman"/>
              </w:rPr>
              <w:t> a DEPO</w:t>
            </w:r>
            <w:r w:rsidRPr="00C455C2">
              <w:rPr>
                <w:rFonts w:ascii="Times New Roman" w:hAnsi="Times New Roman" w:cs="Times New Roman"/>
              </w:rPr>
              <w:t xml:space="preserve">) to </w:t>
            </w:r>
            <w:r>
              <w:rPr>
                <w:rFonts w:ascii="Times New Roman" w:hAnsi="Times New Roman" w:cs="Times New Roman"/>
              </w:rPr>
              <w:t>na klienty VS nemá hmatatelný dopad, a</w:t>
            </w:r>
            <w:r w:rsidRPr="00C455C2">
              <w:rPr>
                <w:rFonts w:ascii="Times New Roman" w:hAnsi="Times New Roman" w:cs="Times New Roman"/>
              </w:rPr>
              <w:t xml:space="preserve"> to i přes účinnost ustanovení o sdílení údajů a souvisejících povinností k 1.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2022 (</w:t>
            </w:r>
            <w:r>
              <w:rPr>
                <w:rFonts w:ascii="Times New Roman" w:hAnsi="Times New Roman" w:cs="Times New Roman"/>
              </w:rPr>
              <w:t xml:space="preserve">viz </w:t>
            </w:r>
            <w:proofErr w:type="spellStart"/>
            <w:r>
              <w:rPr>
                <w:rFonts w:ascii="Times New Roman" w:hAnsi="Times New Roman" w:cs="Times New Roman"/>
              </w:rPr>
              <w:t>ZoPDS</w:t>
            </w:r>
            <w:proofErr w:type="spellEnd"/>
            <w:r w:rsidRPr="00C455C2">
              <w:rPr>
                <w:rFonts w:ascii="Times New Roman" w:hAnsi="Times New Roman" w:cs="Times New Roman"/>
              </w:rPr>
              <w:t xml:space="preserve">). K zásadnímu posunu v této oblasti </w:t>
            </w:r>
            <w:r>
              <w:rPr>
                <w:rFonts w:ascii="Times New Roman" w:hAnsi="Times New Roman" w:cs="Times New Roman"/>
              </w:rPr>
              <w:t xml:space="preserve">tak </w:t>
            </w:r>
            <w:r w:rsidRPr="00C455C2">
              <w:rPr>
                <w:rFonts w:ascii="Times New Roman" w:hAnsi="Times New Roman" w:cs="Times New Roman"/>
              </w:rPr>
              <w:t>nedošlo</w:t>
            </w:r>
            <w:r>
              <w:rPr>
                <w:rFonts w:ascii="Times New Roman" w:hAnsi="Times New Roman" w:cs="Times New Roman"/>
              </w:rPr>
              <w:t>, p</w:t>
            </w:r>
            <w:r w:rsidRPr="00C455C2">
              <w:rPr>
                <w:rFonts w:ascii="Times New Roman" w:hAnsi="Times New Roman" w:cs="Times New Roman"/>
              </w:rPr>
              <w:t xml:space="preserve">ravomoci DIA by </w:t>
            </w:r>
            <w:r>
              <w:rPr>
                <w:rFonts w:ascii="Times New Roman" w:hAnsi="Times New Roman" w:cs="Times New Roman"/>
              </w:rPr>
              <w:t xml:space="preserve">však </w:t>
            </w:r>
            <w:r w:rsidRPr="00C455C2">
              <w:rPr>
                <w:rFonts w:ascii="Times New Roman" w:hAnsi="Times New Roman" w:cs="Times New Roman"/>
              </w:rPr>
              <w:t xml:space="preserve">měly zajistit postupné </w:t>
            </w:r>
            <w:r>
              <w:rPr>
                <w:rFonts w:ascii="Times New Roman" w:hAnsi="Times New Roman" w:cs="Times New Roman"/>
              </w:rPr>
              <w:t>odstraňování</w:t>
            </w:r>
            <w:r w:rsidRPr="00C455C2">
              <w:rPr>
                <w:rFonts w:ascii="Times New Roman" w:hAnsi="Times New Roman" w:cs="Times New Roman"/>
              </w:rPr>
              <w:t xml:space="preserve"> nedostatků.</w:t>
            </w:r>
          </w:p>
        </w:tc>
      </w:tr>
      <w:tr w:rsidRPr="00CA5265" w:rsidR="00934A6D" w:rsidTr="00CF6FAD" w14:paraId="1EDEDDA5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614D231A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Stran řízení architektury chybí hlubší metodiky a </w:t>
            </w:r>
            <w:proofErr w:type="spellStart"/>
            <w:r w:rsidRPr="00C779AC">
              <w:rPr>
                <w:rFonts w:ascii="Times New Roman" w:hAnsi="Times New Roman" w:cs="Times New Roman"/>
                <w:color w:val="000000" w:themeColor="text1"/>
              </w:rPr>
              <w:t>patterny</w:t>
            </w:r>
            <w:proofErr w:type="spellEnd"/>
            <w:r w:rsidRPr="00C779A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674891D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6610709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1FBC88F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Ze strany OHA se postupně rozvíjí a aktualizuje </w:t>
            </w:r>
            <w:r>
              <w:rPr>
                <w:rFonts w:ascii="Times New Roman" w:hAnsi="Times New Roman" w:cs="Times New Roman"/>
              </w:rPr>
              <w:t>NAP</w:t>
            </w:r>
            <w:r w:rsidRPr="00C455C2">
              <w:rPr>
                <w:rFonts w:ascii="Times New Roman" w:hAnsi="Times New Roman" w:cs="Times New Roman"/>
              </w:rPr>
              <w:t>, nicméně Národní architektonický rámec dosud nebyl dokončen.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55C2">
              <w:rPr>
                <w:rFonts w:ascii="Times New Roman" w:hAnsi="Times New Roman" w:cs="Times New Roman"/>
              </w:rPr>
              <w:t xml:space="preserve">Stále chybí některé </w:t>
            </w:r>
            <w:proofErr w:type="spellStart"/>
            <w:r w:rsidRPr="00C455C2">
              <w:rPr>
                <w:rFonts w:ascii="Times New Roman" w:hAnsi="Times New Roman" w:cs="Times New Roman"/>
              </w:rPr>
              <w:t>patterny</w:t>
            </w:r>
            <w:proofErr w:type="spellEnd"/>
            <w:r w:rsidRPr="00C455C2">
              <w:rPr>
                <w:rFonts w:ascii="Times New Roman" w:hAnsi="Times New Roman" w:cs="Times New Roman"/>
              </w:rPr>
              <w:t xml:space="preserve">, vybrané se podařilo ve spolupráci OHA a </w:t>
            </w:r>
            <w:proofErr w:type="spellStart"/>
            <w:r w:rsidRPr="00C455C2">
              <w:rPr>
                <w:rFonts w:ascii="Times New Roman" w:hAnsi="Times New Roman" w:cs="Times New Roman"/>
              </w:rPr>
              <w:t>EGdílny</w:t>
            </w:r>
            <w:proofErr w:type="spellEnd"/>
            <w:r w:rsidRPr="00C455C2">
              <w:rPr>
                <w:rFonts w:ascii="Times New Roman" w:hAnsi="Times New Roman" w:cs="Times New Roman"/>
              </w:rPr>
              <w:t xml:space="preserve"> připravit.</w:t>
            </w:r>
          </w:p>
        </w:tc>
      </w:tr>
      <w:tr w:rsidRPr="00CA5265" w:rsidR="00934A6D" w:rsidTr="00CF6FAD" w14:paraId="025615F1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66E9D715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Je sice Národní architektonický plán, ale chybí k němu šablony a podrobné modelové ukázky.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33ED402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2FC31E3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6B6AFC18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V uplynulém roce (2022) byla publikována řada vzorových modelů a vzorových formulářů schvalování OHA</w:t>
            </w:r>
            <w:r>
              <w:rPr>
                <w:rFonts w:ascii="Times New Roman" w:hAnsi="Times New Roman" w:cs="Times New Roman"/>
              </w:rPr>
              <w:t>. P</w:t>
            </w:r>
            <w:r w:rsidRPr="00C455C2">
              <w:rPr>
                <w:rFonts w:ascii="Times New Roman" w:hAnsi="Times New Roman" w:cs="Times New Roman"/>
              </w:rPr>
              <w:t xml:space="preserve">ro některé oblasti jsou </w:t>
            </w:r>
            <w:r>
              <w:rPr>
                <w:rFonts w:ascii="Times New Roman" w:hAnsi="Times New Roman" w:cs="Times New Roman"/>
              </w:rPr>
              <w:t>tyto</w:t>
            </w:r>
            <w:r w:rsidRPr="00C455C2">
              <w:rPr>
                <w:rFonts w:ascii="Times New Roman" w:hAnsi="Times New Roman" w:cs="Times New Roman"/>
              </w:rPr>
              <w:t xml:space="preserve"> vzory </w:t>
            </w:r>
            <w:r>
              <w:rPr>
                <w:rFonts w:ascii="Times New Roman" w:hAnsi="Times New Roman" w:cs="Times New Roman"/>
              </w:rPr>
              <w:t xml:space="preserve">již </w:t>
            </w:r>
            <w:r w:rsidRPr="00C455C2">
              <w:rPr>
                <w:rFonts w:ascii="Times New Roman" w:hAnsi="Times New Roman" w:cs="Times New Roman"/>
              </w:rPr>
              <w:t xml:space="preserve">k dispozici, pro </w:t>
            </w:r>
            <w:r>
              <w:rPr>
                <w:rFonts w:ascii="Times New Roman" w:hAnsi="Times New Roman" w:cs="Times New Roman"/>
              </w:rPr>
              <w:t>ostatní oblasti</w:t>
            </w:r>
            <w:r w:rsidRPr="00C455C2">
              <w:rPr>
                <w:rFonts w:ascii="Times New Roman" w:hAnsi="Times New Roman" w:cs="Times New Roman"/>
              </w:rPr>
              <w:t xml:space="preserve"> by měly být vytvořeny v průběhu roku 2023.</w:t>
            </w:r>
          </w:p>
        </w:tc>
      </w:tr>
      <w:tr w:rsidRPr="00CA5265" w:rsidR="00934A6D" w:rsidTr="00CF6FAD" w14:paraId="03CF0202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3B945D59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jednoduché nástroje pro ty úřady, které nemají dostatečné personální a odborné kapacity.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A87EBA" w:rsidP="00CF6FAD" w:rsidRDefault="00934A6D" w14:paraId="45CDEBE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07E02C8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3E19EE1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Problém sice přetrvává a související akademické a komerční projekty se opožďují, nicméně stát již </w:t>
            </w:r>
            <w:r>
              <w:rPr>
                <w:rFonts w:ascii="Times New Roman" w:hAnsi="Times New Roman" w:cs="Times New Roman"/>
              </w:rPr>
              <w:t xml:space="preserve">určité nástroje </w:t>
            </w:r>
            <w:r w:rsidRPr="00C455C2">
              <w:rPr>
                <w:rFonts w:ascii="Times New Roman" w:hAnsi="Times New Roman" w:cs="Times New Roman"/>
              </w:rPr>
              <w:t xml:space="preserve">má a dává je volně k dispozici (např. referenční architektury, výrobní linka pro konceptuální modelování a sémantické slovníky). Na dalších nástrojích se pracuje v rámci </w:t>
            </w:r>
            <w:proofErr w:type="spellStart"/>
            <w:r w:rsidRPr="00C455C2">
              <w:rPr>
                <w:rFonts w:ascii="Times New Roman" w:hAnsi="Times New Roman" w:cs="Times New Roman"/>
              </w:rPr>
              <w:t>EGdílny</w:t>
            </w:r>
            <w:proofErr w:type="spellEnd"/>
            <w:r w:rsidRPr="00C455C2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Pr="00CA5265" w:rsidR="00934A6D" w:rsidTr="00CF6FAD" w14:paraId="3EAF1646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378CB58F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Chce to i větší vynucování a kontrolu ze strany OHA a také větší pomoc zejména menším úřadům v této oblasti.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2C1DF69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4897E7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9C6120B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Problematiku kontroly a vynucování ze strany OHA </w:t>
            </w:r>
            <w:proofErr w:type="gramStart"/>
            <w:r w:rsidRPr="00C455C2">
              <w:rPr>
                <w:rFonts w:ascii="Times New Roman" w:hAnsi="Times New Roman" w:cs="Times New Roman"/>
              </w:rPr>
              <w:t>vyřeší</w:t>
            </w:r>
            <w:proofErr w:type="gramEnd"/>
            <w:r w:rsidRPr="00C455C2">
              <w:rPr>
                <w:rFonts w:ascii="Times New Roman" w:hAnsi="Times New Roman" w:cs="Times New Roman"/>
              </w:rPr>
              <w:t xml:space="preserve"> DIA, pod kterou OHA přechází. Na základě potřeby pomoci úřadům byla v NAKIT vytvořena kompetenční centra, která pomoc v různých oblastech nabízí. Tako kompetenční ce</w:t>
            </w:r>
            <w:r>
              <w:rPr>
                <w:rFonts w:ascii="Times New Roman" w:hAnsi="Times New Roman" w:cs="Times New Roman"/>
              </w:rPr>
              <w:t>n</w:t>
            </w:r>
            <w:r w:rsidRPr="00C455C2">
              <w:rPr>
                <w:rFonts w:ascii="Times New Roman" w:hAnsi="Times New Roman" w:cs="Times New Roman"/>
              </w:rPr>
              <w:t xml:space="preserve">tra </w:t>
            </w:r>
            <w:r>
              <w:rPr>
                <w:rFonts w:ascii="Times New Roman" w:hAnsi="Times New Roman" w:cs="Times New Roman"/>
              </w:rPr>
              <w:t>budou převedena</w:t>
            </w:r>
            <w:r w:rsidRPr="00C455C2">
              <w:rPr>
                <w:rFonts w:ascii="Times New Roman" w:hAnsi="Times New Roman" w:cs="Times New Roman"/>
              </w:rPr>
              <w:t xml:space="preserve"> rovněž pod DIA. V této oblasti byla dále prohloubena spolupráce</w:t>
            </w:r>
            <w:r>
              <w:rPr>
                <w:rFonts w:ascii="Times New Roman" w:hAnsi="Times New Roman" w:cs="Times New Roman"/>
              </w:rPr>
              <w:t xml:space="preserve"> NAKIT </w:t>
            </w:r>
            <w:r w:rsidRPr="00C455C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 </w:t>
            </w:r>
            <w:proofErr w:type="spellStart"/>
            <w:r w:rsidRPr="00C455C2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G</w:t>
            </w:r>
            <w:r w:rsidRPr="00C455C2">
              <w:rPr>
                <w:rFonts w:ascii="Times New Roman" w:hAnsi="Times New Roman" w:cs="Times New Roman"/>
              </w:rPr>
              <w:t>dílnou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předpokládá se i </w:t>
            </w:r>
            <w:r w:rsidRPr="00C455C2">
              <w:rPr>
                <w:rFonts w:ascii="Times New Roman" w:hAnsi="Times New Roman" w:cs="Times New Roman"/>
              </w:rPr>
              <w:t>prohlouben</w:t>
            </w:r>
            <w:r>
              <w:rPr>
                <w:rFonts w:ascii="Times New Roman" w:hAnsi="Times New Roman" w:cs="Times New Roman"/>
              </w:rPr>
              <w:t>í</w:t>
            </w:r>
            <w:r w:rsidRPr="00C455C2">
              <w:rPr>
                <w:rFonts w:ascii="Times New Roman" w:hAnsi="Times New Roman" w:cs="Times New Roman"/>
              </w:rPr>
              <w:t xml:space="preserve"> spolupráce mezi </w:t>
            </w:r>
            <w:proofErr w:type="spellStart"/>
            <w:r w:rsidRPr="00C455C2">
              <w:rPr>
                <w:rFonts w:ascii="Times New Roman" w:hAnsi="Times New Roman" w:cs="Times New Roman"/>
              </w:rPr>
              <w:t>EGdílnou</w:t>
            </w:r>
            <w:proofErr w:type="spellEnd"/>
            <w:r w:rsidRPr="00C455C2">
              <w:rPr>
                <w:rFonts w:ascii="Times New Roman" w:hAnsi="Times New Roman" w:cs="Times New Roman"/>
              </w:rPr>
              <w:t xml:space="preserve"> a DIA.</w:t>
            </w:r>
          </w:p>
        </w:tc>
      </w:tr>
      <w:tr w:rsidRPr="00CA5265" w:rsidR="00934A6D" w:rsidTr="00CF6FAD" w14:paraId="6F0571F5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5DF65305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Chtělo by to dopracovat Metody řízení ICT a postupem času je učinit závaznými.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0714E7" w:rsidP="00CF6FAD" w:rsidRDefault="00934A6D" w14:paraId="4DDBCD9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ascii="Times New Roman" w:hAnsi="Times New Roman" w:cs="Times New Roman"/>
                <w:b/>
                <w:color w:val="ED7D31" w:themeColor="accent2"/>
              </w:rPr>
              <w:t>Příprava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046C085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00B050"/>
              </w:rPr>
              <w:t>Vyřešeno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3F8867D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Metody řízení ICT byly převzaty, rozšířeny a zapracovány do </w:t>
            </w:r>
            <w:r>
              <w:rPr>
                <w:rFonts w:ascii="Times New Roman" w:hAnsi="Times New Roman" w:cs="Times New Roman"/>
              </w:rPr>
              <w:t>N</w:t>
            </w:r>
            <w:r w:rsidRPr="00C455C2">
              <w:rPr>
                <w:rFonts w:ascii="Times New Roman" w:hAnsi="Times New Roman" w:cs="Times New Roman"/>
              </w:rPr>
              <w:t>ové vyhlášky o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dlouhodobém řízení</w:t>
            </w:r>
            <w:r>
              <w:rPr>
                <w:rFonts w:ascii="Times New Roman" w:hAnsi="Times New Roman" w:cs="Times New Roman"/>
              </w:rPr>
              <w:t xml:space="preserve"> (předpokládaná účinnost v druhé polovině 2023)</w:t>
            </w:r>
            <w:r w:rsidRPr="00C455C2"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18FBF92F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3EF1BAB1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Musí se zvýšit kontrola ze strany MV ČR jak pro aktuálnost informačních koncepcí, tak i pro samotné řízení ICT.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371937" w:rsidP="00CF6FAD" w:rsidRDefault="00934A6D" w14:paraId="5A93E75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771F335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0302AEE3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Zde došlo k výraznému legislativnímu posunu </w:t>
            </w:r>
            <w:r>
              <w:rPr>
                <w:rFonts w:ascii="Times New Roman" w:hAnsi="Times New Roman" w:cs="Times New Roman"/>
              </w:rPr>
              <w:t xml:space="preserve">přijetím </w:t>
            </w:r>
            <w:r w:rsidRPr="00C455C2">
              <w:rPr>
                <w:rFonts w:ascii="Times New Roman" w:hAnsi="Times New Roman" w:cs="Times New Roman"/>
              </w:rPr>
              <w:t>zákon</w:t>
            </w:r>
            <w:r>
              <w:rPr>
                <w:rFonts w:ascii="Times New Roman" w:hAnsi="Times New Roman" w:cs="Times New Roman"/>
              </w:rPr>
              <w:t>a</w:t>
            </w:r>
            <w:r w:rsidRPr="00C455C2">
              <w:rPr>
                <w:rFonts w:ascii="Times New Roman" w:hAnsi="Times New Roman" w:cs="Times New Roman"/>
              </w:rPr>
              <w:t xml:space="preserve"> č. 471/2022, kterým se zřizuje DIA a stanovují se jí výraznější kontrolní a vynucovací pravomoci. Reálné vyřešení problému bude závislé na míře uplatňování těchto pravomocí v praxi.</w:t>
            </w:r>
          </w:p>
        </w:tc>
      </w:tr>
      <w:tr w:rsidRPr="00CA5265" w:rsidR="00934A6D" w:rsidTr="00CF6FAD" w14:paraId="4C919B56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159334D4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Vhodné je i rozpracovávat jednotlivé oblasti, aby ICT měli k dispozici pro praktické použití.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4B5E6EB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00C9A00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520CB53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Došlo k výraznému posunu, neboť řada oblastí je již detailně zpracována, a to jak v NAP, tak především v rozšiřující znalostí bázi. Práce na této problematice pokračuje i v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roce 2023.</w:t>
            </w:r>
          </w:p>
        </w:tc>
      </w:tr>
      <w:tr w:rsidRPr="00CA5265" w:rsidR="00934A6D" w:rsidTr="00CF6FAD" w14:paraId="728A17FE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0900FDB3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Stran správy požadavků není dodělána sada standardizovaných vzorových požadavků na ICT řešení, není splněn rámec dílčího cíle IKČR 2.8.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06116C2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656E1F5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4CB5B91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Dle dostupných informací MV ČR ani MMR</w:t>
            </w:r>
            <w:r w:rsidRPr="001A3C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Č</w:t>
            </w:r>
            <w:r w:rsidRPr="00D42316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n</w:t>
            </w:r>
            <w:r w:rsidRPr="00C455C2">
              <w:rPr>
                <w:rFonts w:ascii="Times New Roman" w:hAnsi="Times New Roman" w:cs="Times New Roman"/>
              </w:rPr>
              <w:t xml:space="preserve">a tomto úkolu z cíle 2.8 </w:t>
            </w:r>
            <w:r>
              <w:rPr>
                <w:rFonts w:ascii="Times New Roman" w:hAnsi="Times New Roman" w:cs="Times New Roman"/>
              </w:rPr>
              <w:t>IKČR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C16E54">
              <w:rPr>
                <w:rFonts w:ascii="Times New Roman" w:hAnsi="Times New Roman" w:cs="Times New Roman"/>
              </w:rPr>
              <w:t>Metodika pro veřejné zakázky v</w:t>
            </w:r>
            <w:r>
              <w:rPr>
                <w:rFonts w:ascii="Times New Roman" w:hAnsi="Times New Roman" w:cs="Times New Roman"/>
              </w:rPr>
              <w:t> </w:t>
            </w:r>
            <w:r w:rsidRPr="00C16E54">
              <w:rPr>
                <w:rFonts w:ascii="Times New Roman" w:hAnsi="Times New Roman" w:cs="Times New Roman"/>
              </w:rPr>
              <w:t>oblasti ICT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C455C2">
              <w:rPr>
                <w:rFonts w:ascii="Times New Roman" w:hAnsi="Times New Roman" w:cs="Times New Roman"/>
              </w:rPr>
              <w:t>nepracují.</w:t>
            </w:r>
          </w:p>
        </w:tc>
      </w:tr>
      <w:tr w:rsidRPr="00CA5265" w:rsidR="00934A6D" w:rsidTr="00CF6FAD" w14:paraId="1633F80F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36C76269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metodika jak na požadavky a jejich systematickou správu.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1A1728C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0584B4A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4F12903B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Dle dostupných informací byl v</w:t>
            </w:r>
            <w:r w:rsidRPr="00C455C2">
              <w:rPr>
                <w:rFonts w:ascii="Times New Roman" w:hAnsi="Times New Roman" w:cs="Times New Roman"/>
              </w:rPr>
              <w:t xml:space="preserve"> rámci úkolů OHA </w:t>
            </w:r>
            <w:r>
              <w:rPr>
                <w:rFonts w:ascii="Times New Roman" w:hAnsi="Times New Roman" w:cs="Times New Roman"/>
              </w:rPr>
              <w:t>příslušný ve fázi přípravy</w:t>
            </w:r>
            <w:r w:rsidRPr="00C455C2">
              <w:rPr>
                <w:rFonts w:ascii="Times New Roman" w:hAnsi="Times New Roman" w:cs="Times New Roman"/>
              </w:rPr>
              <w:t xml:space="preserve">, nebyl </w:t>
            </w:r>
            <w:r>
              <w:rPr>
                <w:rFonts w:ascii="Times New Roman" w:hAnsi="Times New Roman" w:cs="Times New Roman"/>
              </w:rPr>
              <w:t xml:space="preserve">však nikdy </w:t>
            </w:r>
            <w:r w:rsidRPr="00C455C2">
              <w:rPr>
                <w:rFonts w:ascii="Times New Roman" w:hAnsi="Times New Roman" w:cs="Times New Roman"/>
              </w:rPr>
              <w:t>dopracován a vydán.</w:t>
            </w:r>
          </w:p>
        </w:tc>
      </w:tr>
      <w:tr w:rsidRPr="00CA5265" w:rsidR="00934A6D" w:rsidTr="00CF6FAD" w14:paraId="76E5452F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62C01C02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Povinnost správy požadavků je nedostatečná.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7EFF5A4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2537690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59C50889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Přestože taková povinnost </w:t>
            </w:r>
            <w:r w:rsidRPr="00BF522B">
              <w:rPr>
                <w:rFonts w:ascii="Times New Roman" w:hAnsi="Times New Roman" w:cs="Times New Roman"/>
              </w:rPr>
              <w:t xml:space="preserve">plnit související zásady </w:t>
            </w:r>
            <w:r>
              <w:rPr>
                <w:rFonts w:ascii="Times New Roman" w:hAnsi="Times New Roman" w:cs="Times New Roman"/>
              </w:rPr>
              <w:t>IKČR</w:t>
            </w:r>
            <w:r w:rsidRPr="00BF522B">
              <w:rPr>
                <w:rFonts w:ascii="Times New Roman" w:hAnsi="Times New Roman" w:cs="Times New Roman"/>
              </w:rPr>
              <w:t xml:space="preserve"> existuje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455C2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 xml:space="preserve">rámci </w:t>
            </w:r>
            <w:r>
              <w:rPr>
                <w:rFonts w:ascii="Times New Roman" w:hAnsi="Times New Roman" w:cs="Times New Roman"/>
              </w:rPr>
              <w:t>NAP stále chybí, není ani součástí Národní architektury.</w:t>
            </w:r>
          </w:p>
        </w:tc>
      </w:tr>
      <w:tr w:rsidRPr="00CA5265" w:rsidR="00934A6D" w:rsidTr="00CF6FAD" w14:paraId="49728F27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549C1EF9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U správy a sledování změn ICT řešení pak zcela chybí kontrola ze strany MV ČR.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3E5A15" w:rsidR="00934A6D" w:rsidP="00CF6FAD" w:rsidRDefault="00934A6D" w14:paraId="045D1CE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0329EF8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E5A15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AD7F22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Novelizací zákona o ISVS </w:t>
            </w:r>
            <w:r>
              <w:rPr>
                <w:rFonts w:ascii="Times New Roman" w:hAnsi="Times New Roman" w:cs="Times New Roman"/>
              </w:rPr>
              <w:t>byla zavedena</w:t>
            </w:r>
            <w:r w:rsidRPr="00C455C2">
              <w:rPr>
                <w:rFonts w:ascii="Times New Roman" w:hAnsi="Times New Roman" w:cs="Times New Roman"/>
              </w:rPr>
              <w:t xml:space="preserve"> povinnost schvalování před uvedením systému nebo služby do provozu (kolaudační stanovisko). </w:t>
            </w:r>
            <w:r>
              <w:rPr>
                <w:rFonts w:ascii="Times New Roman" w:hAnsi="Times New Roman" w:cs="Times New Roman"/>
              </w:rPr>
              <w:t xml:space="preserve">Touto změnou byla </w:t>
            </w:r>
            <w:r w:rsidRPr="00C455C2">
              <w:rPr>
                <w:rFonts w:ascii="Times New Roman" w:hAnsi="Times New Roman" w:cs="Times New Roman"/>
              </w:rPr>
              <w:t>založena legislativní povinnost OHA kontrolovat soulad se všemi požadavky v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rámci realizace ICT projektů. Vzhledem k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přechodu OHA pod DIA bude reálné vyřešení problému závislé na míře uplatňování pravomocí DIA v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praxi.</w:t>
            </w:r>
          </w:p>
        </w:tc>
      </w:tr>
      <w:tr w:rsidRPr="00CA5265" w:rsidR="00934A6D" w:rsidTr="00CF6FAD" w14:paraId="07380FE9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AEA9DD0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U zásady IKČR 13 k nezávislosti návrhu od implementace chybí vynucování a kontrola ze strany MV ČR.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25B51BD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2FF8DFF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9B3F12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Naplňování </w:t>
            </w:r>
            <w:r>
              <w:rPr>
                <w:rFonts w:ascii="Times New Roman" w:hAnsi="Times New Roman" w:cs="Times New Roman"/>
              </w:rPr>
              <w:t>uvedené</w:t>
            </w:r>
            <w:r w:rsidRPr="00C455C2">
              <w:rPr>
                <w:rFonts w:ascii="Times New Roman" w:hAnsi="Times New Roman" w:cs="Times New Roman"/>
              </w:rPr>
              <w:t xml:space="preserve"> zásady</w:t>
            </w:r>
            <w:r>
              <w:rPr>
                <w:rFonts w:ascii="Times New Roman" w:hAnsi="Times New Roman" w:cs="Times New Roman"/>
              </w:rPr>
              <w:t xml:space="preserve"> IKČR č. 13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6F0369">
              <w:rPr>
                <w:rFonts w:ascii="Times New Roman" w:hAnsi="Times New Roman" w:cs="Times New Roman"/>
              </w:rPr>
              <w:t>Nezávislost návrhu, řízení a kontroly kvality</w:t>
            </w:r>
            <w:r>
              <w:rPr>
                <w:rFonts w:ascii="Times New Roman" w:hAnsi="Times New Roman" w:cs="Times New Roman"/>
              </w:rPr>
              <w:t xml:space="preserve">) je nově kontrolováno </w:t>
            </w:r>
            <w:r w:rsidRPr="00C455C2">
              <w:rPr>
                <w:rFonts w:ascii="Times New Roman" w:hAnsi="Times New Roman" w:cs="Times New Roman"/>
              </w:rPr>
              <w:t>u žádostí o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schvalování stanoviska ze strany OHA. Na tuto zásadu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55C2">
              <w:rPr>
                <w:rFonts w:ascii="Times New Roman" w:hAnsi="Times New Roman" w:cs="Times New Roman"/>
              </w:rPr>
              <w:t xml:space="preserve">bude </w:t>
            </w:r>
            <w:r>
              <w:rPr>
                <w:rFonts w:ascii="Times New Roman" w:hAnsi="Times New Roman" w:cs="Times New Roman"/>
              </w:rPr>
              <w:t xml:space="preserve">nyní kladen </w:t>
            </w:r>
            <w:r w:rsidRPr="00C455C2">
              <w:rPr>
                <w:rFonts w:ascii="Times New Roman" w:hAnsi="Times New Roman" w:cs="Times New Roman"/>
              </w:rPr>
              <w:t xml:space="preserve">velký důraz. V rámci sebehodnocení je </w:t>
            </w:r>
            <w:r>
              <w:rPr>
                <w:rFonts w:ascii="Times New Roman" w:hAnsi="Times New Roman" w:cs="Times New Roman"/>
              </w:rPr>
              <w:t xml:space="preserve">již </w:t>
            </w:r>
            <w:r w:rsidRPr="00C455C2">
              <w:rPr>
                <w:rFonts w:ascii="Times New Roman" w:hAnsi="Times New Roman" w:cs="Times New Roman"/>
              </w:rPr>
              <w:t>tento problém reflektován v nové IK úřadu</w:t>
            </w:r>
            <w:r>
              <w:rPr>
                <w:rFonts w:ascii="Times New Roman" w:hAnsi="Times New Roman" w:cs="Times New Roman"/>
              </w:rPr>
              <w:t>,</w:t>
            </w:r>
            <w:r w:rsidRPr="00C455C2">
              <w:rPr>
                <w:rFonts w:ascii="Times New Roman" w:hAnsi="Times New Roman" w:cs="Times New Roman"/>
              </w:rPr>
              <w:t xml:space="preserve"> je řešen i </w:t>
            </w:r>
            <w:r>
              <w:rPr>
                <w:rFonts w:ascii="Times New Roman" w:hAnsi="Times New Roman" w:cs="Times New Roman"/>
              </w:rPr>
              <w:t>v připravované Nové</w:t>
            </w:r>
            <w:r w:rsidRPr="00C455C2">
              <w:rPr>
                <w:rFonts w:ascii="Times New Roman" w:hAnsi="Times New Roman" w:cs="Times New Roman"/>
              </w:rPr>
              <w:t xml:space="preserve"> vyhláš</w:t>
            </w:r>
            <w:r>
              <w:rPr>
                <w:rFonts w:ascii="Times New Roman" w:hAnsi="Times New Roman" w:cs="Times New Roman"/>
              </w:rPr>
              <w:t xml:space="preserve">ce </w:t>
            </w:r>
            <w:r w:rsidRPr="00C455C2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 xml:space="preserve">dlouhodobém řízení. </w:t>
            </w:r>
          </w:p>
        </w:tc>
      </w:tr>
      <w:tr w:rsidRPr="00CA5265" w:rsidR="00934A6D" w:rsidTr="00CF6FAD" w14:paraId="73744061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0CC718EB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ucelená a praktická metodika, jak mají úřady opravdu prakticky naplnit povinnost Z16 IKČR (Využívání otevřeného software a standardů).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C455C2" w:rsidR="00934A6D" w:rsidDel="005E76F0" w:rsidP="00CF6FAD" w:rsidRDefault="00934A6D" w14:paraId="4D13967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Práce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0380E5D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02FE5E4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Oficiální metodika</w:t>
            </w:r>
            <w:r>
              <w:rPr>
                <w:rFonts w:ascii="Times New Roman" w:hAnsi="Times New Roman" w:cs="Times New Roman"/>
              </w:rPr>
              <w:t xml:space="preserve"> doposud neexistuje</w:t>
            </w:r>
            <w:r w:rsidRPr="00C455C2">
              <w:rPr>
                <w:rFonts w:ascii="Times New Roman" w:hAnsi="Times New Roman" w:cs="Times New Roman"/>
              </w:rPr>
              <w:t xml:space="preserve">, nicméně v rámci projektu #OPENCZEG se kupříkladu objevila sada požadavků na otevřenou </w:t>
            </w:r>
            <w:r w:rsidRPr="008254FA">
              <w:rPr>
                <w:rFonts w:ascii="Times New Roman" w:hAnsi="Times New Roman" w:cs="Times New Roman"/>
              </w:rPr>
              <w:t>integraci</w:t>
            </w:r>
            <w:r w:rsidRPr="00C455C2">
              <w:rPr>
                <w:rFonts w:ascii="Times New Roman" w:hAnsi="Times New Roman" w:cs="Times New Roman"/>
              </w:rPr>
              <w:t xml:space="preserve"> apod.  V tuto chvíli se dle dostupných informací na žádné ucelené metodice nepracuje</w:t>
            </w:r>
            <w:r>
              <w:rPr>
                <w:rFonts w:ascii="Times New Roman" w:hAnsi="Times New Roman" w:cs="Times New Roman"/>
              </w:rPr>
              <w:t>,</w:t>
            </w:r>
            <w:r w:rsidRPr="00C455C2">
              <w:rPr>
                <w:rFonts w:ascii="Times New Roman" w:hAnsi="Times New Roman" w:cs="Times New Roman"/>
              </w:rPr>
              <w:t xml:space="preserve">  je to jeden z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úkolů pro DIA na rok 2023. V</w:t>
            </w:r>
            <w:r>
              <w:rPr>
                <w:rFonts w:ascii="Times New Roman" w:hAnsi="Times New Roman" w:cs="Times New Roman"/>
              </w:rPr>
              <w:t> IKČR</w:t>
            </w:r>
            <w:r w:rsidRPr="00C455C2">
              <w:rPr>
                <w:rFonts w:ascii="Times New Roman" w:hAnsi="Times New Roman" w:cs="Times New Roman"/>
              </w:rPr>
              <w:t xml:space="preserve"> přibyl nový </w:t>
            </w:r>
            <w:r w:rsidRPr="008F258A">
              <w:rPr>
                <w:rFonts w:ascii="Times New Roman" w:hAnsi="Times New Roman" w:cs="Times New Roman"/>
              </w:rPr>
              <w:t>architek</w:t>
            </w:r>
            <w:r>
              <w:rPr>
                <w:rFonts w:ascii="Times New Roman" w:hAnsi="Times New Roman" w:cs="Times New Roman"/>
              </w:rPr>
              <w:t>t</w:t>
            </w:r>
            <w:r w:rsidRPr="008F258A">
              <w:rPr>
                <w:rFonts w:ascii="Times New Roman" w:hAnsi="Times New Roman" w:cs="Times New Roman"/>
              </w:rPr>
              <w:t>onický</w:t>
            </w:r>
            <w:r w:rsidRPr="00C455C2">
              <w:rPr>
                <w:rFonts w:ascii="Times New Roman" w:hAnsi="Times New Roman" w:cs="Times New Roman"/>
              </w:rPr>
              <w:t xml:space="preserve"> princip číslo 19 </w:t>
            </w:r>
            <w:r>
              <w:rPr>
                <w:rFonts w:ascii="Times New Roman" w:hAnsi="Times New Roman" w:cs="Times New Roman"/>
              </w:rPr>
              <w:t>(</w:t>
            </w:r>
            <w:r w:rsidRPr="005F62EB">
              <w:rPr>
                <w:rFonts w:ascii="Times New Roman" w:hAnsi="Times New Roman" w:cs="Times New Roman"/>
              </w:rPr>
              <w:t>Otevřená řešení</w:t>
            </w:r>
            <w:r>
              <w:rPr>
                <w:rFonts w:ascii="Times New Roman" w:hAnsi="Times New Roman" w:cs="Times New Roman"/>
              </w:rPr>
              <w:t>)</w:t>
            </w:r>
            <w:r w:rsidRPr="00C455C2">
              <w:rPr>
                <w:rFonts w:ascii="Times New Roman" w:hAnsi="Times New Roman" w:cs="Times New Roman"/>
              </w:rPr>
              <w:t>, který tuto problematiku specifikuje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212CA8B6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DD6C0FA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metodiky, jak opravdu efektivně a prakticky naplnit zásadu IKČR Z17 (Podpora vyváženého partnerství s dodavateli).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42B60B6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Práce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5CE0BE1E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34EA7238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C455C2">
              <w:rPr>
                <w:rFonts w:ascii="Times New Roman" w:hAnsi="Times New Roman" w:cs="Times New Roman"/>
              </w:rPr>
              <w:t xml:space="preserve">le dostupných informací </w:t>
            </w:r>
            <w:r>
              <w:rPr>
                <w:rFonts w:ascii="Times New Roman" w:hAnsi="Times New Roman" w:cs="Times New Roman"/>
              </w:rPr>
              <w:t>nyní tvorba</w:t>
            </w:r>
            <w:r w:rsidRPr="00C455C2">
              <w:rPr>
                <w:rFonts w:ascii="Times New Roman" w:hAnsi="Times New Roman" w:cs="Times New Roman"/>
              </w:rPr>
              <w:t xml:space="preserve"> ucelené metodi</w:t>
            </w:r>
            <w:r>
              <w:rPr>
                <w:rFonts w:ascii="Times New Roman" w:hAnsi="Times New Roman" w:cs="Times New Roman"/>
              </w:rPr>
              <w:t>ky neprobíhá</w:t>
            </w:r>
            <w:r w:rsidRPr="00C455C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Relativně </w:t>
            </w:r>
            <w:r w:rsidRPr="00C455C2">
              <w:rPr>
                <w:rFonts w:ascii="Times New Roman" w:hAnsi="Times New Roman" w:cs="Times New Roman"/>
              </w:rPr>
              <w:t xml:space="preserve">konkrétní požadavky definuje </w:t>
            </w:r>
            <w:r>
              <w:rPr>
                <w:rFonts w:ascii="Times New Roman" w:hAnsi="Times New Roman" w:cs="Times New Roman"/>
              </w:rPr>
              <w:t>V</w:t>
            </w:r>
            <w:r w:rsidRPr="00C455C2">
              <w:rPr>
                <w:rFonts w:ascii="Times New Roman" w:hAnsi="Times New Roman" w:cs="Times New Roman"/>
              </w:rPr>
              <w:t>yhláška o</w:t>
            </w:r>
            <w:r>
              <w:rPr>
                <w:rFonts w:ascii="Times New Roman" w:hAnsi="Times New Roman" w:cs="Times New Roman"/>
              </w:rPr>
              <w:t xml:space="preserve"> kybernetické bezpečnosti (VKB), </w:t>
            </w:r>
            <w:r w:rsidRPr="00C455C2">
              <w:rPr>
                <w:rFonts w:ascii="Times New Roman" w:hAnsi="Times New Roman" w:cs="Times New Roman"/>
              </w:rPr>
              <w:t xml:space="preserve">ani ty </w:t>
            </w:r>
            <w:r>
              <w:rPr>
                <w:rFonts w:ascii="Times New Roman" w:hAnsi="Times New Roman" w:cs="Times New Roman"/>
              </w:rPr>
              <w:t xml:space="preserve">však </w:t>
            </w:r>
            <w:r w:rsidRPr="00C455C2">
              <w:rPr>
                <w:rFonts w:ascii="Times New Roman" w:hAnsi="Times New Roman" w:cs="Times New Roman"/>
              </w:rPr>
              <w:t xml:space="preserve">nejsou veřejnou správou </w:t>
            </w:r>
            <w:r>
              <w:rPr>
                <w:rFonts w:ascii="Times New Roman" w:hAnsi="Times New Roman" w:cs="Times New Roman"/>
              </w:rPr>
              <w:t>dostatečně</w:t>
            </w:r>
            <w:r w:rsidRPr="00C455C2">
              <w:rPr>
                <w:rFonts w:ascii="Times New Roman" w:hAnsi="Times New Roman" w:cs="Times New Roman"/>
              </w:rPr>
              <w:t xml:space="preserve"> naplňovány.</w:t>
            </w:r>
          </w:p>
        </w:tc>
      </w:tr>
      <w:tr w:rsidRPr="00CA5265" w:rsidR="00934A6D" w:rsidTr="00CF6FAD" w14:paraId="18F400DD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95103D7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Úřady nemají k dispozici návod, jak upravovat současné dodavatelské vztahy, aby povinnosti plnily a zároveň nemají moc právní páky na současné dodavatele.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5E76F0" w:rsidP="00CF6FAD" w:rsidRDefault="00934A6D" w14:paraId="440D320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Práce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49446DF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613A69A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Metodika </w:t>
            </w:r>
            <w:r>
              <w:rPr>
                <w:rFonts w:ascii="Times New Roman" w:hAnsi="Times New Roman" w:cs="Times New Roman"/>
              </w:rPr>
              <w:t>měla vznikat při</w:t>
            </w:r>
            <w:r w:rsidRPr="00C455C2">
              <w:rPr>
                <w:rFonts w:ascii="Times New Roman" w:hAnsi="Times New Roman" w:cs="Times New Roman"/>
              </w:rPr>
              <w:t xml:space="preserve"> Open</w:t>
            </w:r>
            <w:r>
              <w:rPr>
                <w:rFonts w:ascii="Times New Roman" w:hAnsi="Times New Roman" w:cs="Times New Roman"/>
              </w:rPr>
              <w:noBreakHyphen/>
            </w:r>
            <w:r w:rsidRPr="00C455C2">
              <w:rPr>
                <w:rFonts w:ascii="Times New Roman" w:hAnsi="Times New Roman" w:cs="Times New Roman"/>
              </w:rPr>
              <w:t>source Alianc</w:t>
            </w:r>
            <w:r>
              <w:rPr>
                <w:rFonts w:ascii="Times New Roman" w:hAnsi="Times New Roman" w:cs="Times New Roman"/>
              </w:rPr>
              <w:t>i, dokončení bylo plánováno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na </w:t>
            </w:r>
            <w:r w:rsidRPr="00C455C2">
              <w:rPr>
                <w:rFonts w:ascii="Times New Roman" w:hAnsi="Times New Roman" w:cs="Times New Roman"/>
              </w:rPr>
              <w:t>polovin</w:t>
            </w:r>
            <w:r>
              <w:rPr>
                <w:rFonts w:ascii="Times New Roman" w:hAnsi="Times New Roman" w:cs="Times New Roman"/>
              </w:rPr>
              <w:t>u</w:t>
            </w:r>
            <w:r w:rsidRPr="00C455C2">
              <w:rPr>
                <w:rFonts w:ascii="Times New Roman" w:hAnsi="Times New Roman" w:cs="Times New Roman"/>
              </w:rPr>
              <w:t xml:space="preserve"> roku 2022. </w:t>
            </w:r>
            <w:r>
              <w:rPr>
                <w:rFonts w:ascii="Times New Roman" w:hAnsi="Times New Roman" w:cs="Times New Roman"/>
              </w:rPr>
              <w:t>D</w:t>
            </w:r>
            <w:r w:rsidRPr="00C455C2">
              <w:rPr>
                <w:rFonts w:ascii="Times New Roman" w:hAnsi="Times New Roman" w:cs="Times New Roman"/>
              </w:rPr>
              <w:t xml:space="preserve">le dostupných informací </w:t>
            </w:r>
            <w:r>
              <w:rPr>
                <w:rFonts w:ascii="Times New Roman" w:hAnsi="Times New Roman" w:cs="Times New Roman"/>
              </w:rPr>
              <w:t xml:space="preserve">se nyní </w:t>
            </w:r>
            <w:r w:rsidRPr="00C455C2">
              <w:rPr>
                <w:rFonts w:ascii="Times New Roman" w:hAnsi="Times New Roman" w:cs="Times New Roman"/>
              </w:rPr>
              <w:t>na takové ucelené metodice nepracuje.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55C2">
              <w:rPr>
                <w:rFonts w:ascii="Times New Roman" w:hAnsi="Times New Roman" w:cs="Times New Roman"/>
              </w:rPr>
              <w:t>Určité požadavky</w:t>
            </w:r>
            <w:r>
              <w:rPr>
                <w:rFonts w:ascii="Times New Roman" w:hAnsi="Times New Roman" w:cs="Times New Roman"/>
              </w:rPr>
              <w:t xml:space="preserve"> konkrétněji</w:t>
            </w:r>
            <w:r w:rsidRPr="00C455C2">
              <w:rPr>
                <w:rFonts w:ascii="Times New Roman" w:hAnsi="Times New Roman" w:cs="Times New Roman"/>
              </w:rPr>
              <w:t xml:space="preserve"> definuje </w:t>
            </w:r>
            <w:r>
              <w:rPr>
                <w:rFonts w:ascii="Times New Roman" w:hAnsi="Times New Roman" w:cs="Times New Roman"/>
              </w:rPr>
              <w:t>VKB, k</w:t>
            </w:r>
            <w:r w:rsidRPr="00821D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</w:t>
            </w:r>
            <w:r w:rsidRPr="00821D81">
              <w:rPr>
                <w:rFonts w:ascii="Times New Roman" w:hAnsi="Times New Roman" w:cs="Times New Roman"/>
              </w:rPr>
              <w:t xml:space="preserve">ejich naplňování </w:t>
            </w:r>
            <w:r>
              <w:rPr>
                <w:rFonts w:ascii="Times New Roman" w:hAnsi="Times New Roman" w:cs="Times New Roman"/>
              </w:rPr>
              <w:t>ale ve VS</w:t>
            </w:r>
            <w:r w:rsidRPr="00821D81">
              <w:rPr>
                <w:rFonts w:ascii="Times New Roman" w:hAnsi="Times New Roman" w:cs="Times New Roman"/>
              </w:rPr>
              <w:t xml:space="preserve"> spíše nedochází.</w:t>
            </w:r>
          </w:p>
        </w:tc>
      </w:tr>
      <w:tr w:rsidRPr="00CA5265" w:rsidR="00934A6D" w:rsidTr="00CF6FAD" w14:paraId="62E85228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63D1E5EA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Dosavadní anti-vendor-</w:t>
            </w:r>
            <w:proofErr w:type="spellStart"/>
            <w:r w:rsidRPr="00C779AC">
              <w:rPr>
                <w:rFonts w:ascii="Times New Roman" w:hAnsi="Times New Roman" w:cs="Times New Roman"/>
                <w:color w:val="000000" w:themeColor="text1"/>
              </w:rPr>
              <w:t>lockin</w:t>
            </w:r>
            <w:proofErr w:type="spellEnd"/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metodiky nejsou prakticky použitelné pro stávající dodavatelské vztahy.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066E34BA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4CE97A9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340FF2F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Stav beze změny.</w:t>
            </w:r>
            <w:r w:rsidRPr="00C455C2">
              <w:rPr>
                <w:rFonts w:ascii="Times New Roman" w:hAnsi="Times New Roman" w:cs="Times New Roman"/>
              </w:rPr>
              <w:t xml:space="preserve"> Určitá vodítka </w:t>
            </w:r>
            <w:r>
              <w:rPr>
                <w:rFonts w:ascii="Times New Roman" w:hAnsi="Times New Roman" w:cs="Times New Roman"/>
              </w:rPr>
              <w:t xml:space="preserve">poskytla </w:t>
            </w:r>
            <w:r w:rsidRPr="00C455C2">
              <w:rPr>
                <w:rFonts w:ascii="Times New Roman" w:hAnsi="Times New Roman" w:cs="Times New Roman"/>
              </w:rPr>
              <w:t>Národní architektura eGovernmentu</w:t>
            </w:r>
            <w:r>
              <w:rPr>
                <w:rFonts w:ascii="Times New Roman" w:hAnsi="Times New Roman" w:cs="Times New Roman"/>
              </w:rPr>
              <w:t xml:space="preserve"> (např. </w:t>
            </w:r>
            <w:r w:rsidRPr="006E43AE">
              <w:rPr>
                <w:rFonts w:ascii="Times New Roman" w:hAnsi="Times New Roman" w:cs="Times New Roman"/>
              </w:rPr>
              <w:t>ex-ante kontrol</w:t>
            </w:r>
            <w:r>
              <w:rPr>
                <w:rFonts w:ascii="Times New Roman" w:hAnsi="Times New Roman" w:cs="Times New Roman"/>
              </w:rPr>
              <w:t>a</w:t>
            </w:r>
            <w:r w:rsidRPr="006E43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připravovaných řešení</w:t>
            </w:r>
            <w:r w:rsidRPr="006E43AE">
              <w:rPr>
                <w:rFonts w:ascii="Times New Roman" w:hAnsi="Times New Roman" w:cs="Times New Roman"/>
              </w:rPr>
              <w:t xml:space="preserve"> ve vztahu k</w:t>
            </w:r>
            <w:r>
              <w:rPr>
                <w:rFonts w:ascii="Times New Roman" w:hAnsi="Times New Roman" w:cs="Times New Roman"/>
              </w:rPr>
              <w:t> </w:t>
            </w:r>
            <w:r w:rsidRPr="006E43AE">
              <w:rPr>
                <w:rFonts w:ascii="Times New Roman" w:hAnsi="Times New Roman" w:cs="Times New Roman"/>
              </w:rPr>
              <w:t>vendor-</w:t>
            </w:r>
            <w:proofErr w:type="spellStart"/>
            <w:r w:rsidRPr="006E43AE">
              <w:rPr>
                <w:rFonts w:ascii="Times New Roman" w:hAnsi="Times New Roman" w:cs="Times New Roman"/>
              </w:rPr>
              <w:t>lock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efektům)</w:t>
            </w:r>
            <w:r w:rsidRPr="00C455C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chybí ale </w:t>
            </w:r>
            <w:r w:rsidRPr="00C455C2">
              <w:rPr>
                <w:rFonts w:ascii="Times New Roman" w:hAnsi="Times New Roman" w:cs="Times New Roman"/>
              </w:rPr>
              <w:t>metodické postupy pro praktické zhodnocování vendor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C455C2">
              <w:rPr>
                <w:rFonts w:ascii="Times New Roman" w:hAnsi="Times New Roman" w:cs="Times New Roman"/>
              </w:rPr>
              <w:t>lock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C455C2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u nasazených řešení spolu s </w:t>
            </w:r>
            <w:r w:rsidRPr="00C455C2">
              <w:rPr>
                <w:rFonts w:ascii="Times New Roman" w:hAnsi="Times New Roman" w:cs="Times New Roman"/>
              </w:rPr>
              <w:t>návod</w:t>
            </w:r>
            <w:r>
              <w:rPr>
                <w:rFonts w:ascii="Times New Roman" w:hAnsi="Times New Roman" w:cs="Times New Roman"/>
              </w:rPr>
              <w:t>em</w:t>
            </w:r>
            <w:r w:rsidRPr="00C455C2">
              <w:rPr>
                <w:rFonts w:ascii="Times New Roman" w:hAnsi="Times New Roman" w:cs="Times New Roman"/>
              </w:rPr>
              <w:t xml:space="preserve"> na přípravu exitového plánu, jak se z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takové situace dostat.</w:t>
            </w:r>
          </w:p>
        </w:tc>
      </w:tr>
      <w:tr w:rsidRPr="00CA5265" w:rsidR="00934A6D" w:rsidTr="00CF6FAD" w14:paraId="6EB464C6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05A4A85E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doplňující metodiky ke sledování a vyhodnocování finančních parametrů IS podle vyhlášky 329/2020 a zásady č. 15 IKČR (Řízení financování ICT).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5E76F0" w:rsidP="00CF6FAD" w:rsidRDefault="00934A6D" w14:paraId="18DBDDD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45DA43B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6164AFA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Absence metodik trvá</w:t>
            </w:r>
            <w:r w:rsidRPr="00C455C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došlo nicméně k posílení povinností</w:t>
            </w:r>
            <w:r w:rsidRPr="00C455C2">
              <w:rPr>
                <w:rFonts w:ascii="Times New Roman" w:hAnsi="Times New Roman" w:cs="Times New Roman"/>
              </w:rPr>
              <w:t xml:space="preserve"> tvorby TCO a ekonomického zhodnocení před řízením a změnou ISVS. Bude ale nutno stávající TCO metodiky přizpůsobit potřebám </w:t>
            </w:r>
            <w:r>
              <w:rPr>
                <w:rFonts w:ascii="Times New Roman" w:hAnsi="Times New Roman" w:cs="Times New Roman"/>
              </w:rPr>
              <w:t>VS</w:t>
            </w:r>
            <w:r w:rsidRPr="00C455C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I přes drobné změny v metodice TCO v předchozím roce </w:t>
            </w:r>
            <w:r w:rsidRPr="00C455C2">
              <w:rPr>
                <w:rFonts w:ascii="Times New Roman" w:hAnsi="Times New Roman" w:cs="Times New Roman"/>
              </w:rPr>
              <w:t xml:space="preserve">de facto </w:t>
            </w:r>
            <w:r>
              <w:rPr>
                <w:rFonts w:ascii="Times New Roman" w:hAnsi="Times New Roman" w:cs="Times New Roman"/>
              </w:rPr>
              <w:t xml:space="preserve">k posunu </w:t>
            </w:r>
            <w:r w:rsidRPr="00C455C2">
              <w:rPr>
                <w:rFonts w:ascii="Times New Roman" w:hAnsi="Times New Roman" w:cs="Times New Roman"/>
              </w:rPr>
              <w:t>nedošlo. Se vznikem DIA by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55C2">
              <w:rPr>
                <w:rFonts w:ascii="Times New Roman" w:hAnsi="Times New Roman" w:cs="Times New Roman"/>
              </w:rPr>
              <w:t xml:space="preserve">měla být tato otázka </w:t>
            </w:r>
            <w:proofErr w:type="spellStart"/>
            <w:r w:rsidRPr="00C455C2">
              <w:rPr>
                <w:rFonts w:ascii="Times New Roman" w:hAnsi="Times New Roman" w:cs="Times New Roman"/>
              </w:rPr>
              <w:t>prioritizována</w:t>
            </w:r>
            <w:proofErr w:type="spellEnd"/>
            <w:r w:rsidRPr="00C455C2"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5387A281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198AF379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Chtělo by to aktualizovat metodiky k výpočtu TCO jednotlivých ICT řešení.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02AB200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Práce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79F899C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5130ADC8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 xml:space="preserve">TCO metodiky </w:t>
            </w:r>
            <w:r>
              <w:rPr>
                <w:rFonts w:ascii="Times New Roman" w:hAnsi="Times New Roman" w:cs="Times New Roman"/>
              </w:rPr>
              <w:t>prozatím nejsou aktualizovány.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Taktéž n</w:t>
            </w:r>
            <w:r w:rsidRPr="00C455C2">
              <w:rPr>
                <w:rFonts w:ascii="Times New Roman" w:hAnsi="Times New Roman" w:cs="Times New Roman"/>
              </w:rPr>
              <w:t>ejsou dokončeny úkoly z dílčího cíle IKČR 2.8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376CB3">
              <w:rPr>
                <w:rFonts w:ascii="Times New Roman" w:hAnsi="Times New Roman" w:cs="Times New Roman"/>
              </w:rPr>
              <w:t>Metodika pro veřejné zakázky v</w:t>
            </w:r>
            <w:r>
              <w:rPr>
                <w:rFonts w:ascii="Times New Roman" w:hAnsi="Times New Roman" w:cs="Times New Roman"/>
              </w:rPr>
              <w:t> </w:t>
            </w:r>
            <w:r w:rsidRPr="00376CB3">
              <w:rPr>
                <w:rFonts w:ascii="Times New Roman" w:hAnsi="Times New Roman" w:cs="Times New Roman"/>
              </w:rPr>
              <w:t>oblasti ICT</w:t>
            </w:r>
            <w:r>
              <w:rPr>
                <w:rFonts w:ascii="Times New Roman" w:hAnsi="Times New Roman" w:cs="Times New Roman"/>
              </w:rPr>
              <w:t>)</w:t>
            </w:r>
            <w:r w:rsidRPr="00C455C2">
              <w:rPr>
                <w:rFonts w:ascii="Times New Roman" w:hAnsi="Times New Roman" w:cs="Times New Roman"/>
              </w:rPr>
              <w:t>, které s TCO pro jedno</w:t>
            </w:r>
            <w:r>
              <w:rPr>
                <w:rFonts w:ascii="Times New Roman" w:hAnsi="Times New Roman" w:cs="Times New Roman"/>
              </w:rPr>
              <w:t>tl</w:t>
            </w:r>
            <w:r w:rsidRPr="00C455C2">
              <w:rPr>
                <w:rFonts w:ascii="Times New Roman" w:hAnsi="Times New Roman" w:cs="Times New Roman"/>
              </w:rPr>
              <w:t>ivá řešení souvis</w:t>
            </w:r>
            <w:r>
              <w:rPr>
                <w:rFonts w:ascii="Times New Roman" w:hAnsi="Times New Roman" w:cs="Times New Roman"/>
              </w:rPr>
              <w:t>ejí</w:t>
            </w:r>
            <w:r w:rsidRPr="00C455C2"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3349A0CF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15720855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koordinace, řízení a vynucování dodržování všech EG principů a povinností při rozvoji veřejné správy.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5E76F0" w:rsidP="00CF6FAD" w:rsidRDefault="00934A6D" w14:paraId="52B653B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bCs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37B634C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6412761A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Na zák</w:t>
            </w:r>
            <w:r>
              <w:rPr>
                <w:rFonts w:ascii="Times New Roman" w:hAnsi="Times New Roman" w:cs="Times New Roman"/>
              </w:rPr>
              <w:t>l</w:t>
            </w:r>
            <w:r w:rsidRPr="00C455C2">
              <w:rPr>
                <w:rFonts w:ascii="Times New Roman" w:hAnsi="Times New Roman" w:cs="Times New Roman"/>
              </w:rPr>
              <w:t>adě tohoto neutěšeného stavu došlo k zásadním legislativním změnám. Zákonem č. 471/2022 Sb. došlo kromě zřízení DIA a jej</w:t>
            </w:r>
            <w:r>
              <w:rPr>
                <w:rFonts w:ascii="Times New Roman" w:hAnsi="Times New Roman" w:cs="Times New Roman"/>
              </w:rPr>
              <w:t>í</w:t>
            </w:r>
            <w:r w:rsidRPr="00C455C2">
              <w:rPr>
                <w:rFonts w:ascii="Times New Roman" w:hAnsi="Times New Roman" w:cs="Times New Roman"/>
              </w:rPr>
              <w:t>ch rozsáhlých pravomocí i ke zpřís</w:t>
            </w:r>
            <w:r>
              <w:rPr>
                <w:rFonts w:ascii="Times New Roman" w:hAnsi="Times New Roman" w:cs="Times New Roman"/>
              </w:rPr>
              <w:t>n</w:t>
            </w:r>
            <w:r w:rsidRPr="00C455C2">
              <w:rPr>
                <w:rFonts w:ascii="Times New Roman" w:hAnsi="Times New Roman" w:cs="Times New Roman"/>
              </w:rPr>
              <w:t>ě</w:t>
            </w:r>
            <w:r>
              <w:rPr>
                <w:rFonts w:ascii="Times New Roman" w:hAnsi="Times New Roman" w:cs="Times New Roman"/>
              </w:rPr>
              <w:t>n</w:t>
            </w:r>
            <w:r w:rsidRPr="00C455C2">
              <w:rPr>
                <w:rFonts w:ascii="Times New Roman" w:hAnsi="Times New Roman" w:cs="Times New Roman"/>
              </w:rPr>
              <w:t xml:space="preserve">í a </w:t>
            </w:r>
            <w:r>
              <w:rPr>
                <w:rFonts w:ascii="Times New Roman" w:hAnsi="Times New Roman" w:cs="Times New Roman"/>
              </w:rPr>
              <w:t>z</w:t>
            </w:r>
            <w:r w:rsidRPr="00C455C2">
              <w:rPr>
                <w:rFonts w:ascii="Times New Roman" w:hAnsi="Times New Roman" w:cs="Times New Roman"/>
              </w:rPr>
              <w:t>přesnění povinností v zákoně o ISVS, k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novelizaci IKČR</w:t>
            </w:r>
            <w:r>
              <w:rPr>
                <w:rFonts w:ascii="Times New Roman" w:hAnsi="Times New Roman" w:cs="Times New Roman"/>
              </w:rPr>
              <w:t>, probíhá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také finalizace N</w:t>
            </w:r>
            <w:r w:rsidRPr="00C455C2">
              <w:rPr>
                <w:rFonts w:ascii="Times New Roman" w:hAnsi="Times New Roman" w:cs="Times New Roman"/>
              </w:rPr>
              <w:t>ov</w:t>
            </w:r>
            <w:r>
              <w:rPr>
                <w:rFonts w:ascii="Times New Roman" w:hAnsi="Times New Roman" w:cs="Times New Roman"/>
              </w:rPr>
              <w:t>é</w:t>
            </w:r>
            <w:r w:rsidRPr="00C455C2">
              <w:rPr>
                <w:rFonts w:ascii="Times New Roman" w:hAnsi="Times New Roman" w:cs="Times New Roman"/>
              </w:rPr>
              <w:t xml:space="preserve"> v</w:t>
            </w:r>
            <w:r>
              <w:rPr>
                <w:rFonts w:ascii="Times New Roman" w:hAnsi="Times New Roman" w:cs="Times New Roman"/>
              </w:rPr>
              <w:t>y</w:t>
            </w:r>
            <w:r w:rsidRPr="00C455C2">
              <w:rPr>
                <w:rFonts w:ascii="Times New Roman" w:hAnsi="Times New Roman" w:cs="Times New Roman"/>
              </w:rPr>
              <w:t>hláška o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dlouhodobém řízení.</w:t>
            </w:r>
          </w:p>
        </w:tc>
      </w:tr>
      <w:tr w:rsidRPr="00CA5265" w:rsidR="00934A6D" w:rsidTr="00CF6FAD" w14:paraId="236B5610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2AAAE51D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Také chybí důraz a kontrola </w:t>
            </w:r>
            <w:proofErr w:type="spellStart"/>
            <w:r w:rsidRPr="00C779AC">
              <w:rPr>
                <w:rFonts w:ascii="Times New Roman" w:hAnsi="Times New Roman" w:cs="Times New Roman"/>
                <w:color w:val="000000" w:themeColor="text1"/>
              </w:rPr>
              <w:t>efektivizace</w:t>
            </w:r>
            <w:proofErr w:type="spellEnd"/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vnitřních procesů v úřadu a sledování kontroly efektivity výkonu agend.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5E76F0" w:rsidP="00CF6FAD" w:rsidRDefault="00934A6D" w14:paraId="7924610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bCs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03AC0F8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ADDA0B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K zásadnímu posunu nedošlo, nicméně se zavedením konceptuálního modelování</w:t>
            </w:r>
            <w:r>
              <w:rPr>
                <w:rFonts w:ascii="Times New Roman" w:hAnsi="Times New Roman" w:cs="Times New Roman"/>
              </w:rPr>
              <w:t xml:space="preserve"> jsou již </w:t>
            </w:r>
            <w:r w:rsidRPr="00C455C2">
              <w:rPr>
                <w:rFonts w:ascii="Times New Roman" w:hAnsi="Times New Roman" w:cs="Times New Roman"/>
              </w:rPr>
              <w:t>v kombinaci s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procesním řízením a řízením kvality konkrétnější postupy</w:t>
            </w:r>
            <w:r>
              <w:rPr>
                <w:rFonts w:ascii="Times New Roman" w:hAnsi="Times New Roman" w:cs="Times New Roman"/>
              </w:rPr>
              <w:t xml:space="preserve"> aplikovatelné</w:t>
            </w:r>
            <w:r w:rsidRPr="00C455C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Problematiku </w:t>
            </w:r>
            <w:r w:rsidRPr="00C455C2">
              <w:rPr>
                <w:rFonts w:ascii="Times New Roman" w:hAnsi="Times New Roman" w:cs="Times New Roman"/>
              </w:rPr>
              <w:t xml:space="preserve">parciálně upravuje </w:t>
            </w:r>
            <w:r>
              <w:rPr>
                <w:rFonts w:ascii="Times New Roman" w:hAnsi="Times New Roman" w:cs="Times New Roman"/>
              </w:rPr>
              <w:t xml:space="preserve">také nový </w:t>
            </w:r>
            <w:r w:rsidRPr="00C455C2">
              <w:rPr>
                <w:rFonts w:ascii="Times New Roman" w:hAnsi="Times New Roman" w:cs="Times New Roman"/>
              </w:rPr>
              <w:t>architektonický princip č. 20 z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 xml:space="preserve">IKČR </w:t>
            </w:r>
            <w:r>
              <w:rPr>
                <w:rFonts w:ascii="Times New Roman" w:hAnsi="Times New Roman" w:cs="Times New Roman"/>
              </w:rPr>
              <w:t>(</w:t>
            </w:r>
            <w:r w:rsidRPr="008350A4">
              <w:rPr>
                <w:rFonts w:ascii="Times New Roman" w:hAnsi="Times New Roman" w:cs="Times New Roman"/>
              </w:rPr>
              <w:t>Metriky digitálních služeb</w:t>
            </w:r>
            <w:r>
              <w:rPr>
                <w:rFonts w:ascii="Times New Roman" w:hAnsi="Times New Roman" w:cs="Times New Roman"/>
              </w:rPr>
              <w:t>), ú</w:t>
            </w:r>
            <w:r w:rsidRPr="00CF328E">
              <w:rPr>
                <w:rFonts w:ascii="Times New Roman" w:hAnsi="Times New Roman" w:cs="Times New Roman"/>
              </w:rPr>
              <w:t xml:space="preserve">řady </w:t>
            </w:r>
            <w:r>
              <w:rPr>
                <w:rFonts w:ascii="Times New Roman" w:hAnsi="Times New Roman" w:cs="Times New Roman"/>
              </w:rPr>
              <w:t xml:space="preserve">jí </w:t>
            </w:r>
            <w:r w:rsidRPr="00CF328E">
              <w:rPr>
                <w:rFonts w:ascii="Times New Roman" w:hAnsi="Times New Roman" w:cs="Times New Roman"/>
              </w:rPr>
              <w:t xml:space="preserve">tak </w:t>
            </w:r>
            <w:proofErr w:type="gramStart"/>
            <w:r w:rsidRPr="00CF328E">
              <w:rPr>
                <w:rFonts w:ascii="Times New Roman" w:hAnsi="Times New Roman" w:cs="Times New Roman"/>
              </w:rPr>
              <w:t>dokáží</w:t>
            </w:r>
            <w:proofErr w:type="gramEnd"/>
            <w:r w:rsidRPr="00CF328E">
              <w:rPr>
                <w:rFonts w:ascii="Times New Roman" w:hAnsi="Times New Roman" w:cs="Times New Roman"/>
              </w:rPr>
              <w:t xml:space="preserve"> částečně řešit a zefektivňovat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133CDEF6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67D165AC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Zásadu IKČR č. 3 Strategické řízení prostřednictvím Informační koncepce ČR defacto nelze naplnit.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67366AB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bCs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2DA922F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4CAFE6FA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Dosud nebyla novelizována vyhláška o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 xml:space="preserve">dlouhodobém řízení, podle které se </w:t>
            </w:r>
            <w:r>
              <w:rPr>
                <w:rFonts w:ascii="Times New Roman" w:hAnsi="Times New Roman" w:cs="Times New Roman"/>
              </w:rPr>
              <w:t>se budou přepracovávat</w:t>
            </w:r>
            <w:r w:rsidRPr="00C455C2">
              <w:rPr>
                <w:rFonts w:ascii="Times New Roman" w:hAnsi="Times New Roman" w:cs="Times New Roman"/>
              </w:rPr>
              <w:t xml:space="preserve"> IK úřadů</w:t>
            </w:r>
            <w:r>
              <w:rPr>
                <w:rFonts w:ascii="Times New Roman" w:hAnsi="Times New Roman" w:cs="Times New Roman"/>
              </w:rPr>
              <w:t>. Tato obecná povinnost již vyplývá z </w:t>
            </w:r>
            <w:r w:rsidRPr="00C455C2">
              <w:rPr>
                <w:rFonts w:ascii="Times New Roman" w:hAnsi="Times New Roman" w:cs="Times New Roman"/>
              </w:rPr>
              <w:t>příslušné novely zákona o ISVS</w:t>
            </w:r>
            <w:r>
              <w:rPr>
                <w:rFonts w:ascii="Times New Roman" w:hAnsi="Times New Roman" w:cs="Times New Roman"/>
              </w:rPr>
              <w:t xml:space="preserve">, díky absenci kompatibilní prováděcí vyhlášky je však ze strany úřadů v podstatě nesplnitelná, což mj. zásadně poškozuje </w:t>
            </w:r>
            <w:r w:rsidRPr="00C455C2">
              <w:rPr>
                <w:rFonts w:ascii="Times New Roman" w:hAnsi="Times New Roman" w:cs="Times New Roman"/>
              </w:rPr>
              <w:t xml:space="preserve">celé koncepční řízení ICT v úřadech. Oproti předchozímu roku se povedlo dokončit návrh předmětné </w:t>
            </w:r>
            <w:r>
              <w:rPr>
                <w:rFonts w:ascii="Times New Roman" w:hAnsi="Times New Roman" w:cs="Times New Roman"/>
              </w:rPr>
              <w:t xml:space="preserve">a dlouho slibované </w:t>
            </w:r>
            <w:r w:rsidRPr="00C455C2">
              <w:rPr>
                <w:rFonts w:ascii="Times New Roman" w:hAnsi="Times New Roman" w:cs="Times New Roman"/>
              </w:rPr>
              <w:t xml:space="preserve">vyhlášky, který se </w:t>
            </w:r>
            <w:r>
              <w:rPr>
                <w:rFonts w:ascii="Times New Roman" w:hAnsi="Times New Roman" w:cs="Times New Roman"/>
              </w:rPr>
              <w:t xml:space="preserve">nyní </w:t>
            </w:r>
            <w:r w:rsidRPr="00C455C2">
              <w:rPr>
                <w:rFonts w:ascii="Times New Roman" w:hAnsi="Times New Roman" w:cs="Times New Roman"/>
              </w:rPr>
              <w:t>projednává, a který by měl pravděpodobně vstoupit v platnost v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druhé pol</w:t>
            </w:r>
            <w:r>
              <w:rPr>
                <w:rFonts w:ascii="Times New Roman" w:hAnsi="Times New Roman" w:cs="Times New Roman"/>
              </w:rPr>
              <w:t>o</w:t>
            </w:r>
            <w:r w:rsidRPr="00C455C2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</w:t>
            </w:r>
            <w:r w:rsidRPr="00C455C2">
              <w:rPr>
                <w:rFonts w:ascii="Times New Roman" w:hAnsi="Times New Roman" w:cs="Times New Roman"/>
              </w:rPr>
              <w:t>ně roku 2023.</w:t>
            </w:r>
          </w:p>
        </w:tc>
      </w:tr>
      <w:tr w:rsidRPr="00CA5265" w:rsidR="00934A6D" w:rsidTr="00CF6FAD" w14:paraId="41B13F16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21424A8D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Dosud není aktualizována vyhláška 529/2006 stanovující strukturu a obsah informační koncepce, nejsou k dispozici návody, jak uvést svoji IK do souladu s IKČR, chybí dopracované osnovy a </w:t>
            </w:r>
            <w:proofErr w:type="spellStart"/>
            <w:r w:rsidRPr="00C779AC">
              <w:rPr>
                <w:rFonts w:ascii="Times New Roman" w:hAnsi="Times New Roman" w:cs="Times New Roman"/>
                <w:color w:val="000000" w:themeColor="text1"/>
              </w:rPr>
              <w:t>patterny</w:t>
            </w:r>
            <w:proofErr w:type="spellEnd"/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a příklady.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0732CC2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bCs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42CDDD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6EBF732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Oproti předchozímu roku se povedlo dokončit návrh předmětné vyhlášky, který se</w:t>
            </w:r>
            <w:r>
              <w:rPr>
                <w:rFonts w:ascii="Times New Roman" w:hAnsi="Times New Roman" w:cs="Times New Roman"/>
              </w:rPr>
              <w:t xml:space="preserve"> aktuálně</w:t>
            </w:r>
            <w:r w:rsidRPr="00C455C2">
              <w:rPr>
                <w:rFonts w:ascii="Times New Roman" w:hAnsi="Times New Roman" w:cs="Times New Roman"/>
              </w:rPr>
              <w:t xml:space="preserve"> projednává</w:t>
            </w:r>
            <w:r>
              <w:rPr>
                <w:rFonts w:ascii="Times New Roman" w:hAnsi="Times New Roman" w:cs="Times New Roman"/>
              </w:rPr>
              <w:t xml:space="preserve"> (předpokládaná účinnost</w:t>
            </w:r>
            <w:r w:rsidRPr="00C455C2">
              <w:rPr>
                <w:rFonts w:ascii="Times New Roman" w:hAnsi="Times New Roman" w:cs="Times New Roman"/>
              </w:rPr>
              <w:t xml:space="preserve"> v druhé pol</w:t>
            </w:r>
            <w:r>
              <w:rPr>
                <w:rFonts w:ascii="Times New Roman" w:hAnsi="Times New Roman" w:cs="Times New Roman"/>
              </w:rPr>
              <w:t>o</w:t>
            </w:r>
            <w:r w:rsidRPr="00C455C2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</w:t>
            </w:r>
            <w:r w:rsidRPr="00C455C2">
              <w:rPr>
                <w:rFonts w:ascii="Times New Roman" w:hAnsi="Times New Roman" w:cs="Times New Roman"/>
              </w:rPr>
              <w:t>ně roku 2023</w:t>
            </w:r>
            <w:r>
              <w:rPr>
                <w:rFonts w:ascii="Times New Roman" w:hAnsi="Times New Roman" w:cs="Times New Roman"/>
              </w:rPr>
              <w:t>)</w:t>
            </w:r>
            <w:r w:rsidRPr="00C455C2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Na portálu </w:t>
            </w:r>
            <w:r w:rsidRPr="009D3331">
              <w:rPr>
                <w:rFonts w:ascii="Times New Roman" w:hAnsi="Times New Roman" w:cs="Times New Roman"/>
              </w:rPr>
              <w:t>Národní architekt</w:t>
            </w:r>
            <w:r>
              <w:rPr>
                <w:rFonts w:ascii="Times New Roman" w:hAnsi="Times New Roman" w:cs="Times New Roman"/>
              </w:rPr>
              <w:t xml:space="preserve">ury EG (archi.gov.cz), a také v rámci projektu </w:t>
            </w:r>
            <w:proofErr w:type="spellStart"/>
            <w:r w:rsidRPr="00C455C2">
              <w:rPr>
                <w:rFonts w:ascii="Times New Roman" w:hAnsi="Times New Roman" w:cs="Times New Roman"/>
              </w:rPr>
              <w:t>EG</w:t>
            </w:r>
            <w:r>
              <w:rPr>
                <w:rFonts w:ascii="Times New Roman" w:hAnsi="Times New Roman" w:cs="Times New Roman"/>
              </w:rPr>
              <w:t>d</w:t>
            </w:r>
            <w:r w:rsidRPr="00C455C2">
              <w:rPr>
                <w:rFonts w:ascii="Times New Roman" w:hAnsi="Times New Roman" w:cs="Times New Roman"/>
              </w:rPr>
              <w:t>ílna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vznikají </w:t>
            </w:r>
            <w:r w:rsidRPr="00C455C2">
              <w:rPr>
                <w:rFonts w:ascii="Times New Roman" w:hAnsi="Times New Roman" w:cs="Times New Roman"/>
              </w:rPr>
              <w:t>metodické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55C2">
              <w:rPr>
                <w:rFonts w:ascii="Times New Roman" w:hAnsi="Times New Roman" w:cs="Times New Roman"/>
              </w:rPr>
              <w:t>dokumenty pro uvedení IK úřadu do souladu s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IKČR</w:t>
            </w:r>
            <w:r>
              <w:rPr>
                <w:rFonts w:ascii="Times New Roman" w:hAnsi="Times New Roman" w:cs="Times New Roman"/>
              </w:rPr>
              <w:t>,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které</w:t>
            </w:r>
            <w:r w:rsidRPr="00C455C2">
              <w:rPr>
                <w:rFonts w:ascii="Times New Roman" w:hAnsi="Times New Roman" w:cs="Times New Roman"/>
              </w:rPr>
              <w:t xml:space="preserve"> se </w:t>
            </w:r>
            <w:r>
              <w:rPr>
                <w:rFonts w:ascii="Times New Roman" w:hAnsi="Times New Roman" w:cs="Times New Roman"/>
              </w:rPr>
              <w:t>přímo</w:t>
            </w:r>
            <w:r w:rsidRPr="00C455C2">
              <w:rPr>
                <w:rFonts w:ascii="Times New Roman" w:hAnsi="Times New Roman" w:cs="Times New Roman"/>
              </w:rPr>
              <w:t xml:space="preserve"> prostřednictvím Kompetenčních center aplikují v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úřadech.</w:t>
            </w:r>
          </w:p>
        </w:tc>
      </w:tr>
      <w:tr w:rsidRPr="00CA5265" w:rsidR="00934A6D" w:rsidTr="00CF6FAD" w14:paraId="355C1BEB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7CE1784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U revizí životních situací a postupů pro klienty částečně chybí kontrola a vynucování a především standardizace. Větší standardizace a vrcholové řízení by kvalitu popisů zvýšilo.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5E76F0" w:rsidP="00CF6FAD" w:rsidRDefault="00934A6D" w14:paraId="48690BB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bCs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00F2CFB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E163780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Na obecné úrovn</w:t>
            </w:r>
            <w:r>
              <w:rPr>
                <w:rFonts w:ascii="Times New Roman" w:hAnsi="Times New Roman" w:cs="Times New Roman"/>
              </w:rPr>
              <w:t>i</w:t>
            </w:r>
            <w:r w:rsidRPr="00C455C2">
              <w:rPr>
                <w:rFonts w:ascii="Times New Roman" w:hAnsi="Times New Roman" w:cs="Times New Roman"/>
              </w:rPr>
              <w:t xml:space="preserve"> toto </w:t>
            </w:r>
            <w:proofErr w:type="gramStart"/>
            <w:r w:rsidRPr="00C455C2">
              <w:rPr>
                <w:rFonts w:ascii="Times New Roman" w:hAnsi="Times New Roman" w:cs="Times New Roman"/>
              </w:rPr>
              <w:t>řeší</w:t>
            </w:r>
            <w:proofErr w:type="gramEnd"/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</w:t>
            </w:r>
            <w:r w:rsidRPr="00C455C2">
              <w:rPr>
                <w:rFonts w:ascii="Times New Roman" w:hAnsi="Times New Roman" w:cs="Times New Roman"/>
              </w:rPr>
              <w:t xml:space="preserve">atalog služeb </w:t>
            </w:r>
            <w:r>
              <w:rPr>
                <w:rFonts w:ascii="Times New Roman" w:hAnsi="Times New Roman" w:cs="Times New Roman"/>
              </w:rPr>
              <w:t xml:space="preserve">VS, který je součástí Registru práv a povinností (RPP), a </w:t>
            </w:r>
            <w:r w:rsidRPr="00C455C2">
              <w:rPr>
                <w:rFonts w:ascii="Times New Roman" w:hAnsi="Times New Roman" w:cs="Times New Roman"/>
              </w:rPr>
              <w:t xml:space="preserve">do </w:t>
            </w:r>
            <w:r>
              <w:rPr>
                <w:rFonts w:ascii="Times New Roman" w:hAnsi="Times New Roman" w:cs="Times New Roman"/>
              </w:rPr>
              <w:t>něhož</w:t>
            </w:r>
            <w:r w:rsidRPr="00C455C2">
              <w:rPr>
                <w:rFonts w:ascii="Times New Roman" w:hAnsi="Times New Roman" w:cs="Times New Roman"/>
              </w:rPr>
              <w:t xml:space="preserve"> se standardizovanou formou zapisuj</w:t>
            </w:r>
            <w:r>
              <w:rPr>
                <w:rFonts w:ascii="Times New Roman" w:hAnsi="Times New Roman" w:cs="Times New Roman"/>
              </w:rPr>
              <w:t>í údaje o službách i úkonech VS, a to včetně obslužných kanálů</w:t>
            </w:r>
            <w:r w:rsidRPr="00C455C2">
              <w:rPr>
                <w:rFonts w:ascii="Times New Roman" w:hAnsi="Times New Roman" w:cs="Times New Roman"/>
              </w:rPr>
              <w:t>. Zbývá dořešit vynucování povinnosti využívat údaje z</w:t>
            </w:r>
            <w:r>
              <w:rPr>
                <w:rFonts w:ascii="Times New Roman" w:hAnsi="Times New Roman" w:cs="Times New Roman"/>
              </w:rPr>
              <w:t> </w:t>
            </w:r>
            <w:r w:rsidRPr="00C455C2">
              <w:rPr>
                <w:rFonts w:ascii="Times New Roman" w:hAnsi="Times New Roman" w:cs="Times New Roman"/>
              </w:rPr>
              <w:t>Katalogu služeb i na všech jedno</w:t>
            </w:r>
            <w:r>
              <w:rPr>
                <w:rFonts w:ascii="Times New Roman" w:hAnsi="Times New Roman" w:cs="Times New Roman"/>
              </w:rPr>
              <w:t>tl</w:t>
            </w:r>
            <w:r w:rsidRPr="00C455C2">
              <w:rPr>
                <w:rFonts w:ascii="Times New Roman" w:hAnsi="Times New Roman" w:cs="Times New Roman"/>
              </w:rPr>
              <w:t>ivých webových stránkách úřad</w:t>
            </w:r>
            <w:r>
              <w:rPr>
                <w:rFonts w:ascii="Times New Roman" w:hAnsi="Times New Roman" w:cs="Times New Roman"/>
              </w:rPr>
              <w:t>ů</w:t>
            </w:r>
            <w:r w:rsidRPr="00C455C2">
              <w:rPr>
                <w:rFonts w:ascii="Times New Roman" w:hAnsi="Times New Roman" w:cs="Times New Roman"/>
              </w:rPr>
              <w:t xml:space="preserve">. Správce Katalogu služeb a správce RPP vykonávají dohled nad kvalitou </w:t>
            </w:r>
            <w:r>
              <w:rPr>
                <w:rFonts w:ascii="Times New Roman" w:hAnsi="Times New Roman" w:cs="Times New Roman"/>
              </w:rPr>
              <w:t>publikovaných údajů</w:t>
            </w:r>
            <w:r w:rsidRPr="00C455C2">
              <w:rPr>
                <w:rFonts w:ascii="Times New Roman" w:hAnsi="Times New Roman" w:cs="Times New Roman"/>
              </w:rPr>
              <w:t>.</w:t>
            </w:r>
          </w:p>
        </w:tc>
      </w:tr>
      <w:tr w:rsidRPr="00CA5265" w:rsidR="00934A6D" w:rsidTr="00CF6FAD" w14:paraId="7889100D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29A7D379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Chtělo by to aktualizovat metodiky pro tvorbu služeb a úkonů a jejich ohlášení do Registru práv a povinností.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5E76F0" w:rsidP="00CF6FAD" w:rsidRDefault="00934A6D" w14:paraId="26689F4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77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6B323D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00B050"/>
              </w:rPr>
              <w:t>Vyřešeno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1738A2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Byly vytvořeny zcela nové metodiky a návody</w:t>
            </w:r>
            <w:r>
              <w:rPr>
                <w:rFonts w:ascii="Times New Roman" w:hAnsi="Times New Roman" w:cs="Times New Roman"/>
              </w:rPr>
              <w:t>, které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55C2">
              <w:rPr>
                <w:rFonts w:ascii="Times New Roman" w:hAnsi="Times New Roman" w:cs="Times New Roman"/>
              </w:rPr>
              <w:t>jsou zveře</w:t>
            </w:r>
            <w:r>
              <w:rPr>
                <w:rFonts w:ascii="Times New Roman" w:hAnsi="Times New Roman" w:cs="Times New Roman"/>
              </w:rPr>
              <w:t>j</w:t>
            </w:r>
            <w:r w:rsidRPr="00C455C2">
              <w:rPr>
                <w:rFonts w:ascii="Times New Roman" w:hAnsi="Times New Roman" w:cs="Times New Roman"/>
              </w:rPr>
              <w:t>ňovány na</w:t>
            </w:r>
            <w:r>
              <w:rPr>
                <w:rFonts w:ascii="Times New Roman" w:hAnsi="Times New Roman" w:cs="Times New Roman"/>
              </w:rPr>
              <w:t xml:space="preserve"> portálu </w:t>
            </w:r>
            <w:r w:rsidRPr="009D3331">
              <w:rPr>
                <w:rFonts w:ascii="Times New Roman" w:hAnsi="Times New Roman" w:cs="Times New Roman"/>
              </w:rPr>
              <w:t>Národní architekt</w:t>
            </w:r>
            <w:r>
              <w:rPr>
                <w:rFonts w:ascii="Times New Roman" w:hAnsi="Times New Roman" w:cs="Times New Roman"/>
              </w:rPr>
              <w:t>ury EG (archi.gov.cz).</w:t>
            </w:r>
          </w:p>
        </w:tc>
      </w:tr>
      <w:tr w:rsidRPr="00CA5265" w:rsidR="00934A6D" w:rsidTr="00CF6FAD" w14:paraId="3D003DCC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3D39C0FA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šablony pro katalog služeb v úřadu a použitelné metodiky a šablony pro koncepce služeb a jejich rozvoje a koncepce digitalizace služeb na jednotlivých úřadech.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6BAD133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8B577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69C6B0A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00B050"/>
              </w:rPr>
              <w:t>Vyřešeno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779AC" w:rsidR="00934A6D" w:rsidP="00CF6FAD" w:rsidRDefault="00934A6D" w14:paraId="067476DA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Příslušné metodiky a postupy byly aktualizovány nebo zcela nově vytvořeny. Pro správu a evidenci služeb se využívají nástroje, s jejichž prostřednictvím se provádějí zápisy do RPP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V</w:t>
            </w:r>
            <w:r w:rsidRPr="00C779AC">
              <w:rPr>
                <w:rFonts w:ascii="Times New Roman" w:hAnsi="Times New Roman" w:cs="Times New Roman"/>
                <w:color w:val="000000" w:themeColor="text1"/>
              </w:rPr>
              <w:t xml:space="preserve"> těchto nástrojích jsou k dispozici i popisy pro realizaci služby jednotlivými obslužnými kanály. </w:t>
            </w:r>
          </w:p>
        </w:tc>
      </w:tr>
      <w:tr w:rsidRPr="00CA5265" w:rsidR="00934A6D" w:rsidTr="00CF6FAD" w14:paraId="2A0B3BC8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4D4F8237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asistované služby úřadů, s tím ale počítá IKČR.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7E43604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79D17DF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74DBA9BA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Pr="00C455C2">
              <w:rPr>
                <w:rFonts w:ascii="Times New Roman" w:hAnsi="Times New Roman" w:cs="Times New Roman"/>
              </w:rPr>
              <w:t>a rok</w:t>
            </w:r>
            <w:r>
              <w:rPr>
                <w:rFonts w:ascii="Times New Roman" w:hAnsi="Times New Roman" w:cs="Times New Roman"/>
              </w:rPr>
              <w:t xml:space="preserve"> 2022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nedošlo ke změnám.</w:t>
            </w:r>
            <w:r w:rsidRPr="00C455C2" w:rsidDel="00750C1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Pr="00CA5265" w:rsidR="00934A6D" w:rsidTr="00CF6FAD" w14:paraId="2B9182E8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0C014133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Není nyní zakotveno ve správně procesních předpisech zkracovat lhůty v rámci řízení pro orgány veřejné správy tam, kde to je s ohledem na předmět možné a účelné.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272EF75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4FD3150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6FDA7A4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částečném posunu v této oblasti v roce 2021 již k dalšímu pokroku v průběhu roku 2022 nedošlo.</w:t>
            </w:r>
          </w:p>
        </w:tc>
      </w:tr>
      <w:tr w:rsidRPr="00CA5265" w:rsidR="00934A6D" w:rsidTr="00CF6FAD" w14:paraId="77855D27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0857D008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metodiky a praktické zkušenosti s digitalizací vnitřních činností a procesů.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2BD47CE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11C8740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5217D64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částečném posunu v této oblasti v roce 2021 již k dalšímu pokroku v průběhu roku 2022 nedošlo.</w:t>
            </w:r>
          </w:p>
        </w:tc>
      </w:tr>
      <w:tr w:rsidRPr="00CA5265" w:rsidR="00934A6D" w:rsidTr="00CF6FAD" w14:paraId="16CE609E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525393CF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Pro udržení a rozvoj kompetencí a znalostí chybí úřadům metodiky, jak rozvíjet svoje znalosti na byznysové, architektonické a datové úrovni.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6B5A42B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00BF450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44C6B9B0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Metodiky sice stále chybí, ale problematika je řešena při zpracovávání jedno</w:t>
            </w:r>
            <w:r>
              <w:rPr>
                <w:rFonts w:ascii="Times New Roman" w:hAnsi="Times New Roman" w:cs="Times New Roman"/>
              </w:rPr>
              <w:t>tl</w:t>
            </w:r>
            <w:r w:rsidRPr="00C455C2">
              <w:rPr>
                <w:rFonts w:ascii="Times New Roman" w:hAnsi="Times New Roman" w:cs="Times New Roman"/>
              </w:rPr>
              <w:t>ivých IK úřadů, kterým pomáhá i</w:t>
            </w:r>
            <w:r>
              <w:rPr>
                <w:rFonts w:ascii="Times New Roman" w:hAnsi="Times New Roman" w:cs="Times New Roman"/>
              </w:rPr>
              <w:t> K</w:t>
            </w:r>
            <w:r w:rsidRPr="00C455C2">
              <w:rPr>
                <w:rFonts w:ascii="Times New Roman" w:hAnsi="Times New Roman" w:cs="Times New Roman"/>
              </w:rPr>
              <w:t>ompetenčn</w:t>
            </w:r>
            <w:r>
              <w:rPr>
                <w:rFonts w:ascii="Times New Roman" w:hAnsi="Times New Roman" w:cs="Times New Roman"/>
              </w:rPr>
              <w:t>í</w:t>
            </w:r>
            <w:r w:rsidRPr="00C455C2">
              <w:rPr>
                <w:rFonts w:ascii="Times New Roman" w:hAnsi="Times New Roman" w:cs="Times New Roman"/>
              </w:rPr>
              <w:t xml:space="preserve"> centrum NAKIT.</w:t>
            </w:r>
          </w:p>
        </w:tc>
      </w:tr>
      <w:tr w:rsidRPr="00CA5265" w:rsidR="00934A6D" w:rsidTr="00CF6FAD" w14:paraId="68B5F95F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065D5DE0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i odborníci, jež by společně se znalostmi zůstávali ve veřejné správě.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5E76F0" w:rsidP="00CF6FAD" w:rsidRDefault="00934A6D" w14:paraId="46E710F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2983F07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45ABBE7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Částečn</w:t>
            </w:r>
            <w:r>
              <w:rPr>
                <w:rFonts w:ascii="Times New Roman" w:hAnsi="Times New Roman" w:cs="Times New Roman"/>
              </w:rPr>
              <w:t>ě</w:t>
            </w:r>
            <w:r w:rsidRPr="00C455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absenci odborníků </w:t>
            </w:r>
            <w:proofErr w:type="gramStart"/>
            <w:r w:rsidRPr="00C455C2">
              <w:rPr>
                <w:rFonts w:ascii="Times New Roman" w:hAnsi="Times New Roman" w:cs="Times New Roman"/>
              </w:rPr>
              <w:t>řeší</w:t>
            </w:r>
            <w:proofErr w:type="gramEnd"/>
            <w:r w:rsidRPr="00C455C2">
              <w:rPr>
                <w:rFonts w:ascii="Times New Roman" w:hAnsi="Times New Roman" w:cs="Times New Roman"/>
              </w:rPr>
              <w:t xml:space="preserve"> spolupráce s Kompetenčními centry</w:t>
            </w:r>
            <w:r>
              <w:rPr>
                <w:rFonts w:ascii="Times New Roman" w:hAnsi="Times New Roman" w:cs="Times New Roman"/>
              </w:rPr>
              <w:t>, případně externí najímání odborníků z komerčního sektoru</w:t>
            </w:r>
            <w:r w:rsidRPr="00C455C2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Pr="00CA5265" w:rsidR="00934A6D" w:rsidTr="00CF6FAD" w14:paraId="2F121E30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282CA92D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Chybí kontrola využívání analytických projektů a analýz přinášejících znalosti.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P="00CF6FAD" w:rsidRDefault="00934A6D" w14:paraId="5462D9E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6F4E090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00B050"/>
              </w:rPr>
              <w:t>Vyřešeno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1FBCF510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Nově je tato problematika součástí kontrol ze strany NKÚ.</w:t>
            </w:r>
          </w:p>
        </w:tc>
      </w:tr>
      <w:tr w:rsidRPr="00CA5265" w:rsidR="00934A6D" w:rsidTr="00CF6FAD" w14:paraId="197E3AA6" w14:textId="77777777">
        <w:tc>
          <w:tcPr>
            <w:tcW w:w="2977" w:type="dxa"/>
            <w:tcBorders>
              <w:top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651CD3D4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Úřady neumějí jednorázově získané znalosti dále rozvíjet a využívat dlouhodobě.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</w:tcPr>
          <w:p w:rsidRPr="0045388C" w:rsidR="00934A6D" w:rsidDel="005E76F0" w:rsidP="00CF6FAD" w:rsidRDefault="00934A6D" w14:paraId="1DF7554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80" w:type="dxa"/>
              <w:right w:w="30" w:type="dxa"/>
            </w:tcMar>
          </w:tcPr>
          <w:p w:rsidRPr="00C455C2" w:rsidR="00934A6D" w:rsidP="00CF6FAD" w:rsidRDefault="00934A6D" w14:paraId="348FD99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dotted" w:color="000000" w:themeColor="text1" w:sz="4" w:space="0"/>
            </w:tcBorders>
            <w:tcMar>
              <w:top w:w="80" w:type="dxa"/>
              <w:left w:w="57" w:type="dxa"/>
              <w:bottom w:w="80" w:type="dxa"/>
              <w:right w:w="57" w:type="dxa"/>
            </w:tcMar>
          </w:tcPr>
          <w:p w:rsidRPr="00C455C2" w:rsidR="00934A6D" w:rsidP="00CF6FAD" w:rsidRDefault="00934A6D" w14:paraId="0D9B4A4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</w:t>
            </w:r>
            <w:r w:rsidRPr="00C455C2">
              <w:rPr>
                <w:rFonts w:ascii="Times New Roman" w:hAnsi="Times New Roman" w:cs="Times New Roman"/>
              </w:rPr>
              <w:t xml:space="preserve">řady jsou vzdělávány ze strany Kompetenčního centra NAKIT a </w:t>
            </w:r>
            <w:proofErr w:type="spellStart"/>
            <w:r w:rsidRPr="00C455C2">
              <w:rPr>
                <w:rFonts w:ascii="Times New Roman" w:hAnsi="Times New Roman" w:cs="Times New Roman"/>
              </w:rPr>
              <w:t>EG</w:t>
            </w:r>
            <w:r>
              <w:rPr>
                <w:rFonts w:ascii="Times New Roman" w:hAnsi="Times New Roman" w:cs="Times New Roman"/>
              </w:rPr>
              <w:t>d</w:t>
            </w:r>
            <w:r w:rsidRPr="00C455C2">
              <w:rPr>
                <w:rFonts w:ascii="Times New Roman" w:hAnsi="Times New Roman" w:cs="Times New Roman"/>
              </w:rPr>
              <w:t>ílny</w:t>
            </w:r>
            <w:proofErr w:type="spellEnd"/>
            <w:r w:rsidRPr="00C455C2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Pr="00CA5265" w:rsidR="00934A6D" w:rsidTr="00CF6FAD" w14:paraId="52626582" w14:textId="77777777">
        <w:tc>
          <w:tcPr>
            <w:tcW w:w="2977" w:type="dxa"/>
            <w:tcBorders>
              <w:top w:val="dotted" w:color="000000" w:themeColor="text1" w:sz="4" w:space="0"/>
              <w:bottom w:val="single" w:color="000000" w:themeColor="text1" w:sz="12" w:space="0"/>
              <w:right w:val="dotted" w:color="000000" w:themeColor="text1" w:sz="4" w:space="0"/>
            </w:tcBorders>
            <w:tcMar>
              <w:top w:w="28" w:type="dxa"/>
              <w:left w:w="30" w:type="dxa"/>
              <w:bottom w:w="28" w:type="dxa"/>
              <w:right w:w="57" w:type="dxa"/>
            </w:tcMar>
          </w:tcPr>
          <w:p w:rsidRPr="00C779AC" w:rsidR="00934A6D" w:rsidP="00CF6FAD" w:rsidRDefault="00934A6D" w14:paraId="1A9CC182" w14:textId="777777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79AC">
              <w:rPr>
                <w:rFonts w:ascii="Times New Roman" w:hAnsi="Times New Roman" w:cs="Times New Roman"/>
                <w:color w:val="000000" w:themeColor="text1"/>
              </w:rPr>
              <w:t>Není dostatek odborníků ve veřejné správě, nedostatek personálních kapacit a znalostí, neschopnost najmout si dostatečně erudované odborníky, jenž chtějí pracovat pro úřady.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single" w:color="000000" w:themeColor="text1" w:sz="12" w:space="0"/>
              <w:right w:val="dotted" w:color="000000" w:themeColor="text1" w:sz="4" w:space="0"/>
            </w:tcBorders>
          </w:tcPr>
          <w:p w:rsidRPr="0045388C" w:rsidR="00934A6D" w:rsidP="00CF6FAD" w:rsidRDefault="00934A6D" w14:paraId="0AB84B7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ED7D31" w:themeColor="accent2"/>
              </w:rPr>
            </w:pPr>
            <w:r w:rsidRPr="008B5772">
              <w:rPr>
                <w:rFonts w:ascii="Times New Roman" w:hAnsi="Times New Roman" w:cs="Times New Roman"/>
                <w:b/>
                <w:color w:val="FF0000"/>
              </w:rPr>
              <w:t>Trvá</w:t>
            </w:r>
          </w:p>
        </w:tc>
        <w:tc>
          <w:tcPr>
            <w:tcW w:w="1134" w:type="dxa"/>
            <w:tcBorders>
              <w:top w:val="dotted" w:color="000000" w:themeColor="text1" w:sz="4" w:space="0"/>
              <w:left w:val="dotted" w:color="000000" w:themeColor="text1" w:sz="4" w:space="0"/>
              <w:bottom w:val="single" w:color="000000" w:themeColor="text1" w:sz="12" w:space="0"/>
              <w:right w:val="dotted" w:color="000000" w:themeColor="text1" w:sz="4" w:space="0"/>
            </w:tcBorders>
            <w:tcMar>
              <w:top w:w="80" w:type="dxa"/>
              <w:left w:w="30" w:type="dxa"/>
              <w:bottom w:w="160" w:type="dxa"/>
              <w:right w:w="30" w:type="dxa"/>
            </w:tcMar>
          </w:tcPr>
          <w:p w:rsidRPr="00C455C2" w:rsidR="00934A6D" w:rsidP="00CF6FAD" w:rsidRDefault="00934A6D" w14:paraId="5B346A7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455C2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Částečně</w:t>
            </w:r>
          </w:p>
        </w:tc>
        <w:tc>
          <w:tcPr>
            <w:tcW w:w="3969" w:type="dxa"/>
            <w:tcBorders>
              <w:top w:val="dotted" w:color="000000" w:themeColor="text1" w:sz="4" w:space="0"/>
              <w:left w:val="dotted" w:color="000000" w:themeColor="text1" w:sz="4" w:space="0"/>
              <w:bottom w:val="single" w:color="000000" w:themeColor="text1" w:sz="12" w:space="0"/>
            </w:tcBorders>
            <w:tcMar>
              <w:top w:w="80" w:type="dxa"/>
              <w:left w:w="57" w:type="dxa"/>
              <w:bottom w:w="160" w:type="dxa"/>
              <w:right w:w="57" w:type="dxa"/>
            </w:tcMar>
          </w:tcPr>
          <w:p w:rsidRPr="00C455C2" w:rsidR="00934A6D" w:rsidP="00CF6FAD" w:rsidRDefault="00934A6D" w14:paraId="04E4A389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55C2">
              <w:rPr>
                <w:rFonts w:ascii="Times New Roman" w:hAnsi="Times New Roman" w:cs="Times New Roman"/>
              </w:rPr>
              <w:t>Odborníci sice stále chybí, ale situace je částečně kompenzována kapacitami Kompetenčního centra NAKIT.</w:t>
            </w:r>
          </w:p>
        </w:tc>
      </w:tr>
    </w:tbl>
    <w:p w:rsidRPr="00C455C2" w:rsidR="00934A6D" w:rsidP="00934A6D" w:rsidRDefault="00934A6D" w14:paraId="23DD028C" w14:textId="77777777">
      <w:pPr>
        <w:spacing w:line="360" w:lineRule="auto"/>
        <w:rPr>
          <w:rFonts w:ascii="Times New Roman" w:hAnsi="Times New Roman" w:cs="Times New Roman"/>
        </w:rPr>
      </w:pPr>
    </w:p>
    <w:p w:rsidRPr="00934A6D" w:rsidR="006066AE" w:rsidP="00934A6D" w:rsidRDefault="006066AE" w14:paraId="2FBD4041" w14:textId="77777777"/>
    <w:sectPr w:rsidRPr="00934A6D" w:rsidR="006066AE" w:rsidSect="00BA7F34">
      <w:footerReference w:type="default" r:id="rId11"/>
      <w:footnotePr>
        <w:numRestart w:val="eachSect"/>
      </w:footnotePr>
      <w:endnotePr>
        <w:pos w:val="sectEnd"/>
        <w:numFmt w:val="decimal"/>
        <w:numRestart w:val="eachSect"/>
      </w:endnotePr>
      <w:pgSz w:w="11906" w:h="16838" w:orient="portrait" w:code="9"/>
      <w:pgMar w:top="1417" w:right="1417" w:bottom="1700" w:left="1417" w:header="0" w:footer="1133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37A9" w:rsidRDefault="00CC37A9" w14:paraId="39A97763" w14:textId="77777777">
      <w:pPr>
        <w:spacing w:line="240" w:lineRule="auto"/>
      </w:pPr>
      <w:r>
        <w:separator/>
      </w:r>
    </w:p>
  </w:endnote>
  <w:endnote w:type="continuationSeparator" w:id="0">
    <w:p w:rsidR="00CC37A9" w:rsidRDefault="00CC37A9" w14:paraId="38AB3A36" w14:textId="77777777">
      <w:pPr>
        <w:spacing w:line="240" w:lineRule="auto"/>
      </w:pPr>
      <w:r>
        <w:continuationSeparator/>
      </w:r>
    </w:p>
  </w:endnote>
  <w:endnote w:type="continuationNotice" w:id="1">
    <w:p w:rsidR="00CC37A9" w:rsidRDefault="00CC37A9" w14:paraId="3B91936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Regular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2EBC" w:rsidRDefault="009D794D" w14:paraId="649841BE" w14:textId="77777777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37A9" w:rsidRDefault="00CC37A9" w14:paraId="3D5AE264" w14:textId="77777777">
      <w:pPr>
        <w:spacing w:line="240" w:lineRule="auto"/>
      </w:pPr>
      <w:r>
        <w:separator/>
      </w:r>
    </w:p>
  </w:footnote>
  <w:footnote w:type="continuationSeparator" w:id="0">
    <w:p w:rsidR="00CC37A9" w:rsidRDefault="00CC37A9" w14:paraId="79AACD78" w14:textId="77777777">
      <w:pPr>
        <w:spacing w:line="240" w:lineRule="auto"/>
      </w:pPr>
      <w:r>
        <w:continuationSeparator/>
      </w:r>
    </w:p>
  </w:footnote>
  <w:footnote w:type="continuationNotice" w:id="1">
    <w:p w:rsidR="00CC37A9" w:rsidRDefault="00CC37A9" w14:paraId="23059DB7" w14:textId="77777777">
      <w:pPr>
        <w:spacing w:line="240" w:lineRule="auto"/>
      </w:pPr>
    </w:p>
  </w:footnote>
  <w:footnote w:id="2">
    <w:p w:rsidR="00934A6D" w:rsidP="00934A6D" w:rsidRDefault="00934A6D" w14:paraId="70B771EC" w14:textId="7777777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4330A6">
        <w:t xml:space="preserve">Projekt Digitální úřad, </w:t>
      </w:r>
      <w:proofErr w:type="spellStart"/>
      <w:r w:rsidRPr="004330A6">
        <w:t>Advice</w:t>
      </w:r>
      <w:proofErr w:type="spellEnd"/>
      <w:r w:rsidRPr="004330A6">
        <w:t xml:space="preserve"> </w:t>
      </w:r>
      <w:proofErr w:type="spellStart"/>
      <w:r w:rsidRPr="004330A6">
        <w:t>solutions</w:t>
      </w:r>
      <w:proofErr w:type="spellEnd"/>
      <w:r w:rsidRPr="004330A6">
        <w:t xml:space="preserve"> (2020): Analýza současného stavu EG a výhledu </w:t>
      </w:r>
      <w:r>
        <w:t xml:space="preserve">– </w:t>
      </w:r>
      <w:r w:rsidRPr="004330A6">
        <w:t xml:space="preserve">úplná verze: </w:t>
      </w:r>
      <w:r w:rsidRPr="00C455C2">
        <w:rPr>
          <w:i/>
          <w:iCs/>
        </w:rPr>
        <w:t>https://egov.site44.com/pracovni/digiurad-analyza-asis.pdf</w:t>
      </w:r>
    </w:p>
  </w:footnote>
  <w:footnote w:id="3">
    <w:p w:rsidR="00934A6D" w:rsidP="00934A6D" w:rsidRDefault="00934A6D" w14:paraId="489A6C5C" w14:textId="77777777">
      <w:pPr>
        <w:spacing w:line="240" w:lineRule="auto"/>
      </w:pPr>
      <w:r>
        <w:rPr>
          <w:rStyle w:val="Znakapoznpodarou"/>
        </w:rPr>
        <w:footnoteRef/>
      </w:r>
      <w:r>
        <w:t xml:space="preserve"> </w:t>
      </w:r>
      <w:r w:rsidRPr="00C455C2">
        <w:rPr>
          <w:sz w:val="18"/>
          <w:szCs w:val="18"/>
        </w:rPr>
        <w:t>Tento sloupec byl bez úprav převzat přímo z</w:t>
      </w:r>
      <w:r>
        <w:rPr>
          <w:sz w:val="18"/>
          <w:szCs w:val="18"/>
        </w:rPr>
        <w:t> poslední aktualizace analýzy</w:t>
      </w:r>
      <w:r w:rsidRPr="00C455C2">
        <w:rPr>
          <w:sz w:val="18"/>
          <w:szCs w:val="18"/>
        </w:rPr>
        <w:t xml:space="preserve">: </w:t>
      </w:r>
      <w:r w:rsidRPr="00C455C2">
        <w:rPr>
          <w:rFonts w:ascii="Times New Roman" w:hAnsi="Times New Roman" w:eastAsia="Times New Roman" w:cs="Times New Roman"/>
          <w:i/>
          <w:iCs/>
          <w:sz w:val="18"/>
          <w:szCs w:val="18"/>
          <w14:ligatures w14:val="none"/>
        </w:rPr>
        <w:t xml:space="preserve">Aktualizace stavu řešení identifikovaných problémů z Analýzy současného stavu </w:t>
      </w:r>
      <w:r w:rsidRPr="00492A6C">
        <w:rPr>
          <w:rFonts w:ascii="Times New Roman" w:hAnsi="Times New Roman" w:eastAsia="Times New Roman" w:cs="Times New Roman"/>
          <w:i/>
          <w:iCs/>
          <w:sz w:val="18"/>
          <w:szCs w:val="18"/>
          <w14:ligatures w14:val="none"/>
        </w:rPr>
        <w:t>EG – hodnocení</w:t>
      </w:r>
      <w:r w:rsidRPr="00C455C2">
        <w:rPr>
          <w:rFonts w:ascii="Times New Roman" w:hAnsi="Times New Roman" w:eastAsia="Times New Roman" w:cs="Times New Roman"/>
          <w:i/>
          <w:iCs/>
          <w:sz w:val="18"/>
          <w:szCs w:val="18"/>
          <w14:ligatures w14:val="none"/>
        </w:rPr>
        <w:t xml:space="preserve"> za rok 2021: Zpracovali autoři původní analýzy v rámci projektu </w:t>
      </w:r>
      <w:proofErr w:type="spellStart"/>
      <w:r w:rsidRPr="00492A6C">
        <w:rPr>
          <w:rFonts w:ascii="Times New Roman" w:hAnsi="Times New Roman" w:eastAsia="Times New Roman" w:cs="Times New Roman"/>
          <w:i/>
          <w:iCs/>
          <w:sz w:val="18"/>
          <w:szCs w:val="18"/>
          <w14:ligatures w14:val="none"/>
        </w:rPr>
        <w:t>EGdílna</w:t>
      </w:r>
      <w:proofErr w:type="spellEnd"/>
      <w:r w:rsidRPr="00492A6C">
        <w:rPr>
          <w:rFonts w:ascii="Times New Roman" w:hAnsi="Times New Roman" w:eastAsia="Times New Roman" w:cs="Times New Roman"/>
          <w:i/>
          <w:iCs/>
          <w:sz w:val="18"/>
          <w:szCs w:val="18"/>
          <w14:ligatures w14:val="none"/>
        </w:rPr>
        <w:t xml:space="preserve"> – aktualizace</w:t>
      </w:r>
      <w:r w:rsidRPr="00C455C2">
        <w:rPr>
          <w:rFonts w:ascii="Times New Roman" w:hAnsi="Times New Roman" w:eastAsia="Times New Roman" w:cs="Times New Roman"/>
          <w:i/>
          <w:iCs/>
          <w:sz w:val="18"/>
          <w:szCs w:val="18"/>
          <w14:ligatures w14:val="none"/>
        </w:rPr>
        <w:t xml:space="preserve"> únor 2022</w:t>
      </w:r>
      <w:r w:rsidRPr="00C455C2">
        <w:rPr>
          <w:rFonts w:ascii="Times New Roman" w:hAnsi="Times New Roman" w:eastAsia="Times New Roman" w:cs="Times New Roman"/>
          <w:sz w:val="18"/>
          <w:szCs w:val="18"/>
          <w14:ligatures w14:val="none"/>
        </w:rPr>
        <w:t>. Dostupné také z: http://egov.site44.com/pracovni/digiurad_aktualizace_asis_2021.pdf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4F2"/>
    <w:multiLevelType w:val="hybridMultilevel"/>
    <w:tmpl w:val="EA0683F0"/>
    <w:lvl w:ilvl="0" w:tplc="0405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 w16cid:durableId="136092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numRestart w:val="eachSect"/>
    <w:footnote w:id="-1"/>
    <w:footnote w:id="0"/>
    <w:footnote w:id="1"/>
  </w:footnotePr>
  <w:endnotePr>
    <w:numFmt w:val="decimal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A3C01D"/>
    <w:rsid w:val="00000337"/>
    <w:rsid w:val="0000135B"/>
    <w:rsid w:val="00002C10"/>
    <w:rsid w:val="00003C5A"/>
    <w:rsid w:val="00003EF7"/>
    <w:rsid w:val="000053F4"/>
    <w:rsid w:val="0001338F"/>
    <w:rsid w:val="000154BC"/>
    <w:rsid w:val="00016A16"/>
    <w:rsid w:val="00020F75"/>
    <w:rsid w:val="00022AD8"/>
    <w:rsid w:val="0002641A"/>
    <w:rsid w:val="000270B2"/>
    <w:rsid w:val="0003044D"/>
    <w:rsid w:val="000308FE"/>
    <w:rsid w:val="00031384"/>
    <w:rsid w:val="000321B0"/>
    <w:rsid w:val="00033A1F"/>
    <w:rsid w:val="00034EC2"/>
    <w:rsid w:val="000361BE"/>
    <w:rsid w:val="00037B22"/>
    <w:rsid w:val="00045C00"/>
    <w:rsid w:val="00046E2E"/>
    <w:rsid w:val="00050817"/>
    <w:rsid w:val="00053013"/>
    <w:rsid w:val="0005357B"/>
    <w:rsid w:val="0005417B"/>
    <w:rsid w:val="000547C0"/>
    <w:rsid w:val="00055BB7"/>
    <w:rsid w:val="000572AA"/>
    <w:rsid w:val="00064A91"/>
    <w:rsid w:val="00065684"/>
    <w:rsid w:val="00067250"/>
    <w:rsid w:val="00067556"/>
    <w:rsid w:val="000702B1"/>
    <w:rsid w:val="000714E7"/>
    <w:rsid w:val="00071D7B"/>
    <w:rsid w:val="00074AA8"/>
    <w:rsid w:val="000754D8"/>
    <w:rsid w:val="00076AD0"/>
    <w:rsid w:val="00076B46"/>
    <w:rsid w:val="000830C8"/>
    <w:rsid w:val="00086312"/>
    <w:rsid w:val="00087E32"/>
    <w:rsid w:val="00090B0F"/>
    <w:rsid w:val="00090C9D"/>
    <w:rsid w:val="000914CD"/>
    <w:rsid w:val="00092257"/>
    <w:rsid w:val="00096529"/>
    <w:rsid w:val="00096CA3"/>
    <w:rsid w:val="00096D26"/>
    <w:rsid w:val="000A1838"/>
    <w:rsid w:val="000A1FA5"/>
    <w:rsid w:val="000A3A19"/>
    <w:rsid w:val="000A4F3C"/>
    <w:rsid w:val="000A52FC"/>
    <w:rsid w:val="000B0E05"/>
    <w:rsid w:val="000B1B86"/>
    <w:rsid w:val="000B215F"/>
    <w:rsid w:val="000B3D7A"/>
    <w:rsid w:val="000B708A"/>
    <w:rsid w:val="000B74AF"/>
    <w:rsid w:val="000B7F52"/>
    <w:rsid w:val="000C30D5"/>
    <w:rsid w:val="000C3AB9"/>
    <w:rsid w:val="000C7440"/>
    <w:rsid w:val="000D0DF3"/>
    <w:rsid w:val="000D2915"/>
    <w:rsid w:val="000D6AB1"/>
    <w:rsid w:val="000D6B5F"/>
    <w:rsid w:val="000E05BE"/>
    <w:rsid w:val="000E3D72"/>
    <w:rsid w:val="000E3F92"/>
    <w:rsid w:val="000E41E1"/>
    <w:rsid w:val="000E5C9A"/>
    <w:rsid w:val="000F03FD"/>
    <w:rsid w:val="000F3F57"/>
    <w:rsid w:val="000F76AE"/>
    <w:rsid w:val="001006FB"/>
    <w:rsid w:val="00100AE6"/>
    <w:rsid w:val="001016BB"/>
    <w:rsid w:val="00101CBA"/>
    <w:rsid w:val="00102147"/>
    <w:rsid w:val="00102C0E"/>
    <w:rsid w:val="00103B5F"/>
    <w:rsid w:val="00104273"/>
    <w:rsid w:val="00104C2C"/>
    <w:rsid w:val="0010695A"/>
    <w:rsid w:val="00110C09"/>
    <w:rsid w:val="00111505"/>
    <w:rsid w:val="001115B6"/>
    <w:rsid w:val="00111A3A"/>
    <w:rsid w:val="00114AB2"/>
    <w:rsid w:val="00114AC5"/>
    <w:rsid w:val="00115CF8"/>
    <w:rsid w:val="00116B69"/>
    <w:rsid w:val="00123F3D"/>
    <w:rsid w:val="00124BED"/>
    <w:rsid w:val="001264BD"/>
    <w:rsid w:val="001359FE"/>
    <w:rsid w:val="00140B03"/>
    <w:rsid w:val="00142342"/>
    <w:rsid w:val="001428F1"/>
    <w:rsid w:val="00144AE1"/>
    <w:rsid w:val="00147ADC"/>
    <w:rsid w:val="00147C69"/>
    <w:rsid w:val="00151402"/>
    <w:rsid w:val="00151D26"/>
    <w:rsid w:val="00152282"/>
    <w:rsid w:val="00154DDE"/>
    <w:rsid w:val="001616D5"/>
    <w:rsid w:val="00162532"/>
    <w:rsid w:val="0016489F"/>
    <w:rsid w:val="001655C2"/>
    <w:rsid w:val="00170083"/>
    <w:rsid w:val="00171E17"/>
    <w:rsid w:val="00172012"/>
    <w:rsid w:val="00172914"/>
    <w:rsid w:val="001740FD"/>
    <w:rsid w:val="00174A05"/>
    <w:rsid w:val="001812E1"/>
    <w:rsid w:val="00183080"/>
    <w:rsid w:val="001846A8"/>
    <w:rsid w:val="00185144"/>
    <w:rsid w:val="00186852"/>
    <w:rsid w:val="00187F56"/>
    <w:rsid w:val="001901B3"/>
    <w:rsid w:val="00190758"/>
    <w:rsid w:val="00190E15"/>
    <w:rsid w:val="00191CDB"/>
    <w:rsid w:val="00196E45"/>
    <w:rsid w:val="001A0A64"/>
    <w:rsid w:val="001A20BD"/>
    <w:rsid w:val="001A22AF"/>
    <w:rsid w:val="001A2F37"/>
    <w:rsid w:val="001A333C"/>
    <w:rsid w:val="001A3C00"/>
    <w:rsid w:val="001A3E58"/>
    <w:rsid w:val="001A76A3"/>
    <w:rsid w:val="001B0FA8"/>
    <w:rsid w:val="001B4FF8"/>
    <w:rsid w:val="001B5FC6"/>
    <w:rsid w:val="001C0B42"/>
    <w:rsid w:val="001C14EA"/>
    <w:rsid w:val="001D2DDB"/>
    <w:rsid w:val="001D56BB"/>
    <w:rsid w:val="001E02EA"/>
    <w:rsid w:val="001E0390"/>
    <w:rsid w:val="001E060F"/>
    <w:rsid w:val="001E4490"/>
    <w:rsid w:val="001E4CBB"/>
    <w:rsid w:val="001E78F8"/>
    <w:rsid w:val="001F3811"/>
    <w:rsid w:val="001F3CDD"/>
    <w:rsid w:val="001F54F3"/>
    <w:rsid w:val="001F7593"/>
    <w:rsid w:val="00200B87"/>
    <w:rsid w:val="00204804"/>
    <w:rsid w:val="00204B12"/>
    <w:rsid w:val="002058AA"/>
    <w:rsid w:val="00206C80"/>
    <w:rsid w:val="002102B5"/>
    <w:rsid w:val="00222368"/>
    <w:rsid w:val="002235BB"/>
    <w:rsid w:val="002238F6"/>
    <w:rsid w:val="0022533B"/>
    <w:rsid w:val="00225D81"/>
    <w:rsid w:val="002302E8"/>
    <w:rsid w:val="00231A3F"/>
    <w:rsid w:val="00232676"/>
    <w:rsid w:val="00232A67"/>
    <w:rsid w:val="002340E5"/>
    <w:rsid w:val="00234EC3"/>
    <w:rsid w:val="002355FA"/>
    <w:rsid w:val="00236944"/>
    <w:rsid w:val="0024015B"/>
    <w:rsid w:val="00240B02"/>
    <w:rsid w:val="00243544"/>
    <w:rsid w:val="00243D6F"/>
    <w:rsid w:val="002445D9"/>
    <w:rsid w:val="00246531"/>
    <w:rsid w:val="00246EA8"/>
    <w:rsid w:val="002472CE"/>
    <w:rsid w:val="00250EF1"/>
    <w:rsid w:val="0025182D"/>
    <w:rsid w:val="002529DE"/>
    <w:rsid w:val="00254E36"/>
    <w:rsid w:val="002560D4"/>
    <w:rsid w:val="0025680E"/>
    <w:rsid w:val="002633AD"/>
    <w:rsid w:val="00265B03"/>
    <w:rsid w:val="00265CB7"/>
    <w:rsid w:val="002720C7"/>
    <w:rsid w:val="00281F0D"/>
    <w:rsid w:val="00282B58"/>
    <w:rsid w:val="00282FB6"/>
    <w:rsid w:val="00283977"/>
    <w:rsid w:val="00286D96"/>
    <w:rsid w:val="002871C3"/>
    <w:rsid w:val="00287648"/>
    <w:rsid w:val="00287B0B"/>
    <w:rsid w:val="00290395"/>
    <w:rsid w:val="00290511"/>
    <w:rsid w:val="00295437"/>
    <w:rsid w:val="0029771C"/>
    <w:rsid w:val="002A18F1"/>
    <w:rsid w:val="002A4708"/>
    <w:rsid w:val="002A540E"/>
    <w:rsid w:val="002A575C"/>
    <w:rsid w:val="002A5D19"/>
    <w:rsid w:val="002A6009"/>
    <w:rsid w:val="002A68CD"/>
    <w:rsid w:val="002B1158"/>
    <w:rsid w:val="002B1B71"/>
    <w:rsid w:val="002B1BB7"/>
    <w:rsid w:val="002B2430"/>
    <w:rsid w:val="002B46DA"/>
    <w:rsid w:val="002B4C86"/>
    <w:rsid w:val="002B615E"/>
    <w:rsid w:val="002B62B6"/>
    <w:rsid w:val="002B6746"/>
    <w:rsid w:val="002B7FE2"/>
    <w:rsid w:val="002C0BAA"/>
    <w:rsid w:val="002C3833"/>
    <w:rsid w:val="002C3985"/>
    <w:rsid w:val="002C3CCD"/>
    <w:rsid w:val="002C5D8D"/>
    <w:rsid w:val="002D1B37"/>
    <w:rsid w:val="002D461B"/>
    <w:rsid w:val="002D4848"/>
    <w:rsid w:val="002D6A7D"/>
    <w:rsid w:val="002E0561"/>
    <w:rsid w:val="002E0B0B"/>
    <w:rsid w:val="002E1211"/>
    <w:rsid w:val="002E5145"/>
    <w:rsid w:val="002E564E"/>
    <w:rsid w:val="002F0BA3"/>
    <w:rsid w:val="002F3AD8"/>
    <w:rsid w:val="002F471A"/>
    <w:rsid w:val="002F52AA"/>
    <w:rsid w:val="003029E4"/>
    <w:rsid w:val="0030316B"/>
    <w:rsid w:val="0030380D"/>
    <w:rsid w:val="003047BC"/>
    <w:rsid w:val="00305767"/>
    <w:rsid w:val="0030712A"/>
    <w:rsid w:val="00310DAD"/>
    <w:rsid w:val="003116C8"/>
    <w:rsid w:val="003135DE"/>
    <w:rsid w:val="00314F93"/>
    <w:rsid w:val="0031581E"/>
    <w:rsid w:val="00316B7F"/>
    <w:rsid w:val="00320A4D"/>
    <w:rsid w:val="00323CD6"/>
    <w:rsid w:val="00325C99"/>
    <w:rsid w:val="0032608B"/>
    <w:rsid w:val="00327DA3"/>
    <w:rsid w:val="0033378C"/>
    <w:rsid w:val="003402DD"/>
    <w:rsid w:val="00344426"/>
    <w:rsid w:val="00350030"/>
    <w:rsid w:val="00355F67"/>
    <w:rsid w:val="003570D3"/>
    <w:rsid w:val="0035719E"/>
    <w:rsid w:val="00357D1C"/>
    <w:rsid w:val="00360186"/>
    <w:rsid w:val="00361208"/>
    <w:rsid w:val="00361D4A"/>
    <w:rsid w:val="00361EEE"/>
    <w:rsid w:val="00361FCF"/>
    <w:rsid w:val="00363A8C"/>
    <w:rsid w:val="003640EA"/>
    <w:rsid w:val="003646E4"/>
    <w:rsid w:val="003657C3"/>
    <w:rsid w:val="00365D11"/>
    <w:rsid w:val="00366306"/>
    <w:rsid w:val="0036660A"/>
    <w:rsid w:val="00366B5A"/>
    <w:rsid w:val="00367770"/>
    <w:rsid w:val="00370008"/>
    <w:rsid w:val="00371937"/>
    <w:rsid w:val="00372330"/>
    <w:rsid w:val="003743CF"/>
    <w:rsid w:val="0037497C"/>
    <w:rsid w:val="00377AFD"/>
    <w:rsid w:val="00380175"/>
    <w:rsid w:val="00385005"/>
    <w:rsid w:val="00385F73"/>
    <w:rsid w:val="00386AFC"/>
    <w:rsid w:val="0038723F"/>
    <w:rsid w:val="00387970"/>
    <w:rsid w:val="00390416"/>
    <w:rsid w:val="00392048"/>
    <w:rsid w:val="00392A01"/>
    <w:rsid w:val="00394F31"/>
    <w:rsid w:val="003A36B8"/>
    <w:rsid w:val="003A4794"/>
    <w:rsid w:val="003A5C20"/>
    <w:rsid w:val="003A695D"/>
    <w:rsid w:val="003A78BA"/>
    <w:rsid w:val="003B0E11"/>
    <w:rsid w:val="003B1285"/>
    <w:rsid w:val="003B1F33"/>
    <w:rsid w:val="003B3DDB"/>
    <w:rsid w:val="003B4C0F"/>
    <w:rsid w:val="003B554E"/>
    <w:rsid w:val="003C0F58"/>
    <w:rsid w:val="003C12AF"/>
    <w:rsid w:val="003C2C96"/>
    <w:rsid w:val="003C328E"/>
    <w:rsid w:val="003D3C1E"/>
    <w:rsid w:val="003E07B2"/>
    <w:rsid w:val="003E14CB"/>
    <w:rsid w:val="003E324A"/>
    <w:rsid w:val="003E33E4"/>
    <w:rsid w:val="003E40B2"/>
    <w:rsid w:val="003E5772"/>
    <w:rsid w:val="003F1AA0"/>
    <w:rsid w:val="003F47AA"/>
    <w:rsid w:val="003F644C"/>
    <w:rsid w:val="003F697C"/>
    <w:rsid w:val="003F70F1"/>
    <w:rsid w:val="003F796E"/>
    <w:rsid w:val="00401E26"/>
    <w:rsid w:val="004021A0"/>
    <w:rsid w:val="00405A94"/>
    <w:rsid w:val="00412234"/>
    <w:rsid w:val="00413EEC"/>
    <w:rsid w:val="00416B83"/>
    <w:rsid w:val="004220D8"/>
    <w:rsid w:val="00422A54"/>
    <w:rsid w:val="00422D2D"/>
    <w:rsid w:val="004232A3"/>
    <w:rsid w:val="0042341F"/>
    <w:rsid w:val="0042502E"/>
    <w:rsid w:val="0042528A"/>
    <w:rsid w:val="00425FAB"/>
    <w:rsid w:val="00426F13"/>
    <w:rsid w:val="00430AB5"/>
    <w:rsid w:val="0043123E"/>
    <w:rsid w:val="004314EB"/>
    <w:rsid w:val="004330A6"/>
    <w:rsid w:val="00437B33"/>
    <w:rsid w:val="00442736"/>
    <w:rsid w:val="0044388B"/>
    <w:rsid w:val="004439CB"/>
    <w:rsid w:val="004474D8"/>
    <w:rsid w:val="00450A19"/>
    <w:rsid w:val="0045161D"/>
    <w:rsid w:val="00451BB2"/>
    <w:rsid w:val="00451BF9"/>
    <w:rsid w:val="00454E2E"/>
    <w:rsid w:val="004553CD"/>
    <w:rsid w:val="00457326"/>
    <w:rsid w:val="004577EA"/>
    <w:rsid w:val="00457878"/>
    <w:rsid w:val="00460832"/>
    <w:rsid w:val="00460A89"/>
    <w:rsid w:val="00460C86"/>
    <w:rsid w:val="00462E07"/>
    <w:rsid w:val="0046493F"/>
    <w:rsid w:val="004651A6"/>
    <w:rsid w:val="00467187"/>
    <w:rsid w:val="004728E6"/>
    <w:rsid w:val="004807F1"/>
    <w:rsid w:val="004829FF"/>
    <w:rsid w:val="00484121"/>
    <w:rsid w:val="00486D77"/>
    <w:rsid w:val="00487BF6"/>
    <w:rsid w:val="00490A20"/>
    <w:rsid w:val="00491F2D"/>
    <w:rsid w:val="00492B16"/>
    <w:rsid w:val="0049323E"/>
    <w:rsid w:val="004933BF"/>
    <w:rsid w:val="0049384A"/>
    <w:rsid w:val="0049430F"/>
    <w:rsid w:val="004960F6"/>
    <w:rsid w:val="00497C09"/>
    <w:rsid w:val="004A0A23"/>
    <w:rsid w:val="004A1ACF"/>
    <w:rsid w:val="004A2307"/>
    <w:rsid w:val="004A5043"/>
    <w:rsid w:val="004B064B"/>
    <w:rsid w:val="004B24B9"/>
    <w:rsid w:val="004B30E5"/>
    <w:rsid w:val="004B3405"/>
    <w:rsid w:val="004B3BCA"/>
    <w:rsid w:val="004B45B7"/>
    <w:rsid w:val="004B47D5"/>
    <w:rsid w:val="004B5843"/>
    <w:rsid w:val="004B6306"/>
    <w:rsid w:val="004B686F"/>
    <w:rsid w:val="004C19DA"/>
    <w:rsid w:val="004C4402"/>
    <w:rsid w:val="004C6929"/>
    <w:rsid w:val="004D1378"/>
    <w:rsid w:val="004D2BC9"/>
    <w:rsid w:val="004D2C79"/>
    <w:rsid w:val="004D7485"/>
    <w:rsid w:val="004E34BB"/>
    <w:rsid w:val="004E3777"/>
    <w:rsid w:val="004E4DD0"/>
    <w:rsid w:val="004E4E1C"/>
    <w:rsid w:val="004E6788"/>
    <w:rsid w:val="004E6DEA"/>
    <w:rsid w:val="004F0DF1"/>
    <w:rsid w:val="004F1E19"/>
    <w:rsid w:val="004F481C"/>
    <w:rsid w:val="004F483C"/>
    <w:rsid w:val="004F7568"/>
    <w:rsid w:val="004F784C"/>
    <w:rsid w:val="00500702"/>
    <w:rsid w:val="005008D2"/>
    <w:rsid w:val="005047E7"/>
    <w:rsid w:val="00506045"/>
    <w:rsid w:val="00506647"/>
    <w:rsid w:val="00507771"/>
    <w:rsid w:val="00511565"/>
    <w:rsid w:val="005118DF"/>
    <w:rsid w:val="0051663F"/>
    <w:rsid w:val="005227B9"/>
    <w:rsid w:val="005241CF"/>
    <w:rsid w:val="00524700"/>
    <w:rsid w:val="00527638"/>
    <w:rsid w:val="00530D55"/>
    <w:rsid w:val="005326EE"/>
    <w:rsid w:val="005338CF"/>
    <w:rsid w:val="0053552E"/>
    <w:rsid w:val="0054031D"/>
    <w:rsid w:val="00540D3E"/>
    <w:rsid w:val="005411C9"/>
    <w:rsid w:val="00543482"/>
    <w:rsid w:val="00544EDC"/>
    <w:rsid w:val="00546A48"/>
    <w:rsid w:val="00546FD6"/>
    <w:rsid w:val="00551CF3"/>
    <w:rsid w:val="00554C8D"/>
    <w:rsid w:val="0055601C"/>
    <w:rsid w:val="00556068"/>
    <w:rsid w:val="00561A62"/>
    <w:rsid w:val="00561E78"/>
    <w:rsid w:val="00563101"/>
    <w:rsid w:val="005671D7"/>
    <w:rsid w:val="005673EA"/>
    <w:rsid w:val="00570606"/>
    <w:rsid w:val="00571437"/>
    <w:rsid w:val="005723BF"/>
    <w:rsid w:val="00572ADE"/>
    <w:rsid w:val="00573B84"/>
    <w:rsid w:val="0057409C"/>
    <w:rsid w:val="00577090"/>
    <w:rsid w:val="0057765F"/>
    <w:rsid w:val="00580223"/>
    <w:rsid w:val="0058467A"/>
    <w:rsid w:val="00584706"/>
    <w:rsid w:val="00584731"/>
    <w:rsid w:val="005859D2"/>
    <w:rsid w:val="00585F03"/>
    <w:rsid w:val="005867AB"/>
    <w:rsid w:val="005869EC"/>
    <w:rsid w:val="00590B0B"/>
    <w:rsid w:val="005952F4"/>
    <w:rsid w:val="00595B0C"/>
    <w:rsid w:val="00596544"/>
    <w:rsid w:val="0059698E"/>
    <w:rsid w:val="005A01C9"/>
    <w:rsid w:val="005A2DCD"/>
    <w:rsid w:val="005A4F16"/>
    <w:rsid w:val="005B0896"/>
    <w:rsid w:val="005B19EA"/>
    <w:rsid w:val="005B37F0"/>
    <w:rsid w:val="005B39EB"/>
    <w:rsid w:val="005B524E"/>
    <w:rsid w:val="005C0AAE"/>
    <w:rsid w:val="005C1368"/>
    <w:rsid w:val="005C1501"/>
    <w:rsid w:val="005C2651"/>
    <w:rsid w:val="005C3FE2"/>
    <w:rsid w:val="005C47F0"/>
    <w:rsid w:val="005C5C60"/>
    <w:rsid w:val="005C7909"/>
    <w:rsid w:val="005D7102"/>
    <w:rsid w:val="005D72B0"/>
    <w:rsid w:val="005D7E81"/>
    <w:rsid w:val="005E4D2F"/>
    <w:rsid w:val="005E6E0C"/>
    <w:rsid w:val="005E6E51"/>
    <w:rsid w:val="005E76F0"/>
    <w:rsid w:val="005F173F"/>
    <w:rsid w:val="005F2B53"/>
    <w:rsid w:val="005F3429"/>
    <w:rsid w:val="005F4A95"/>
    <w:rsid w:val="005F62EB"/>
    <w:rsid w:val="005F6553"/>
    <w:rsid w:val="00601E3D"/>
    <w:rsid w:val="0060222B"/>
    <w:rsid w:val="00603E88"/>
    <w:rsid w:val="006066AE"/>
    <w:rsid w:val="00610D6C"/>
    <w:rsid w:val="00613230"/>
    <w:rsid w:val="00620287"/>
    <w:rsid w:val="006221ED"/>
    <w:rsid w:val="00622C62"/>
    <w:rsid w:val="00624992"/>
    <w:rsid w:val="006261DC"/>
    <w:rsid w:val="006314E9"/>
    <w:rsid w:val="00631553"/>
    <w:rsid w:val="006326F5"/>
    <w:rsid w:val="00633F6C"/>
    <w:rsid w:val="00634025"/>
    <w:rsid w:val="00635D62"/>
    <w:rsid w:val="0063668A"/>
    <w:rsid w:val="006368F1"/>
    <w:rsid w:val="00642BCA"/>
    <w:rsid w:val="00643D0C"/>
    <w:rsid w:val="006449E0"/>
    <w:rsid w:val="00645AA4"/>
    <w:rsid w:val="00645F90"/>
    <w:rsid w:val="00650DCF"/>
    <w:rsid w:val="006510AF"/>
    <w:rsid w:val="006528DC"/>
    <w:rsid w:val="00652C70"/>
    <w:rsid w:val="00652D55"/>
    <w:rsid w:val="00655C3E"/>
    <w:rsid w:val="0065607D"/>
    <w:rsid w:val="00657C91"/>
    <w:rsid w:val="0066259C"/>
    <w:rsid w:val="00662B2A"/>
    <w:rsid w:val="00665CB2"/>
    <w:rsid w:val="00665CB3"/>
    <w:rsid w:val="00667431"/>
    <w:rsid w:val="00670CF4"/>
    <w:rsid w:val="00671192"/>
    <w:rsid w:val="006717EB"/>
    <w:rsid w:val="00673498"/>
    <w:rsid w:val="00673E97"/>
    <w:rsid w:val="0067498B"/>
    <w:rsid w:val="00675746"/>
    <w:rsid w:val="0067629B"/>
    <w:rsid w:val="006767A4"/>
    <w:rsid w:val="00676B0C"/>
    <w:rsid w:val="0068089D"/>
    <w:rsid w:val="006813BD"/>
    <w:rsid w:val="00681999"/>
    <w:rsid w:val="00682F26"/>
    <w:rsid w:val="00683EDB"/>
    <w:rsid w:val="006841C5"/>
    <w:rsid w:val="0068544C"/>
    <w:rsid w:val="0069012F"/>
    <w:rsid w:val="0069161D"/>
    <w:rsid w:val="006A0E22"/>
    <w:rsid w:val="006A1733"/>
    <w:rsid w:val="006A276A"/>
    <w:rsid w:val="006A2C1C"/>
    <w:rsid w:val="006A4765"/>
    <w:rsid w:val="006A771E"/>
    <w:rsid w:val="006B6E64"/>
    <w:rsid w:val="006C060E"/>
    <w:rsid w:val="006C0616"/>
    <w:rsid w:val="006C21D2"/>
    <w:rsid w:val="006C2A6A"/>
    <w:rsid w:val="006C2FA7"/>
    <w:rsid w:val="006C4D54"/>
    <w:rsid w:val="006C6243"/>
    <w:rsid w:val="006D1F22"/>
    <w:rsid w:val="006D2387"/>
    <w:rsid w:val="006D2F00"/>
    <w:rsid w:val="006D4941"/>
    <w:rsid w:val="006D4DA5"/>
    <w:rsid w:val="006D6917"/>
    <w:rsid w:val="006D6C21"/>
    <w:rsid w:val="006E0B58"/>
    <w:rsid w:val="006E4770"/>
    <w:rsid w:val="006E5A56"/>
    <w:rsid w:val="006E687B"/>
    <w:rsid w:val="006E787D"/>
    <w:rsid w:val="006F0DAF"/>
    <w:rsid w:val="006F1AB7"/>
    <w:rsid w:val="006F3026"/>
    <w:rsid w:val="006F327D"/>
    <w:rsid w:val="006F39AC"/>
    <w:rsid w:val="006F560A"/>
    <w:rsid w:val="006F5862"/>
    <w:rsid w:val="006F701C"/>
    <w:rsid w:val="006F7BCA"/>
    <w:rsid w:val="007015FA"/>
    <w:rsid w:val="00704944"/>
    <w:rsid w:val="00705B72"/>
    <w:rsid w:val="00705E75"/>
    <w:rsid w:val="00706119"/>
    <w:rsid w:val="007061AF"/>
    <w:rsid w:val="00706BF5"/>
    <w:rsid w:val="007079BD"/>
    <w:rsid w:val="0071179A"/>
    <w:rsid w:val="00712844"/>
    <w:rsid w:val="007130C8"/>
    <w:rsid w:val="007134A2"/>
    <w:rsid w:val="00716F3D"/>
    <w:rsid w:val="0072046C"/>
    <w:rsid w:val="00720B0D"/>
    <w:rsid w:val="00722B8A"/>
    <w:rsid w:val="007236A2"/>
    <w:rsid w:val="00740576"/>
    <w:rsid w:val="00740F4A"/>
    <w:rsid w:val="0074145B"/>
    <w:rsid w:val="00743415"/>
    <w:rsid w:val="00744055"/>
    <w:rsid w:val="007448F5"/>
    <w:rsid w:val="00751013"/>
    <w:rsid w:val="007512A9"/>
    <w:rsid w:val="00751D82"/>
    <w:rsid w:val="00751F8F"/>
    <w:rsid w:val="00752083"/>
    <w:rsid w:val="00752870"/>
    <w:rsid w:val="00754240"/>
    <w:rsid w:val="00755046"/>
    <w:rsid w:val="007628AF"/>
    <w:rsid w:val="00763780"/>
    <w:rsid w:val="00764297"/>
    <w:rsid w:val="0076576C"/>
    <w:rsid w:val="00765E4E"/>
    <w:rsid w:val="007703B7"/>
    <w:rsid w:val="007715F7"/>
    <w:rsid w:val="00771E10"/>
    <w:rsid w:val="00772B95"/>
    <w:rsid w:val="00773CF4"/>
    <w:rsid w:val="00777CB4"/>
    <w:rsid w:val="007806A4"/>
    <w:rsid w:val="0078105B"/>
    <w:rsid w:val="00781ECD"/>
    <w:rsid w:val="007828DE"/>
    <w:rsid w:val="0078518A"/>
    <w:rsid w:val="00790D82"/>
    <w:rsid w:val="00792F57"/>
    <w:rsid w:val="007963FB"/>
    <w:rsid w:val="007974F8"/>
    <w:rsid w:val="00797A47"/>
    <w:rsid w:val="007A0166"/>
    <w:rsid w:val="007A58CD"/>
    <w:rsid w:val="007A73AF"/>
    <w:rsid w:val="007B08B7"/>
    <w:rsid w:val="007B1036"/>
    <w:rsid w:val="007B2E85"/>
    <w:rsid w:val="007B3185"/>
    <w:rsid w:val="007B399D"/>
    <w:rsid w:val="007B5F11"/>
    <w:rsid w:val="007C056A"/>
    <w:rsid w:val="007C0A0E"/>
    <w:rsid w:val="007C23B6"/>
    <w:rsid w:val="007C3CD3"/>
    <w:rsid w:val="007C5639"/>
    <w:rsid w:val="007C6CA4"/>
    <w:rsid w:val="007D2DB9"/>
    <w:rsid w:val="007D307F"/>
    <w:rsid w:val="007D3463"/>
    <w:rsid w:val="007D6148"/>
    <w:rsid w:val="007E1612"/>
    <w:rsid w:val="007E1C37"/>
    <w:rsid w:val="007E3603"/>
    <w:rsid w:val="007E3E26"/>
    <w:rsid w:val="007E6F35"/>
    <w:rsid w:val="007F1529"/>
    <w:rsid w:val="007F1B7A"/>
    <w:rsid w:val="007F2A33"/>
    <w:rsid w:val="007F2B7C"/>
    <w:rsid w:val="007F3544"/>
    <w:rsid w:val="007F3762"/>
    <w:rsid w:val="007F394F"/>
    <w:rsid w:val="007F4EC5"/>
    <w:rsid w:val="007F5907"/>
    <w:rsid w:val="00801880"/>
    <w:rsid w:val="008034DD"/>
    <w:rsid w:val="008064F9"/>
    <w:rsid w:val="008103F1"/>
    <w:rsid w:val="00814967"/>
    <w:rsid w:val="00815583"/>
    <w:rsid w:val="00815C64"/>
    <w:rsid w:val="00815F2E"/>
    <w:rsid w:val="00823A7E"/>
    <w:rsid w:val="008245B8"/>
    <w:rsid w:val="00824E5D"/>
    <w:rsid w:val="00825449"/>
    <w:rsid w:val="008254FA"/>
    <w:rsid w:val="008269EC"/>
    <w:rsid w:val="0083263B"/>
    <w:rsid w:val="008348CC"/>
    <w:rsid w:val="0083710C"/>
    <w:rsid w:val="0084054F"/>
    <w:rsid w:val="00840D69"/>
    <w:rsid w:val="00840EDC"/>
    <w:rsid w:val="0084420E"/>
    <w:rsid w:val="00850608"/>
    <w:rsid w:val="008511A8"/>
    <w:rsid w:val="00851888"/>
    <w:rsid w:val="00851BD6"/>
    <w:rsid w:val="00854612"/>
    <w:rsid w:val="008571D7"/>
    <w:rsid w:val="00861169"/>
    <w:rsid w:val="0086231E"/>
    <w:rsid w:val="00863D50"/>
    <w:rsid w:val="008642FF"/>
    <w:rsid w:val="008647B4"/>
    <w:rsid w:val="00865037"/>
    <w:rsid w:val="00865F3B"/>
    <w:rsid w:val="008737D5"/>
    <w:rsid w:val="0087420D"/>
    <w:rsid w:val="00875178"/>
    <w:rsid w:val="008770D9"/>
    <w:rsid w:val="008800C9"/>
    <w:rsid w:val="008818BE"/>
    <w:rsid w:val="00882061"/>
    <w:rsid w:val="008846E5"/>
    <w:rsid w:val="00886EAD"/>
    <w:rsid w:val="00890FE5"/>
    <w:rsid w:val="008913F3"/>
    <w:rsid w:val="00891482"/>
    <w:rsid w:val="00893D40"/>
    <w:rsid w:val="008A0BED"/>
    <w:rsid w:val="008A1B6F"/>
    <w:rsid w:val="008A2908"/>
    <w:rsid w:val="008A37E2"/>
    <w:rsid w:val="008A3B9A"/>
    <w:rsid w:val="008A3D9F"/>
    <w:rsid w:val="008B00FF"/>
    <w:rsid w:val="008B2910"/>
    <w:rsid w:val="008C0CE8"/>
    <w:rsid w:val="008C0EC6"/>
    <w:rsid w:val="008C3B67"/>
    <w:rsid w:val="008C5E0D"/>
    <w:rsid w:val="008C7812"/>
    <w:rsid w:val="008C7EE4"/>
    <w:rsid w:val="008D2AEF"/>
    <w:rsid w:val="008D4FB3"/>
    <w:rsid w:val="008D707D"/>
    <w:rsid w:val="008E0651"/>
    <w:rsid w:val="008E1F36"/>
    <w:rsid w:val="008E25CA"/>
    <w:rsid w:val="008F04C5"/>
    <w:rsid w:val="008F0500"/>
    <w:rsid w:val="008F0581"/>
    <w:rsid w:val="008F0D47"/>
    <w:rsid w:val="008F258A"/>
    <w:rsid w:val="008F3883"/>
    <w:rsid w:val="008F5F8B"/>
    <w:rsid w:val="009013CD"/>
    <w:rsid w:val="00905087"/>
    <w:rsid w:val="00906DC8"/>
    <w:rsid w:val="00910DA3"/>
    <w:rsid w:val="00913225"/>
    <w:rsid w:val="00914607"/>
    <w:rsid w:val="009166EC"/>
    <w:rsid w:val="009202B9"/>
    <w:rsid w:val="00920D44"/>
    <w:rsid w:val="009210DE"/>
    <w:rsid w:val="0092284D"/>
    <w:rsid w:val="0092360B"/>
    <w:rsid w:val="00923D65"/>
    <w:rsid w:val="0093024F"/>
    <w:rsid w:val="00930DE0"/>
    <w:rsid w:val="00931B9F"/>
    <w:rsid w:val="00934834"/>
    <w:rsid w:val="00934A6D"/>
    <w:rsid w:val="00934BE9"/>
    <w:rsid w:val="0093612A"/>
    <w:rsid w:val="0093618D"/>
    <w:rsid w:val="00936E41"/>
    <w:rsid w:val="0094324B"/>
    <w:rsid w:val="0094595C"/>
    <w:rsid w:val="00946C48"/>
    <w:rsid w:val="009517FB"/>
    <w:rsid w:val="00953530"/>
    <w:rsid w:val="00954036"/>
    <w:rsid w:val="0095535B"/>
    <w:rsid w:val="0095708E"/>
    <w:rsid w:val="0096003C"/>
    <w:rsid w:val="0096052D"/>
    <w:rsid w:val="0096575F"/>
    <w:rsid w:val="00965A55"/>
    <w:rsid w:val="00966EC8"/>
    <w:rsid w:val="00970D90"/>
    <w:rsid w:val="00972AFC"/>
    <w:rsid w:val="00972E2E"/>
    <w:rsid w:val="009756B4"/>
    <w:rsid w:val="00980C01"/>
    <w:rsid w:val="0098376D"/>
    <w:rsid w:val="00983DE0"/>
    <w:rsid w:val="00983FEE"/>
    <w:rsid w:val="0098607B"/>
    <w:rsid w:val="00986A99"/>
    <w:rsid w:val="00987450"/>
    <w:rsid w:val="00992DB4"/>
    <w:rsid w:val="009949CB"/>
    <w:rsid w:val="00996FD6"/>
    <w:rsid w:val="00997897"/>
    <w:rsid w:val="009A3E06"/>
    <w:rsid w:val="009A7C17"/>
    <w:rsid w:val="009B07F6"/>
    <w:rsid w:val="009B1865"/>
    <w:rsid w:val="009B19BC"/>
    <w:rsid w:val="009B19D1"/>
    <w:rsid w:val="009B1E05"/>
    <w:rsid w:val="009B7C71"/>
    <w:rsid w:val="009C076D"/>
    <w:rsid w:val="009C364F"/>
    <w:rsid w:val="009C484E"/>
    <w:rsid w:val="009C60F6"/>
    <w:rsid w:val="009D04E7"/>
    <w:rsid w:val="009D1F3E"/>
    <w:rsid w:val="009D2251"/>
    <w:rsid w:val="009D25CD"/>
    <w:rsid w:val="009D2B81"/>
    <w:rsid w:val="009D4B90"/>
    <w:rsid w:val="009D566A"/>
    <w:rsid w:val="009D6D06"/>
    <w:rsid w:val="009D794D"/>
    <w:rsid w:val="009D7EF0"/>
    <w:rsid w:val="009E1443"/>
    <w:rsid w:val="009E2745"/>
    <w:rsid w:val="009E3389"/>
    <w:rsid w:val="009E6CB3"/>
    <w:rsid w:val="009E7280"/>
    <w:rsid w:val="009F233E"/>
    <w:rsid w:val="009F38B5"/>
    <w:rsid w:val="009F3EB8"/>
    <w:rsid w:val="009F5C95"/>
    <w:rsid w:val="00A10220"/>
    <w:rsid w:val="00A10585"/>
    <w:rsid w:val="00A12E78"/>
    <w:rsid w:val="00A14956"/>
    <w:rsid w:val="00A213EC"/>
    <w:rsid w:val="00A222C0"/>
    <w:rsid w:val="00A23DD5"/>
    <w:rsid w:val="00A2417B"/>
    <w:rsid w:val="00A24E70"/>
    <w:rsid w:val="00A25816"/>
    <w:rsid w:val="00A26144"/>
    <w:rsid w:val="00A30816"/>
    <w:rsid w:val="00A31BA5"/>
    <w:rsid w:val="00A346BA"/>
    <w:rsid w:val="00A34D10"/>
    <w:rsid w:val="00A40BF7"/>
    <w:rsid w:val="00A436D3"/>
    <w:rsid w:val="00A44ED6"/>
    <w:rsid w:val="00A46C2D"/>
    <w:rsid w:val="00A4769F"/>
    <w:rsid w:val="00A47A21"/>
    <w:rsid w:val="00A51EAB"/>
    <w:rsid w:val="00A53F31"/>
    <w:rsid w:val="00A54332"/>
    <w:rsid w:val="00A54BB6"/>
    <w:rsid w:val="00A56351"/>
    <w:rsid w:val="00A563E8"/>
    <w:rsid w:val="00A56C8C"/>
    <w:rsid w:val="00A57650"/>
    <w:rsid w:val="00A5795D"/>
    <w:rsid w:val="00A57F2E"/>
    <w:rsid w:val="00A63101"/>
    <w:rsid w:val="00A64456"/>
    <w:rsid w:val="00A66A91"/>
    <w:rsid w:val="00A66F55"/>
    <w:rsid w:val="00A70797"/>
    <w:rsid w:val="00A7200D"/>
    <w:rsid w:val="00A754AA"/>
    <w:rsid w:val="00A7571E"/>
    <w:rsid w:val="00A766E6"/>
    <w:rsid w:val="00A80D6B"/>
    <w:rsid w:val="00A8271F"/>
    <w:rsid w:val="00A8754C"/>
    <w:rsid w:val="00A87EBA"/>
    <w:rsid w:val="00A90D13"/>
    <w:rsid w:val="00A92BDB"/>
    <w:rsid w:val="00A96E57"/>
    <w:rsid w:val="00A970BF"/>
    <w:rsid w:val="00AA0F0E"/>
    <w:rsid w:val="00AA1210"/>
    <w:rsid w:val="00AA275D"/>
    <w:rsid w:val="00AA2F25"/>
    <w:rsid w:val="00AA3FFD"/>
    <w:rsid w:val="00AA4BFC"/>
    <w:rsid w:val="00AA5706"/>
    <w:rsid w:val="00AA5FD6"/>
    <w:rsid w:val="00AB17AD"/>
    <w:rsid w:val="00AC16F9"/>
    <w:rsid w:val="00AC17E7"/>
    <w:rsid w:val="00AC5401"/>
    <w:rsid w:val="00AC735D"/>
    <w:rsid w:val="00AC7A22"/>
    <w:rsid w:val="00AD0655"/>
    <w:rsid w:val="00AD1A5E"/>
    <w:rsid w:val="00AD3086"/>
    <w:rsid w:val="00AD3C0F"/>
    <w:rsid w:val="00AD71D6"/>
    <w:rsid w:val="00AD7EB8"/>
    <w:rsid w:val="00AE0306"/>
    <w:rsid w:val="00AE0877"/>
    <w:rsid w:val="00AF102E"/>
    <w:rsid w:val="00AF1475"/>
    <w:rsid w:val="00AF5654"/>
    <w:rsid w:val="00AF5FD7"/>
    <w:rsid w:val="00B04B54"/>
    <w:rsid w:val="00B04D96"/>
    <w:rsid w:val="00B0590C"/>
    <w:rsid w:val="00B07020"/>
    <w:rsid w:val="00B07294"/>
    <w:rsid w:val="00B10371"/>
    <w:rsid w:val="00B103B2"/>
    <w:rsid w:val="00B106B4"/>
    <w:rsid w:val="00B10851"/>
    <w:rsid w:val="00B11E2F"/>
    <w:rsid w:val="00B12A8D"/>
    <w:rsid w:val="00B15CC1"/>
    <w:rsid w:val="00B1689F"/>
    <w:rsid w:val="00B171AE"/>
    <w:rsid w:val="00B176A7"/>
    <w:rsid w:val="00B17707"/>
    <w:rsid w:val="00B218D2"/>
    <w:rsid w:val="00B2431E"/>
    <w:rsid w:val="00B252A8"/>
    <w:rsid w:val="00B2691E"/>
    <w:rsid w:val="00B27E3B"/>
    <w:rsid w:val="00B32575"/>
    <w:rsid w:val="00B32EF1"/>
    <w:rsid w:val="00B332ED"/>
    <w:rsid w:val="00B342AB"/>
    <w:rsid w:val="00B37E80"/>
    <w:rsid w:val="00B41205"/>
    <w:rsid w:val="00B41622"/>
    <w:rsid w:val="00B41DB7"/>
    <w:rsid w:val="00B45FA7"/>
    <w:rsid w:val="00B47203"/>
    <w:rsid w:val="00B52416"/>
    <w:rsid w:val="00B5521E"/>
    <w:rsid w:val="00B60F2F"/>
    <w:rsid w:val="00B624CB"/>
    <w:rsid w:val="00B658F5"/>
    <w:rsid w:val="00B666F5"/>
    <w:rsid w:val="00B67C08"/>
    <w:rsid w:val="00B67C2B"/>
    <w:rsid w:val="00B72497"/>
    <w:rsid w:val="00B725BE"/>
    <w:rsid w:val="00B75D42"/>
    <w:rsid w:val="00B81080"/>
    <w:rsid w:val="00B84840"/>
    <w:rsid w:val="00B85C6D"/>
    <w:rsid w:val="00B87ECD"/>
    <w:rsid w:val="00B90291"/>
    <w:rsid w:val="00B903CA"/>
    <w:rsid w:val="00B92802"/>
    <w:rsid w:val="00B93A62"/>
    <w:rsid w:val="00B957AD"/>
    <w:rsid w:val="00B95F9D"/>
    <w:rsid w:val="00BA6D76"/>
    <w:rsid w:val="00BA7F34"/>
    <w:rsid w:val="00BB0369"/>
    <w:rsid w:val="00BB1F5F"/>
    <w:rsid w:val="00BB214C"/>
    <w:rsid w:val="00BB251D"/>
    <w:rsid w:val="00BB51F3"/>
    <w:rsid w:val="00BC0378"/>
    <w:rsid w:val="00BC3006"/>
    <w:rsid w:val="00BC48B5"/>
    <w:rsid w:val="00BC5DC8"/>
    <w:rsid w:val="00BC6EA2"/>
    <w:rsid w:val="00BD136D"/>
    <w:rsid w:val="00BD26DA"/>
    <w:rsid w:val="00BD2893"/>
    <w:rsid w:val="00BD48F6"/>
    <w:rsid w:val="00BD4DFF"/>
    <w:rsid w:val="00BD5FC1"/>
    <w:rsid w:val="00BD633C"/>
    <w:rsid w:val="00BE3F82"/>
    <w:rsid w:val="00BE619B"/>
    <w:rsid w:val="00BE7393"/>
    <w:rsid w:val="00BE77B6"/>
    <w:rsid w:val="00BF200A"/>
    <w:rsid w:val="00BF3055"/>
    <w:rsid w:val="00C05953"/>
    <w:rsid w:val="00C05A19"/>
    <w:rsid w:val="00C07751"/>
    <w:rsid w:val="00C10080"/>
    <w:rsid w:val="00C11901"/>
    <w:rsid w:val="00C11E86"/>
    <w:rsid w:val="00C13212"/>
    <w:rsid w:val="00C1491D"/>
    <w:rsid w:val="00C16E54"/>
    <w:rsid w:val="00C179B9"/>
    <w:rsid w:val="00C17B36"/>
    <w:rsid w:val="00C20F1F"/>
    <w:rsid w:val="00C245E5"/>
    <w:rsid w:val="00C3041B"/>
    <w:rsid w:val="00C30DF0"/>
    <w:rsid w:val="00C33766"/>
    <w:rsid w:val="00C4249E"/>
    <w:rsid w:val="00C42BF8"/>
    <w:rsid w:val="00C43C11"/>
    <w:rsid w:val="00C5188D"/>
    <w:rsid w:val="00C534C6"/>
    <w:rsid w:val="00C54B5F"/>
    <w:rsid w:val="00C615FE"/>
    <w:rsid w:val="00C6289D"/>
    <w:rsid w:val="00C631A9"/>
    <w:rsid w:val="00C70023"/>
    <w:rsid w:val="00C73AC0"/>
    <w:rsid w:val="00C74B51"/>
    <w:rsid w:val="00C76A84"/>
    <w:rsid w:val="00C81579"/>
    <w:rsid w:val="00C83148"/>
    <w:rsid w:val="00C835FA"/>
    <w:rsid w:val="00C84F2C"/>
    <w:rsid w:val="00C851D5"/>
    <w:rsid w:val="00C86DED"/>
    <w:rsid w:val="00C90BD0"/>
    <w:rsid w:val="00C91DF4"/>
    <w:rsid w:val="00C948C8"/>
    <w:rsid w:val="00C96387"/>
    <w:rsid w:val="00C96CB7"/>
    <w:rsid w:val="00C97CF3"/>
    <w:rsid w:val="00CA2A22"/>
    <w:rsid w:val="00CA2C02"/>
    <w:rsid w:val="00CA3CEB"/>
    <w:rsid w:val="00CA5265"/>
    <w:rsid w:val="00CA5979"/>
    <w:rsid w:val="00CA71DE"/>
    <w:rsid w:val="00CA73FD"/>
    <w:rsid w:val="00CB09BE"/>
    <w:rsid w:val="00CB25ED"/>
    <w:rsid w:val="00CC0F1F"/>
    <w:rsid w:val="00CC208C"/>
    <w:rsid w:val="00CC35B0"/>
    <w:rsid w:val="00CC37A9"/>
    <w:rsid w:val="00CC4C36"/>
    <w:rsid w:val="00CC5CE3"/>
    <w:rsid w:val="00CC67CC"/>
    <w:rsid w:val="00CC7C33"/>
    <w:rsid w:val="00CD0879"/>
    <w:rsid w:val="00CD088D"/>
    <w:rsid w:val="00CD1792"/>
    <w:rsid w:val="00CD20F4"/>
    <w:rsid w:val="00CD451B"/>
    <w:rsid w:val="00CD5BB9"/>
    <w:rsid w:val="00CD6C8C"/>
    <w:rsid w:val="00CE29AA"/>
    <w:rsid w:val="00CE6371"/>
    <w:rsid w:val="00CF1A1D"/>
    <w:rsid w:val="00CF269D"/>
    <w:rsid w:val="00CF6EE7"/>
    <w:rsid w:val="00CF7279"/>
    <w:rsid w:val="00D00DC8"/>
    <w:rsid w:val="00D02E64"/>
    <w:rsid w:val="00D038CD"/>
    <w:rsid w:val="00D039A1"/>
    <w:rsid w:val="00D039F1"/>
    <w:rsid w:val="00D03E2B"/>
    <w:rsid w:val="00D04873"/>
    <w:rsid w:val="00D1015D"/>
    <w:rsid w:val="00D10777"/>
    <w:rsid w:val="00D112C4"/>
    <w:rsid w:val="00D142A2"/>
    <w:rsid w:val="00D16849"/>
    <w:rsid w:val="00D21548"/>
    <w:rsid w:val="00D21DE8"/>
    <w:rsid w:val="00D220BF"/>
    <w:rsid w:val="00D26E1E"/>
    <w:rsid w:val="00D31DFD"/>
    <w:rsid w:val="00D321A3"/>
    <w:rsid w:val="00D33BE9"/>
    <w:rsid w:val="00D34A3F"/>
    <w:rsid w:val="00D400F8"/>
    <w:rsid w:val="00D41184"/>
    <w:rsid w:val="00D412AE"/>
    <w:rsid w:val="00D42D7C"/>
    <w:rsid w:val="00D44B73"/>
    <w:rsid w:val="00D467EC"/>
    <w:rsid w:val="00D531E5"/>
    <w:rsid w:val="00D54E33"/>
    <w:rsid w:val="00D554CA"/>
    <w:rsid w:val="00D563F5"/>
    <w:rsid w:val="00D60D61"/>
    <w:rsid w:val="00D619DA"/>
    <w:rsid w:val="00D61BD2"/>
    <w:rsid w:val="00D621A6"/>
    <w:rsid w:val="00D62FCB"/>
    <w:rsid w:val="00D6303F"/>
    <w:rsid w:val="00D63D0B"/>
    <w:rsid w:val="00D66761"/>
    <w:rsid w:val="00D70B23"/>
    <w:rsid w:val="00D778D9"/>
    <w:rsid w:val="00D80EC5"/>
    <w:rsid w:val="00D81275"/>
    <w:rsid w:val="00D81C5C"/>
    <w:rsid w:val="00D82B6D"/>
    <w:rsid w:val="00D831D8"/>
    <w:rsid w:val="00D83C69"/>
    <w:rsid w:val="00D84252"/>
    <w:rsid w:val="00D854A2"/>
    <w:rsid w:val="00D85EBA"/>
    <w:rsid w:val="00D8643A"/>
    <w:rsid w:val="00D8740A"/>
    <w:rsid w:val="00D90A8C"/>
    <w:rsid w:val="00D92135"/>
    <w:rsid w:val="00D93580"/>
    <w:rsid w:val="00D93A96"/>
    <w:rsid w:val="00D95F9D"/>
    <w:rsid w:val="00D96897"/>
    <w:rsid w:val="00DA3A8C"/>
    <w:rsid w:val="00DA6CB8"/>
    <w:rsid w:val="00DB2AD6"/>
    <w:rsid w:val="00DB2C78"/>
    <w:rsid w:val="00DB2FE4"/>
    <w:rsid w:val="00DB37D2"/>
    <w:rsid w:val="00DB5B3D"/>
    <w:rsid w:val="00DC03A8"/>
    <w:rsid w:val="00DC0696"/>
    <w:rsid w:val="00DC083F"/>
    <w:rsid w:val="00DC09CB"/>
    <w:rsid w:val="00DC0E4A"/>
    <w:rsid w:val="00DD1FAB"/>
    <w:rsid w:val="00DD2007"/>
    <w:rsid w:val="00DD29AB"/>
    <w:rsid w:val="00DD47D0"/>
    <w:rsid w:val="00DE0E46"/>
    <w:rsid w:val="00DE12C4"/>
    <w:rsid w:val="00DE2CDD"/>
    <w:rsid w:val="00DE319F"/>
    <w:rsid w:val="00DE61DD"/>
    <w:rsid w:val="00DE6F3C"/>
    <w:rsid w:val="00DF0160"/>
    <w:rsid w:val="00DF0B83"/>
    <w:rsid w:val="00DF54F0"/>
    <w:rsid w:val="00DF61A8"/>
    <w:rsid w:val="00DF61E8"/>
    <w:rsid w:val="00DF7357"/>
    <w:rsid w:val="00E01271"/>
    <w:rsid w:val="00E0212B"/>
    <w:rsid w:val="00E042EA"/>
    <w:rsid w:val="00E06039"/>
    <w:rsid w:val="00E079A1"/>
    <w:rsid w:val="00E11F4F"/>
    <w:rsid w:val="00E168F2"/>
    <w:rsid w:val="00E200FB"/>
    <w:rsid w:val="00E223D0"/>
    <w:rsid w:val="00E22DB9"/>
    <w:rsid w:val="00E2557E"/>
    <w:rsid w:val="00E25D88"/>
    <w:rsid w:val="00E268EC"/>
    <w:rsid w:val="00E274CB"/>
    <w:rsid w:val="00E30BDA"/>
    <w:rsid w:val="00E30D04"/>
    <w:rsid w:val="00E32664"/>
    <w:rsid w:val="00E340B6"/>
    <w:rsid w:val="00E355CC"/>
    <w:rsid w:val="00E36636"/>
    <w:rsid w:val="00E40379"/>
    <w:rsid w:val="00E40427"/>
    <w:rsid w:val="00E4262D"/>
    <w:rsid w:val="00E42742"/>
    <w:rsid w:val="00E4276B"/>
    <w:rsid w:val="00E4454A"/>
    <w:rsid w:val="00E45DCF"/>
    <w:rsid w:val="00E51775"/>
    <w:rsid w:val="00E52208"/>
    <w:rsid w:val="00E52655"/>
    <w:rsid w:val="00E528AC"/>
    <w:rsid w:val="00E5431A"/>
    <w:rsid w:val="00E579BD"/>
    <w:rsid w:val="00E6053C"/>
    <w:rsid w:val="00E60A09"/>
    <w:rsid w:val="00E6107B"/>
    <w:rsid w:val="00E651D2"/>
    <w:rsid w:val="00E651F0"/>
    <w:rsid w:val="00E65D1F"/>
    <w:rsid w:val="00E70C69"/>
    <w:rsid w:val="00E70E01"/>
    <w:rsid w:val="00E727BA"/>
    <w:rsid w:val="00E73EA1"/>
    <w:rsid w:val="00E74C0D"/>
    <w:rsid w:val="00E766DD"/>
    <w:rsid w:val="00E82517"/>
    <w:rsid w:val="00E87BAC"/>
    <w:rsid w:val="00E90074"/>
    <w:rsid w:val="00E91E2C"/>
    <w:rsid w:val="00E92787"/>
    <w:rsid w:val="00E93DCF"/>
    <w:rsid w:val="00E94628"/>
    <w:rsid w:val="00E953C0"/>
    <w:rsid w:val="00E9558D"/>
    <w:rsid w:val="00EA27DD"/>
    <w:rsid w:val="00EA2897"/>
    <w:rsid w:val="00EA2CCF"/>
    <w:rsid w:val="00EA5509"/>
    <w:rsid w:val="00EA5629"/>
    <w:rsid w:val="00EA6AB2"/>
    <w:rsid w:val="00EB07B4"/>
    <w:rsid w:val="00EB088E"/>
    <w:rsid w:val="00EB1092"/>
    <w:rsid w:val="00EB1B92"/>
    <w:rsid w:val="00EB266B"/>
    <w:rsid w:val="00EB3799"/>
    <w:rsid w:val="00EB4C73"/>
    <w:rsid w:val="00EB5159"/>
    <w:rsid w:val="00EB53DD"/>
    <w:rsid w:val="00EC1E57"/>
    <w:rsid w:val="00EC225A"/>
    <w:rsid w:val="00EC3D77"/>
    <w:rsid w:val="00EC551C"/>
    <w:rsid w:val="00EC609A"/>
    <w:rsid w:val="00ED0D7D"/>
    <w:rsid w:val="00ED1218"/>
    <w:rsid w:val="00ED36FE"/>
    <w:rsid w:val="00ED4D9F"/>
    <w:rsid w:val="00ED63F0"/>
    <w:rsid w:val="00ED7049"/>
    <w:rsid w:val="00ED79FA"/>
    <w:rsid w:val="00EE39CA"/>
    <w:rsid w:val="00EE4B68"/>
    <w:rsid w:val="00EF01A8"/>
    <w:rsid w:val="00EF05D5"/>
    <w:rsid w:val="00EF1BEF"/>
    <w:rsid w:val="00EF3625"/>
    <w:rsid w:val="00EF38E0"/>
    <w:rsid w:val="00EF4D78"/>
    <w:rsid w:val="00F0159E"/>
    <w:rsid w:val="00F03626"/>
    <w:rsid w:val="00F07597"/>
    <w:rsid w:val="00F1252D"/>
    <w:rsid w:val="00F142CA"/>
    <w:rsid w:val="00F20890"/>
    <w:rsid w:val="00F22EBC"/>
    <w:rsid w:val="00F255F1"/>
    <w:rsid w:val="00F260AE"/>
    <w:rsid w:val="00F32267"/>
    <w:rsid w:val="00F33CA1"/>
    <w:rsid w:val="00F33E44"/>
    <w:rsid w:val="00F40CF4"/>
    <w:rsid w:val="00F419CF"/>
    <w:rsid w:val="00F436DB"/>
    <w:rsid w:val="00F475D8"/>
    <w:rsid w:val="00F47905"/>
    <w:rsid w:val="00F55ED0"/>
    <w:rsid w:val="00F6096B"/>
    <w:rsid w:val="00F62210"/>
    <w:rsid w:val="00F6448E"/>
    <w:rsid w:val="00F65F66"/>
    <w:rsid w:val="00F66777"/>
    <w:rsid w:val="00F67AD4"/>
    <w:rsid w:val="00F719C5"/>
    <w:rsid w:val="00F71FE7"/>
    <w:rsid w:val="00F723BF"/>
    <w:rsid w:val="00F74A5A"/>
    <w:rsid w:val="00F74D96"/>
    <w:rsid w:val="00F75C32"/>
    <w:rsid w:val="00F80042"/>
    <w:rsid w:val="00F80899"/>
    <w:rsid w:val="00F81D81"/>
    <w:rsid w:val="00F82CBA"/>
    <w:rsid w:val="00F83908"/>
    <w:rsid w:val="00F8524F"/>
    <w:rsid w:val="00F85654"/>
    <w:rsid w:val="00F85CEE"/>
    <w:rsid w:val="00F86BD2"/>
    <w:rsid w:val="00F903D6"/>
    <w:rsid w:val="00F92DA5"/>
    <w:rsid w:val="00F94A3F"/>
    <w:rsid w:val="00F9748F"/>
    <w:rsid w:val="00FA0713"/>
    <w:rsid w:val="00FA094D"/>
    <w:rsid w:val="00FA5117"/>
    <w:rsid w:val="00FA56F1"/>
    <w:rsid w:val="00FA5972"/>
    <w:rsid w:val="00FA7B36"/>
    <w:rsid w:val="00FB2E12"/>
    <w:rsid w:val="00FB363A"/>
    <w:rsid w:val="00FB454F"/>
    <w:rsid w:val="00FB4A00"/>
    <w:rsid w:val="00FB552A"/>
    <w:rsid w:val="00FB5FFA"/>
    <w:rsid w:val="00FB6B73"/>
    <w:rsid w:val="00FB7B7B"/>
    <w:rsid w:val="00FC4725"/>
    <w:rsid w:val="00FC5B8F"/>
    <w:rsid w:val="00FC63B0"/>
    <w:rsid w:val="00FC63E0"/>
    <w:rsid w:val="00FC67E3"/>
    <w:rsid w:val="00FC6B57"/>
    <w:rsid w:val="00FC718F"/>
    <w:rsid w:val="00FD099B"/>
    <w:rsid w:val="00FD2508"/>
    <w:rsid w:val="00FD2848"/>
    <w:rsid w:val="00FD2AC8"/>
    <w:rsid w:val="00FD32FA"/>
    <w:rsid w:val="00FD5BF7"/>
    <w:rsid w:val="00FD7F52"/>
    <w:rsid w:val="00FE06EE"/>
    <w:rsid w:val="00FE49CF"/>
    <w:rsid w:val="00FE5BC8"/>
    <w:rsid w:val="00FE64A7"/>
    <w:rsid w:val="00FE6671"/>
    <w:rsid w:val="00FE774E"/>
    <w:rsid w:val="00FE7DEC"/>
    <w:rsid w:val="00FF020D"/>
    <w:rsid w:val="00FF40EF"/>
    <w:rsid w:val="00FF4A20"/>
    <w:rsid w:val="00FF57C8"/>
    <w:rsid w:val="00FF5A76"/>
    <w:rsid w:val="01052FDE"/>
    <w:rsid w:val="01479717"/>
    <w:rsid w:val="016EDDB5"/>
    <w:rsid w:val="0192DC62"/>
    <w:rsid w:val="01D96043"/>
    <w:rsid w:val="0211C11F"/>
    <w:rsid w:val="021B0E70"/>
    <w:rsid w:val="023F3C69"/>
    <w:rsid w:val="027E8A91"/>
    <w:rsid w:val="02C77775"/>
    <w:rsid w:val="036B2F44"/>
    <w:rsid w:val="0385F0D3"/>
    <w:rsid w:val="03C145B5"/>
    <w:rsid w:val="03DFAE6E"/>
    <w:rsid w:val="03F2BA45"/>
    <w:rsid w:val="040727DD"/>
    <w:rsid w:val="051048F4"/>
    <w:rsid w:val="0517A89F"/>
    <w:rsid w:val="052F64A3"/>
    <w:rsid w:val="055F577D"/>
    <w:rsid w:val="05709CEC"/>
    <w:rsid w:val="059F93A7"/>
    <w:rsid w:val="05D28576"/>
    <w:rsid w:val="06108AFE"/>
    <w:rsid w:val="06B9FA2D"/>
    <w:rsid w:val="06D5EFA9"/>
    <w:rsid w:val="06F93A38"/>
    <w:rsid w:val="06FEBE4B"/>
    <w:rsid w:val="07837E6E"/>
    <w:rsid w:val="0792F694"/>
    <w:rsid w:val="07A93431"/>
    <w:rsid w:val="07F4E9B6"/>
    <w:rsid w:val="0891A602"/>
    <w:rsid w:val="08A8A255"/>
    <w:rsid w:val="08AE2763"/>
    <w:rsid w:val="08CB5667"/>
    <w:rsid w:val="09039A73"/>
    <w:rsid w:val="096A1589"/>
    <w:rsid w:val="097A7155"/>
    <w:rsid w:val="09973B44"/>
    <w:rsid w:val="09AF01E0"/>
    <w:rsid w:val="0A284B64"/>
    <w:rsid w:val="0A87FE47"/>
    <w:rsid w:val="0A9E6EB5"/>
    <w:rsid w:val="0AAD4BAC"/>
    <w:rsid w:val="0AC6A3B1"/>
    <w:rsid w:val="0AC77028"/>
    <w:rsid w:val="0AC9CD0D"/>
    <w:rsid w:val="0B5CE1F9"/>
    <w:rsid w:val="0B70AC86"/>
    <w:rsid w:val="0BB6A500"/>
    <w:rsid w:val="0BC6E8E4"/>
    <w:rsid w:val="0BD524C6"/>
    <w:rsid w:val="0C589177"/>
    <w:rsid w:val="0C894D9F"/>
    <w:rsid w:val="0CB61850"/>
    <w:rsid w:val="0CE9642E"/>
    <w:rsid w:val="0D015D9B"/>
    <w:rsid w:val="0D49278D"/>
    <w:rsid w:val="0D4A836A"/>
    <w:rsid w:val="0D804258"/>
    <w:rsid w:val="0DF0CA70"/>
    <w:rsid w:val="0DF8C28E"/>
    <w:rsid w:val="0E77F5C7"/>
    <w:rsid w:val="0E7D7AD5"/>
    <w:rsid w:val="0E85BB4B"/>
    <w:rsid w:val="0EA4F349"/>
    <w:rsid w:val="0EAA7857"/>
    <w:rsid w:val="0EB5C761"/>
    <w:rsid w:val="0EBCB9E5"/>
    <w:rsid w:val="0EFD28E0"/>
    <w:rsid w:val="0F213225"/>
    <w:rsid w:val="0F370084"/>
    <w:rsid w:val="0F439F50"/>
    <w:rsid w:val="0F63668D"/>
    <w:rsid w:val="0F74291F"/>
    <w:rsid w:val="0F935967"/>
    <w:rsid w:val="0FC42027"/>
    <w:rsid w:val="0FCECC88"/>
    <w:rsid w:val="0FF36FF6"/>
    <w:rsid w:val="101FAEC2"/>
    <w:rsid w:val="10299486"/>
    <w:rsid w:val="107254B3"/>
    <w:rsid w:val="109690C9"/>
    <w:rsid w:val="1128068B"/>
    <w:rsid w:val="112E2DA9"/>
    <w:rsid w:val="115536DE"/>
    <w:rsid w:val="119FE407"/>
    <w:rsid w:val="11B31BA3"/>
    <w:rsid w:val="12430489"/>
    <w:rsid w:val="1245F9E1"/>
    <w:rsid w:val="124C2B97"/>
    <w:rsid w:val="12856BC2"/>
    <w:rsid w:val="12D6B340"/>
    <w:rsid w:val="1343DF06"/>
    <w:rsid w:val="1349D353"/>
    <w:rsid w:val="1358E31B"/>
    <w:rsid w:val="1373D1E0"/>
    <w:rsid w:val="13932060"/>
    <w:rsid w:val="13A56CF2"/>
    <w:rsid w:val="13EC14AD"/>
    <w:rsid w:val="1400273B"/>
    <w:rsid w:val="141E47C6"/>
    <w:rsid w:val="147ECE8F"/>
    <w:rsid w:val="14D50055"/>
    <w:rsid w:val="14EB4915"/>
    <w:rsid w:val="1532B9FF"/>
    <w:rsid w:val="154AB36C"/>
    <w:rsid w:val="15777E1D"/>
    <w:rsid w:val="1599F4C6"/>
    <w:rsid w:val="15B26EAC"/>
    <w:rsid w:val="15F67F80"/>
    <w:rsid w:val="1635F161"/>
    <w:rsid w:val="163BE5AE"/>
    <w:rsid w:val="1665E43B"/>
    <w:rsid w:val="166873F1"/>
    <w:rsid w:val="16CA5C7B"/>
    <w:rsid w:val="170A65D4"/>
    <w:rsid w:val="170EEDC8"/>
    <w:rsid w:val="1743A5FF"/>
    <w:rsid w:val="1745F9D3"/>
    <w:rsid w:val="1770E0EA"/>
    <w:rsid w:val="179C9A4C"/>
    <w:rsid w:val="1805642B"/>
    <w:rsid w:val="180F9574"/>
    <w:rsid w:val="180FFB16"/>
    <w:rsid w:val="18E60225"/>
    <w:rsid w:val="18EEC391"/>
    <w:rsid w:val="1964B983"/>
    <w:rsid w:val="19BD758D"/>
    <w:rsid w:val="1A12AB34"/>
    <w:rsid w:val="1A30FD95"/>
    <w:rsid w:val="1A35B85A"/>
    <w:rsid w:val="1AB9250B"/>
    <w:rsid w:val="1ACF590B"/>
    <w:rsid w:val="1AE9E133"/>
    <w:rsid w:val="1B792BE6"/>
    <w:rsid w:val="1C68838B"/>
    <w:rsid w:val="1C9CAEE2"/>
    <w:rsid w:val="1CAE8131"/>
    <w:rsid w:val="1CF63AA7"/>
    <w:rsid w:val="1D04BD8F"/>
    <w:rsid w:val="1D12F971"/>
    <w:rsid w:val="1DC16B66"/>
    <w:rsid w:val="1DC6EF79"/>
    <w:rsid w:val="1DCAEB88"/>
    <w:rsid w:val="1DDEE8E6"/>
    <w:rsid w:val="1DE96622"/>
    <w:rsid w:val="1DF3ECFB"/>
    <w:rsid w:val="1E332D06"/>
    <w:rsid w:val="1EABC71B"/>
    <w:rsid w:val="1EB7E54D"/>
    <w:rsid w:val="1EBE1703"/>
    <w:rsid w:val="1F2B4617"/>
    <w:rsid w:val="1F5A95E6"/>
    <w:rsid w:val="1F71D09D"/>
    <w:rsid w:val="1FA0938C"/>
    <w:rsid w:val="1FE1FEA6"/>
    <w:rsid w:val="1FE3A536"/>
    <w:rsid w:val="1FED4FC8"/>
    <w:rsid w:val="20474034"/>
    <w:rsid w:val="207CDD91"/>
    <w:rsid w:val="2097EDE7"/>
    <w:rsid w:val="2098966F"/>
    <w:rsid w:val="20DB787D"/>
    <w:rsid w:val="21669FE3"/>
    <w:rsid w:val="21BBD58A"/>
    <w:rsid w:val="21C223E6"/>
    <w:rsid w:val="21CEE161"/>
    <w:rsid w:val="220BE032"/>
    <w:rsid w:val="226C0254"/>
    <w:rsid w:val="227B121C"/>
    <w:rsid w:val="228F1A12"/>
    <w:rsid w:val="22BFD63A"/>
    <w:rsid w:val="23092E5E"/>
    <w:rsid w:val="230B1B85"/>
    <w:rsid w:val="2334941C"/>
    <w:rsid w:val="2360992D"/>
    <w:rsid w:val="237E497E"/>
    <w:rsid w:val="23C98EC9"/>
    <w:rsid w:val="24028078"/>
    <w:rsid w:val="242785DC"/>
    <w:rsid w:val="2452BDF1"/>
    <w:rsid w:val="24C0F3BC"/>
    <w:rsid w:val="24CCF8FC"/>
    <w:rsid w:val="26328922"/>
    <w:rsid w:val="263DDA44"/>
    <w:rsid w:val="263ED663"/>
    <w:rsid w:val="26D806DA"/>
    <w:rsid w:val="2737EB93"/>
    <w:rsid w:val="27593DE4"/>
    <w:rsid w:val="275E7E81"/>
    <w:rsid w:val="27967A1E"/>
    <w:rsid w:val="27F55725"/>
    <w:rsid w:val="2836D6AF"/>
    <w:rsid w:val="28817AAA"/>
    <w:rsid w:val="28CE69B7"/>
    <w:rsid w:val="28F36F1B"/>
    <w:rsid w:val="2922FC53"/>
    <w:rsid w:val="29249B7D"/>
    <w:rsid w:val="29639E1F"/>
    <w:rsid w:val="29B88A62"/>
    <w:rsid w:val="29E506FF"/>
    <w:rsid w:val="2A266686"/>
    <w:rsid w:val="2A4B503F"/>
    <w:rsid w:val="2AC9171F"/>
    <w:rsid w:val="2ADFE29F"/>
    <w:rsid w:val="2B41FCF7"/>
    <w:rsid w:val="2B46FFBD"/>
    <w:rsid w:val="2B9EC51A"/>
    <w:rsid w:val="2BE3BC09"/>
    <w:rsid w:val="2BF18FC6"/>
    <w:rsid w:val="2C003D6A"/>
    <w:rsid w:val="2CD41A65"/>
    <w:rsid w:val="2D125D56"/>
    <w:rsid w:val="2D164ECD"/>
    <w:rsid w:val="2D3D629A"/>
    <w:rsid w:val="2DDA144E"/>
    <w:rsid w:val="2E20F6AE"/>
    <w:rsid w:val="2EC2C28D"/>
    <w:rsid w:val="2F08C033"/>
    <w:rsid w:val="2F1F4D47"/>
    <w:rsid w:val="2F312B29"/>
    <w:rsid w:val="2F5475B8"/>
    <w:rsid w:val="2FD7722F"/>
    <w:rsid w:val="2FF5B9F8"/>
    <w:rsid w:val="3026A73B"/>
    <w:rsid w:val="302F74F5"/>
    <w:rsid w:val="309C9971"/>
    <w:rsid w:val="30C811BB"/>
    <w:rsid w:val="30CC26A9"/>
    <w:rsid w:val="30D2585F"/>
    <w:rsid w:val="317FA65A"/>
    <w:rsid w:val="3182E9D0"/>
    <w:rsid w:val="31B507B9"/>
    <w:rsid w:val="31CF90DC"/>
    <w:rsid w:val="31F70950"/>
    <w:rsid w:val="31F9FEA8"/>
    <w:rsid w:val="322EB840"/>
    <w:rsid w:val="32A66CCC"/>
    <w:rsid w:val="32CD7601"/>
    <w:rsid w:val="3314C9D5"/>
    <w:rsid w:val="33CAE01C"/>
    <w:rsid w:val="33E8A6D0"/>
    <w:rsid w:val="33FDAAE5"/>
    <w:rsid w:val="34931CB6"/>
    <w:rsid w:val="34A71A14"/>
    <w:rsid w:val="34BB87AC"/>
    <w:rsid w:val="34C1A337"/>
    <w:rsid w:val="34D21F58"/>
    <w:rsid w:val="35518FFA"/>
    <w:rsid w:val="35951A90"/>
    <w:rsid w:val="35980FE8"/>
    <w:rsid w:val="35B9D178"/>
    <w:rsid w:val="363EBC90"/>
    <w:rsid w:val="369627DE"/>
    <w:rsid w:val="36DE635B"/>
    <w:rsid w:val="36EF26C3"/>
    <w:rsid w:val="373E2AB4"/>
    <w:rsid w:val="37705DCD"/>
    <w:rsid w:val="3784285A"/>
    <w:rsid w:val="37C431B3"/>
    <w:rsid w:val="37D0E496"/>
    <w:rsid w:val="37E0B314"/>
    <w:rsid w:val="389CC973"/>
    <w:rsid w:val="38B3E030"/>
    <w:rsid w:val="38C99424"/>
    <w:rsid w:val="38EC0ACD"/>
    <w:rsid w:val="392C1426"/>
    <w:rsid w:val="3930CEEB"/>
    <w:rsid w:val="39489587"/>
    <w:rsid w:val="396A5717"/>
    <w:rsid w:val="39880768"/>
    <w:rsid w:val="39A5BDE9"/>
    <w:rsid w:val="39B7FA42"/>
    <w:rsid w:val="3A0C3E62"/>
    <w:rsid w:val="3A1C7282"/>
    <w:rsid w:val="3A9DFF81"/>
    <w:rsid w:val="3B386818"/>
    <w:rsid w:val="3B62111D"/>
    <w:rsid w:val="3B8924EA"/>
    <w:rsid w:val="3BAD2397"/>
    <w:rsid w:val="3C3AA7E2"/>
    <w:rsid w:val="3C3ADAB3"/>
    <w:rsid w:val="3C40D998"/>
    <w:rsid w:val="3CB489D9"/>
    <w:rsid w:val="3CFAF6BB"/>
    <w:rsid w:val="3D0F8B94"/>
    <w:rsid w:val="3D37F68A"/>
    <w:rsid w:val="3D3B825F"/>
    <w:rsid w:val="3D41A97D"/>
    <w:rsid w:val="3D62FBCE"/>
    <w:rsid w:val="3D687FE1"/>
    <w:rsid w:val="3D87CE61"/>
    <w:rsid w:val="3D91BEBD"/>
    <w:rsid w:val="3DF7FD65"/>
    <w:rsid w:val="3E11896E"/>
    <w:rsid w:val="3E216F12"/>
    <w:rsid w:val="3E226B31"/>
    <w:rsid w:val="3E4513B0"/>
    <w:rsid w:val="3E542378"/>
    <w:rsid w:val="3E5EAB4C"/>
    <w:rsid w:val="3E6C1CE5"/>
    <w:rsid w:val="3E6E79CA"/>
    <w:rsid w:val="3E8B3894"/>
    <w:rsid w:val="3ECB41ED"/>
    <w:rsid w:val="3ED55D72"/>
    <w:rsid w:val="3ED827A1"/>
    <w:rsid w:val="3F1E1AAF"/>
    <w:rsid w:val="3F31EFD4"/>
    <w:rsid w:val="3F572809"/>
    <w:rsid w:val="3FA9CDFA"/>
    <w:rsid w:val="3FEEC4E9"/>
    <w:rsid w:val="4015CE1E"/>
    <w:rsid w:val="402A08E5"/>
    <w:rsid w:val="40302470"/>
    <w:rsid w:val="4113816D"/>
    <w:rsid w:val="4130FEED"/>
    <w:rsid w:val="41379B78"/>
    <w:rsid w:val="41AD3DC9"/>
    <w:rsid w:val="41EB9E13"/>
    <w:rsid w:val="42047646"/>
    <w:rsid w:val="4209FB54"/>
    <w:rsid w:val="433414AD"/>
    <w:rsid w:val="43841F55"/>
    <w:rsid w:val="43EA03EE"/>
    <w:rsid w:val="43F17D15"/>
    <w:rsid w:val="43F3513F"/>
    <w:rsid w:val="4425A0FE"/>
    <w:rsid w:val="445A8C06"/>
    <w:rsid w:val="449F5024"/>
    <w:rsid w:val="44B8B5EA"/>
    <w:rsid w:val="44F6BB72"/>
    <w:rsid w:val="450DEB91"/>
    <w:rsid w:val="451439ED"/>
    <w:rsid w:val="45290B31"/>
    <w:rsid w:val="454FBA57"/>
    <w:rsid w:val="458AF3BB"/>
    <w:rsid w:val="45E52190"/>
    <w:rsid w:val="468BC48C"/>
    <w:rsid w:val="469DDDF0"/>
    <w:rsid w:val="469EDA0F"/>
    <w:rsid w:val="46A6575B"/>
    <w:rsid w:val="46BC62D4"/>
    <w:rsid w:val="46E996BA"/>
    <w:rsid w:val="4700525F"/>
    <w:rsid w:val="4702E215"/>
    <w:rsid w:val="47231A28"/>
    <w:rsid w:val="4754967F"/>
    <w:rsid w:val="478CA7BA"/>
    <w:rsid w:val="47B250D5"/>
    <w:rsid w:val="4803BC92"/>
    <w:rsid w:val="481309C3"/>
    <w:rsid w:val="4863473C"/>
    <w:rsid w:val="487D0616"/>
    <w:rsid w:val="48BD0F6F"/>
    <w:rsid w:val="48DCB8F9"/>
    <w:rsid w:val="494F43E7"/>
    <w:rsid w:val="4A0DB72B"/>
    <w:rsid w:val="4A6E50C1"/>
    <w:rsid w:val="4A83DA7C"/>
    <w:rsid w:val="4AB10ACF"/>
    <w:rsid w:val="4AD80EBA"/>
    <w:rsid w:val="4B151D6D"/>
    <w:rsid w:val="4B4B0F2C"/>
    <w:rsid w:val="4B844F57"/>
    <w:rsid w:val="4BA1CDD2"/>
    <w:rsid w:val="4BA7FF88"/>
    <w:rsid w:val="4BC9965C"/>
    <w:rsid w:val="4C14C8FA"/>
    <w:rsid w:val="4C604116"/>
    <w:rsid w:val="4C75125A"/>
    <w:rsid w:val="4C76B184"/>
    <w:rsid w:val="4C8202A6"/>
    <w:rsid w:val="4C82FEC5"/>
    <w:rsid w:val="4CB4B70C"/>
    <w:rsid w:val="4CCCB079"/>
    <w:rsid w:val="4CCFA5D1"/>
    <w:rsid w:val="4CEEF451"/>
    <w:rsid w:val="4D68619E"/>
    <w:rsid w:val="4D6BDF29"/>
    <w:rsid w:val="4D7A1BB7"/>
    <w:rsid w:val="4D9D6646"/>
    <w:rsid w:val="4DEA70FE"/>
    <w:rsid w:val="4E1B2D26"/>
    <w:rsid w:val="4E7F7E28"/>
    <w:rsid w:val="4E9412FE"/>
    <w:rsid w:val="4EA45C4E"/>
    <w:rsid w:val="4EA6875D"/>
    <w:rsid w:val="4F35D210"/>
    <w:rsid w:val="4F4FC3BB"/>
    <w:rsid w:val="4F525371"/>
    <w:rsid w:val="4FA3C01D"/>
    <w:rsid w:val="4FC1B82C"/>
    <w:rsid w:val="4FC447E2"/>
    <w:rsid w:val="5026306C"/>
    <w:rsid w:val="51315FEC"/>
    <w:rsid w:val="519866E7"/>
    <w:rsid w:val="51C56C7C"/>
    <w:rsid w:val="523F138F"/>
    <w:rsid w:val="524A9782"/>
    <w:rsid w:val="52570CFC"/>
    <w:rsid w:val="525AD63A"/>
    <w:rsid w:val="5277AE36"/>
    <w:rsid w:val="52A68BBF"/>
    <w:rsid w:val="5319497E"/>
    <w:rsid w:val="532D79AD"/>
    <w:rsid w:val="535A772F"/>
    <w:rsid w:val="5382871B"/>
    <w:rsid w:val="541E3CB0"/>
    <w:rsid w:val="54BEBB7F"/>
    <w:rsid w:val="54D4FFD7"/>
    <w:rsid w:val="54FE7184"/>
    <w:rsid w:val="54FF6DA3"/>
    <w:rsid w:val="55322304"/>
    <w:rsid w:val="554C14AF"/>
    <w:rsid w:val="5560E5F3"/>
    <w:rsid w:val="55C668A2"/>
    <w:rsid w:val="55E7B790"/>
    <w:rsid w:val="5657115E"/>
    <w:rsid w:val="56609180"/>
    <w:rsid w:val="5666DFDC"/>
    <w:rsid w:val="56B005AB"/>
    <w:rsid w:val="573ABCD7"/>
    <w:rsid w:val="574FC0EC"/>
    <w:rsid w:val="5763FBB3"/>
    <w:rsid w:val="57666420"/>
    <w:rsid w:val="578F00F7"/>
    <w:rsid w:val="58113420"/>
    <w:rsid w:val="5824355F"/>
    <w:rsid w:val="583E270A"/>
    <w:rsid w:val="58E73097"/>
    <w:rsid w:val="58F057A5"/>
    <w:rsid w:val="595B2F3B"/>
    <w:rsid w:val="59ADCECA"/>
    <w:rsid w:val="59CA5AC3"/>
    <w:rsid w:val="59E80B14"/>
    <w:rsid w:val="59F3C1D8"/>
    <w:rsid w:val="5A374C6E"/>
    <w:rsid w:val="5A7F7523"/>
    <w:rsid w:val="5A811352"/>
    <w:rsid w:val="5AA97E48"/>
    <w:rsid w:val="5ABE44F4"/>
    <w:rsid w:val="5AC273D4"/>
    <w:rsid w:val="5AEB7547"/>
    <w:rsid w:val="5B17A97B"/>
    <w:rsid w:val="5B1DF7D7"/>
    <w:rsid w:val="5B22FA9D"/>
    <w:rsid w:val="5B303965"/>
    <w:rsid w:val="5B32C91B"/>
    <w:rsid w:val="5BE92896"/>
    <w:rsid w:val="5BEEDF7A"/>
    <w:rsid w:val="5BFDF9DA"/>
    <w:rsid w:val="5C3E20D4"/>
    <w:rsid w:val="5C82E4F2"/>
    <w:rsid w:val="5C9603A9"/>
    <w:rsid w:val="5CDA5040"/>
    <w:rsid w:val="5D0A1049"/>
    <w:rsid w:val="5D3CB4F5"/>
    <w:rsid w:val="5D5E5469"/>
    <w:rsid w:val="5DF5810F"/>
    <w:rsid w:val="5E150CF8"/>
    <w:rsid w:val="5EB9E8A0"/>
    <w:rsid w:val="5EC8F868"/>
    <w:rsid w:val="5EE77D9A"/>
    <w:rsid w:val="5EED2DC3"/>
    <w:rsid w:val="5F2C7489"/>
    <w:rsid w:val="5F382B4D"/>
    <w:rsid w:val="5F8CBDE9"/>
    <w:rsid w:val="60177515"/>
    <w:rsid w:val="60609AE4"/>
    <w:rsid w:val="6061A19B"/>
    <w:rsid w:val="60A0A43D"/>
    <w:rsid w:val="60B511D5"/>
    <w:rsid w:val="60BA95E8"/>
    <w:rsid w:val="61071F53"/>
    <w:rsid w:val="6132D8B5"/>
    <w:rsid w:val="618E0D41"/>
    <w:rsid w:val="619729B7"/>
    <w:rsid w:val="61B0C153"/>
    <w:rsid w:val="61C08FD1"/>
    <w:rsid w:val="61C59297"/>
    <w:rsid w:val="61DD4E9B"/>
    <w:rsid w:val="620D4175"/>
    <w:rsid w:val="621E86E4"/>
    <w:rsid w:val="624D7D9F"/>
    <w:rsid w:val="627ED044"/>
    <w:rsid w:val="62C17C51"/>
    <w:rsid w:val="62F8B23B"/>
    <w:rsid w:val="637C1EEC"/>
    <w:rsid w:val="63823A77"/>
    <w:rsid w:val="6392B698"/>
    <w:rsid w:val="63B7257F"/>
    <w:rsid w:val="63CB22DD"/>
    <w:rsid w:val="63E52F61"/>
    <w:rsid w:val="6420A085"/>
    <w:rsid w:val="64571E29"/>
    <w:rsid w:val="64659774"/>
    <w:rsid w:val="648314F4"/>
    <w:rsid w:val="64893C12"/>
    <w:rsid w:val="64984BDA"/>
    <w:rsid w:val="64A2D3AE"/>
    <w:rsid w:val="64FF53D0"/>
    <w:rsid w:val="65711570"/>
    <w:rsid w:val="659D37BD"/>
    <w:rsid w:val="65BDF9E5"/>
    <w:rsid w:val="6617FF81"/>
    <w:rsid w:val="66862AB4"/>
    <w:rsid w:val="66FEDDBB"/>
    <w:rsid w:val="6777B705"/>
    <w:rsid w:val="6848D179"/>
    <w:rsid w:val="68600198"/>
    <w:rsid w:val="6874D2DC"/>
    <w:rsid w:val="68830EBE"/>
    <w:rsid w:val="68CBE226"/>
    <w:rsid w:val="68DE0FB1"/>
    <w:rsid w:val="69373797"/>
    <w:rsid w:val="69640248"/>
    <w:rsid w:val="697BFBB5"/>
    <w:rsid w:val="69974E26"/>
    <w:rsid w:val="69F86D62"/>
    <w:rsid w:val="6A22758C"/>
    <w:rsid w:val="6A4F730E"/>
    <w:rsid w:val="6A9EB468"/>
    <w:rsid w:val="6AA6AC86"/>
    <w:rsid w:val="6ADEBDC1"/>
    <w:rsid w:val="6B0E8CD9"/>
    <w:rsid w:val="6B25DFBF"/>
    <w:rsid w:val="6B2B64CD"/>
    <w:rsid w:val="6BB53E25"/>
    <w:rsid w:val="6BB55D43"/>
    <w:rsid w:val="6BCF1C1D"/>
    <w:rsid w:val="6BF88DCA"/>
    <w:rsid w:val="6BFC199F"/>
    <w:rsid w:val="6C0240BD"/>
    <w:rsid w:val="6C0F2576"/>
    <w:rsid w:val="6C115085"/>
    <w:rsid w:val="6C23930E"/>
    <w:rsid w:val="6C2ECF00"/>
    <w:rsid w:val="6CC2DB8F"/>
    <w:rsid w:val="6CCD98BA"/>
    <w:rsid w:val="6CE30271"/>
    <w:rsid w:val="6D0BA0B1"/>
    <w:rsid w:val="6D181108"/>
    <w:rsid w:val="6D2CB425"/>
    <w:rsid w:val="6D5FCD32"/>
    <w:rsid w:val="6D926F66"/>
    <w:rsid w:val="6D98BEE1"/>
    <w:rsid w:val="6DD5F083"/>
    <w:rsid w:val="6DEDE9F0"/>
    <w:rsid w:val="6DEEF0A7"/>
    <w:rsid w:val="6E0D6B41"/>
    <w:rsid w:val="6E44264E"/>
    <w:rsid w:val="6E4A74AA"/>
    <w:rsid w:val="6E9430F6"/>
    <w:rsid w:val="6EEAA025"/>
    <w:rsid w:val="6EF0EE81"/>
    <w:rsid w:val="6EF3E3D9"/>
    <w:rsid w:val="6EFA158F"/>
    <w:rsid w:val="6F3355BA"/>
    <w:rsid w:val="6F83F45D"/>
    <w:rsid w:val="6FC8C78B"/>
    <w:rsid w:val="6FF7BD4B"/>
    <w:rsid w:val="7006CD13"/>
    <w:rsid w:val="701154E7"/>
    <w:rsid w:val="70410A58"/>
    <w:rsid w:val="7099FEA5"/>
    <w:rsid w:val="70CC31BE"/>
    <w:rsid w:val="710D2C9E"/>
    <w:rsid w:val="712CB887"/>
    <w:rsid w:val="715871E9"/>
    <w:rsid w:val="71E5F634"/>
    <w:rsid w:val="71F89D64"/>
    <w:rsid w:val="72256815"/>
    <w:rsid w:val="72A1D9C2"/>
    <w:rsid w:val="72A46978"/>
    <w:rsid w:val="72BAD9E6"/>
    <w:rsid w:val="72E9CFA6"/>
    <w:rsid w:val="7313CE33"/>
    <w:rsid w:val="73F18FF7"/>
    <w:rsid w:val="73FF3EF9"/>
    <w:rsid w:val="744A8444"/>
    <w:rsid w:val="74CE9321"/>
    <w:rsid w:val="751532E3"/>
    <w:rsid w:val="755E7530"/>
    <w:rsid w:val="755ED22A"/>
    <w:rsid w:val="755F714F"/>
    <w:rsid w:val="7566EE9B"/>
    <w:rsid w:val="759CAD89"/>
    <w:rsid w:val="75C37955"/>
    <w:rsid w:val="75D915DD"/>
    <w:rsid w:val="760965A8"/>
    <w:rsid w:val="764FD5BE"/>
    <w:rsid w:val="76975650"/>
    <w:rsid w:val="76AC8D36"/>
    <w:rsid w:val="76C453D2"/>
    <w:rsid w:val="76FECDA8"/>
    <w:rsid w:val="771F55A9"/>
    <w:rsid w:val="777E3F22"/>
    <w:rsid w:val="77AFF769"/>
    <w:rsid w:val="782EF10F"/>
    <w:rsid w:val="78B2FBFA"/>
    <w:rsid w:val="7942AC4F"/>
    <w:rsid w:val="794471BC"/>
    <w:rsid w:val="7984CE69"/>
    <w:rsid w:val="7985DCD6"/>
    <w:rsid w:val="79A4249F"/>
    <w:rsid w:val="79B2A787"/>
    <w:rsid w:val="7A6896C8"/>
    <w:rsid w:val="7A74D971"/>
    <w:rsid w:val="7A8CD2DE"/>
    <w:rsid w:val="7AB611BA"/>
    <w:rsid w:val="7B236587"/>
    <w:rsid w:val="7B4B78F3"/>
    <w:rsid w:val="7B65CF45"/>
    <w:rsid w:val="7BC7B7CF"/>
    <w:rsid w:val="7BC87A62"/>
    <w:rsid w:val="7C1EBD7B"/>
    <w:rsid w:val="7C4E7D84"/>
    <w:rsid w:val="7C72C62A"/>
    <w:rsid w:val="7C86687C"/>
    <w:rsid w:val="7C8FE89E"/>
    <w:rsid w:val="7CF81F84"/>
    <w:rsid w:val="7D45D7DF"/>
    <w:rsid w:val="7D671E9D"/>
    <w:rsid w:val="7D896275"/>
    <w:rsid w:val="7DA01670"/>
    <w:rsid w:val="7E105AFB"/>
    <w:rsid w:val="7E1489DB"/>
    <w:rsid w:val="7E51C615"/>
    <w:rsid w:val="7E528F63"/>
    <w:rsid w:val="7E7CCB59"/>
    <w:rsid w:val="7E7E90C6"/>
    <w:rsid w:val="7E84DF22"/>
    <w:rsid w:val="7EE84ECE"/>
    <w:rsid w:val="7F601130"/>
    <w:rsid w:val="7F6DC032"/>
    <w:rsid w:val="7FB9057D"/>
    <w:rsid w:val="7FF1F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8DB7"/>
  <w15:docId w15:val="{E88F24BF-8CC4-4DF9-9D7E-1AE479E8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Regular" w:hAnsi="Avenir Next Regular" w:eastAsia="Avenir Next Regular" w:cs="Avenir Next Regular"/>
        <w:sz w:val="24"/>
        <w:szCs w:val="24"/>
        <w:lang w:val="cs-CZ" w:eastAsia="cs-CZ" w:bidi="ar-SA"/>
        <w14:ligatures w14:val="standardContextua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link w:val="Nadpis1Char"/>
    <w:qFormat/>
    <w:pPr>
      <w:keepNext/>
      <w:spacing w:line="768" w:lineRule="atLeast"/>
      <w:jc w:val="left"/>
      <w:outlineLvl w:val="0"/>
    </w:pPr>
    <w:rPr>
      <w:b/>
      <w:sz w:val="64"/>
      <w:szCs w:val="64"/>
    </w:rPr>
  </w:style>
  <w:style w:type="paragraph" w:styleId="Nadpis2">
    <w:name w:val="heading 2"/>
    <w:basedOn w:val="Normln"/>
    <w:link w:val="Nadpis2Char"/>
    <w:uiPriority w:val="9"/>
    <w:unhideWhenUsed/>
    <w:qFormat/>
    <w:pPr>
      <w:keepNext/>
      <w:spacing w:line="576" w:lineRule="atLeast"/>
      <w:jc w:val="left"/>
      <w:outlineLvl w:val="1"/>
    </w:pPr>
    <w:rPr>
      <w:b/>
      <w:sz w:val="48"/>
      <w:szCs w:val="48"/>
    </w:rPr>
  </w:style>
  <w:style w:type="paragraph" w:styleId="Nadpis3">
    <w:name w:val="heading 3"/>
    <w:basedOn w:val="Normln"/>
    <w:link w:val="Nadpis3Char"/>
    <w:uiPriority w:val="9"/>
    <w:semiHidden/>
    <w:unhideWhenUsed/>
    <w:qFormat/>
    <w:pPr>
      <w:keepNext/>
      <w:spacing w:line="431" w:lineRule="atLeast"/>
      <w:jc w:val="left"/>
      <w:outlineLvl w:val="2"/>
    </w:pPr>
    <w:rPr>
      <w:b/>
      <w:sz w:val="36"/>
      <w:szCs w:val="36"/>
    </w:rPr>
  </w:style>
  <w:style w:type="paragraph" w:styleId="Nadpis4">
    <w:name w:val="heading 4"/>
    <w:basedOn w:val="Normln"/>
    <w:link w:val="Nadpis4Char"/>
    <w:uiPriority w:val="9"/>
    <w:semiHidden/>
    <w:unhideWhenUsed/>
    <w:qFormat/>
    <w:pPr>
      <w:keepNext/>
      <w:spacing w:line="360" w:lineRule="atLeast"/>
      <w:jc w:val="left"/>
      <w:outlineLvl w:val="3"/>
    </w:pPr>
    <w:rPr>
      <w:b/>
      <w:sz w:val="30"/>
      <w:szCs w:val="30"/>
    </w:rPr>
  </w:style>
  <w:style w:type="paragraph" w:styleId="Nadpis5">
    <w:name w:val="heading 5"/>
    <w:basedOn w:val="Normln"/>
    <w:link w:val="Nadpis5Char"/>
    <w:uiPriority w:val="9"/>
    <w:semiHidden/>
    <w:unhideWhenUsed/>
    <w:qFormat/>
    <w:pPr>
      <w:keepNext/>
      <w:spacing w:line="288" w:lineRule="atLeast"/>
      <w:jc w:val="left"/>
      <w:outlineLvl w:val="4"/>
    </w:pPr>
    <w:rPr>
      <w:b/>
    </w:rPr>
  </w:style>
  <w:style w:type="paragraph" w:styleId="Nadpis6">
    <w:name w:val="heading 6"/>
    <w:basedOn w:val="Normln"/>
    <w:link w:val="Nadpis6Char"/>
    <w:uiPriority w:val="9"/>
    <w:semiHidden/>
    <w:unhideWhenUsed/>
    <w:qFormat/>
    <w:pPr>
      <w:keepNext/>
      <w:spacing w:line="288" w:lineRule="atLeast"/>
      <w:jc w:val="left"/>
      <w:outlineLvl w:val="5"/>
    </w:pPr>
    <w:rPr>
      <w:i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CommentBlock" w:customStyle="1">
    <w:name w:val="Comment Block"/>
    <w:basedOn w:val="Normln"/>
    <w:uiPriority w:val="1"/>
    <w:semiHidden/>
    <w:unhideWhenUsed/>
    <w:qFormat/>
  </w:style>
  <w:style w:type="paragraph" w:styleId="DashedList" w:customStyle="1">
    <w:name w:val="Dashed List"/>
    <w:basedOn w:val="Normln"/>
    <w:uiPriority w:val="1"/>
    <w:qFormat/>
  </w:style>
  <w:style w:type="paragraph" w:styleId="Titulek">
    <w:name w:val="caption"/>
    <w:basedOn w:val="Normln"/>
    <w:uiPriority w:val="1"/>
    <w:semiHidden/>
    <w:unhideWhenUsed/>
    <w:qFormat/>
    <w:rPr>
      <w:i/>
    </w:rPr>
  </w:style>
  <w:style w:type="paragraph" w:styleId="RawSourceBlock" w:customStyle="1">
    <w:name w:val="Raw Source Block"/>
    <w:basedOn w:val="Normln"/>
    <w:uiPriority w:val="1"/>
    <w:semiHidden/>
    <w:unhideWhenUsed/>
    <w:qFormat/>
  </w:style>
  <w:style w:type="paragraph" w:styleId="Divider" w:customStyle="1">
    <w:name w:val="Divider"/>
    <w:basedOn w:val="Normln"/>
    <w:uiPriority w:val="1"/>
    <w:semiHidden/>
    <w:unhideWhenUsed/>
    <w:qFormat/>
  </w:style>
  <w:style w:type="paragraph" w:styleId="CodeBlock" w:customStyle="1">
    <w:name w:val="Code Block"/>
    <w:basedOn w:val="Normln"/>
    <w:uiPriority w:val="1"/>
    <w:semiHidden/>
    <w:unhideWhenUsed/>
    <w:qFormat/>
    <w:pPr>
      <w:spacing w:line="320" w:lineRule="atLeast"/>
    </w:pPr>
    <w:rPr>
      <w:rFonts w:ascii="Courier New" w:hAnsi="Courier New" w:eastAsia="Courier New" w:cs="Courier New"/>
      <w:color w:val="000000"/>
      <w:sz w:val="22"/>
      <w:szCs w:val="22"/>
    </w:rPr>
  </w:style>
  <w:style w:type="paragraph" w:styleId="NumberedList" w:customStyle="1">
    <w:name w:val="Numbered List"/>
    <w:basedOn w:val="Normln"/>
    <w:uiPriority w:val="1"/>
    <w:qFormat/>
  </w:style>
  <w:style w:type="paragraph" w:styleId="Citt">
    <w:name w:val="Quote"/>
    <w:basedOn w:val="Normln"/>
    <w:link w:val="CittChar"/>
    <w:uiPriority w:val="1"/>
    <w:qFormat/>
    <w:rPr>
      <w:i/>
    </w:rPr>
  </w:style>
  <w:style w:type="character" w:styleId="Marked" w:customStyle="1">
    <w:name w:val="Marked"/>
    <w:uiPriority w:val="2"/>
    <w:semiHidden/>
    <w:unhideWhenUsed/>
    <w:qFormat/>
  </w:style>
  <w:style w:type="character" w:styleId="Siln">
    <w:name w:val="Strong"/>
    <w:uiPriority w:val="22"/>
    <w:qFormat/>
    <w:rPr>
      <w:rFonts w:ascii="Avenir Next Regular" w:hAnsi="Avenir Next Regular" w:eastAsia="Avenir Next Regular" w:cs="Avenir Next Regular"/>
      <w:b/>
    </w:rPr>
  </w:style>
  <w:style w:type="character" w:styleId="Code" w:customStyle="1">
    <w:name w:val="Code"/>
    <w:uiPriority w:val="2"/>
    <w:semiHidden/>
    <w:unhideWhenUsed/>
    <w:qFormat/>
    <w:rPr>
      <w:rFonts w:ascii="Courier New" w:hAnsi="Courier New" w:eastAsia="Courier New" w:cs="Courier New"/>
    </w:rPr>
  </w:style>
  <w:style w:type="character" w:styleId="Comment" w:customStyle="1">
    <w:name w:val="Comment"/>
    <w:uiPriority w:val="2"/>
    <w:semiHidden/>
    <w:unhideWhenUsed/>
    <w:qFormat/>
  </w:style>
  <w:style w:type="character" w:styleId="Delete" w:customStyle="1">
    <w:name w:val="Delete"/>
    <w:uiPriority w:val="2"/>
    <w:semiHidden/>
    <w:unhideWhenUsed/>
    <w:qFormat/>
  </w:style>
  <w:style w:type="character" w:styleId="Link" w:customStyle="1">
    <w:name w:val="Link"/>
    <w:uiPriority w:val="2"/>
    <w:qFormat/>
    <w:rPr>
      <w:color w:val="468BDF"/>
      <w:u w:val="single" w:color="468BDF"/>
    </w:rPr>
  </w:style>
  <w:style w:type="character" w:styleId="RawSource" w:customStyle="1">
    <w:name w:val="Raw Source"/>
    <w:uiPriority w:val="2"/>
    <w:semiHidden/>
    <w:unhideWhenUsed/>
    <w:qFormat/>
  </w:style>
  <w:style w:type="character" w:styleId="Zdraznn">
    <w:name w:val="Emphasis"/>
    <w:uiPriority w:val="20"/>
    <w:qFormat/>
    <w:rPr>
      <w:rFonts w:ascii="Avenir Next Regular" w:hAnsi="Avenir Next Regular" w:eastAsia="Avenir Next Regular" w:cs="Avenir Next Regular"/>
      <w:i/>
    </w:rPr>
  </w:style>
  <w:style w:type="character" w:styleId="Citation" w:customStyle="1">
    <w:name w:val="Citation"/>
    <w:uiPriority w:val="2"/>
    <w:semiHidden/>
    <w:unhideWhenUsed/>
    <w:qFormat/>
    <w:rPr>
      <w:rFonts w:ascii="Avenir Next Regular" w:hAnsi="Avenir Next Regular" w:eastAsia="Avenir Next Regular" w:cs="Avenir Next Regular"/>
      <w:i/>
    </w:rPr>
  </w:style>
  <w:style w:type="character" w:styleId="Annotation" w:customStyle="1">
    <w:name w:val="Annotation"/>
    <w:uiPriority w:val="2"/>
    <w:semiHidden/>
    <w:unhideWhenUsed/>
    <w:qFormat/>
  </w:style>
  <w:style w:type="character" w:styleId="Tag" w:customStyle="1">
    <w:name w:val="Tag"/>
    <w:uiPriority w:val="2"/>
    <w:semiHidden/>
    <w:unhideWhenUsed/>
    <w:qFormat/>
  </w:style>
  <w:style w:type="paragraph" w:styleId="Revize">
    <w:name w:val="Revision"/>
    <w:hidden/>
    <w:uiPriority w:val="99"/>
    <w:semiHidden/>
    <w:rsid w:val="00B52416"/>
    <w:pPr>
      <w:spacing w:line="240" w:lineRule="auto"/>
      <w:jc w:val="left"/>
    </w:pPr>
  </w:style>
  <w:style w:type="character" w:styleId="Odkaznakoment">
    <w:name w:val="annotation reference"/>
    <w:basedOn w:val="Standardnpsmoodstavce"/>
    <w:uiPriority w:val="99"/>
    <w:semiHidden/>
    <w:unhideWhenUsed/>
    <w:rsid w:val="009D794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9D794D"/>
    <w:pPr>
      <w:spacing w:line="240" w:lineRule="auto"/>
    </w:pPr>
    <w:rPr>
      <w:sz w:val="20"/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rsid w:val="009D794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D794D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9D794D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CB09BE"/>
    <w:pPr>
      <w:tabs>
        <w:tab w:val="center" w:pos="4536"/>
        <w:tab w:val="right" w:pos="9072"/>
      </w:tabs>
      <w:spacing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CB09BE"/>
  </w:style>
  <w:style w:type="paragraph" w:styleId="Zpat">
    <w:name w:val="footer"/>
    <w:basedOn w:val="Normln"/>
    <w:link w:val="ZpatChar"/>
    <w:uiPriority w:val="99"/>
    <w:unhideWhenUsed/>
    <w:rsid w:val="00CB09BE"/>
    <w:pPr>
      <w:tabs>
        <w:tab w:val="center" w:pos="4536"/>
        <w:tab w:val="right" w:pos="9072"/>
      </w:tabs>
      <w:spacing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CB09BE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EA5509"/>
    <w:pPr>
      <w:spacing w:line="240" w:lineRule="auto"/>
    </w:pPr>
    <w:rPr>
      <w:sz w:val="20"/>
      <w:szCs w:val="20"/>
    </w:rPr>
  </w:style>
  <w:style w:type="character" w:styleId="TextpoznpodarouChar" w:customStyle="1">
    <w:name w:val="Text pozn. pod čarou Char"/>
    <w:basedOn w:val="Standardnpsmoodstavce"/>
    <w:link w:val="Textpoznpodarou"/>
    <w:uiPriority w:val="99"/>
    <w:semiHidden/>
    <w:rsid w:val="00EA55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EA5509"/>
    <w:rPr>
      <w:vertAlign w:val="superscript"/>
    </w:rPr>
  </w:style>
  <w:style w:type="character" w:styleId="Nadpis1Char" w:customStyle="1">
    <w:name w:val="Nadpis 1 Char"/>
    <w:link w:val="Nadpis1"/>
    <w:rsid w:val="006F7BCA"/>
    <w:rPr>
      <w:b/>
      <w:sz w:val="64"/>
      <w:szCs w:val="64"/>
    </w:rPr>
  </w:style>
  <w:style w:type="character" w:styleId="Nadpis2Char" w:customStyle="1">
    <w:name w:val="Nadpis 2 Char"/>
    <w:basedOn w:val="Standardnpsmoodstavce"/>
    <w:link w:val="Nadpis2"/>
    <w:uiPriority w:val="9"/>
    <w:rsid w:val="00BA7F34"/>
    <w:rPr>
      <w:b/>
      <w:sz w:val="48"/>
      <w:szCs w:val="48"/>
    </w:rPr>
  </w:style>
  <w:style w:type="character" w:styleId="Nadpis3Char" w:customStyle="1">
    <w:name w:val="Nadpis 3 Char"/>
    <w:basedOn w:val="Standardnpsmoodstavce"/>
    <w:link w:val="Nadpis3"/>
    <w:uiPriority w:val="9"/>
    <w:semiHidden/>
    <w:rsid w:val="00BA7F34"/>
    <w:rPr>
      <w:b/>
      <w:sz w:val="36"/>
      <w:szCs w:val="36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BA7F34"/>
    <w:rPr>
      <w:b/>
      <w:sz w:val="30"/>
      <w:szCs w:val="30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BA7F34"/>
    <w:rPr>
      <w:b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BA7F34"/>
    <w:rPr>
      <w:i/>
    </w:rPr>
  </w:style>
  <w:style w:type="character" w:styleId="CittChar" w:customStyle="1">
    <w:name w:val="Citát Char"/>
    <w:basedOn w:val="Standardnpsmoodstavce"/>
    <w:link w:val="Citt"/>
    <w:uiPriority w:val="1"/>
    <w:rsid w:val="00BA7F34"/>
    <w:rPr>
      <w:i/>
    </w:rPr>
  </w:style>
  <w:style w:type="paragraph" w:styleId="Odstavecseseznamem">
    <w:name w:val="List Paragraph"/>
    <w:basedOn w:val="Normln"/>
    <w:uiPriority w:val="34"/>
    <w:qFormat/>
    <w:rsid w:val="00BA7F34"/>
    <w:pPr>
      <w:ind w:left="720"/>
      <w:contextualSpacing/>
    </w:pPr>
  </w:style>
  <w:style w:type="table" w:styleId="Mkatabulky">
    <w:name w:val="Table Grid"/>
    <w:basedOn w:val="Normlntabulka"/>
    <w:uiPriority w:val="39"/>
    <w:rsid w:val="00BA7F3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A839D05760944585937AF018C7B63D" ma:contentTypeVersion="13" ma:contentTypeDescription="Vytvoří nový dokument" ma:contentTypeScope="" ma:versionID="03564f9b1bb3c34e0347132618830c7f">
  <xsd:schema xmlns:xsd="http://www.w3.org/2001/XMLSchema" xmlns:xs="http://www.w3.org/2001/XMLSchema" xmlns:p="http://schemas.microsoft.com/office/2006/metadata/properties" xmlns:ns2="75994199-8f88-4160-8d14-9f22ccfe760c" xmlns:ns3="82a02219-8d12-4d1d-842e-6a10512dc398" targetNamespace="http://schemas.microsoft.com/office/2006/metadata/properties" ma:root="true" ma:fieldsID="7bf842c1084cc4a8d20585b36f1b8190" ns2:_="" ns3:_="">
    <xsd:import namespace="75994199-8f88-4160-8d14-9f22ccfe760c"/>
    <xsd:import namespace="82a02219-8d12-4d1d-842e-6a10512dc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94199-8f88-4160-8d14-9f22ccfe7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ů" ma:readOnly="false" ma:fieldId="{5cf76f15-5ced-4ddc-b409-7134ff3c332f}" ma:taxonomyMulti="true" ma:sspId="975d3f39-d7c9-4528-9d6a-4f9d777fa9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02219-8d12-4d1d-842e-6a10512dc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4f23a3e-b6aa-4389-bd3a-4bc63f8c4dbe}" ma:internalName="TaxCatchAll" ma:showField="CatchAllData" ma:web="82a02219-8d12-4d1d-842e-6a10512dc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a02219-8d12-4d1d-842e-6a10512dc398">
      <UserInfo>
        <DisplayName>Vladimír Dvořák</DisplayName>
        <AccountId>14</AccountId>
        <AccountType/>
      </UserInfo>
    </SharedWithUsers>
    <TaxCatchAll xmlns="82a02219-8d12-4d1d-842e-6a10512dc398" xsi:nil="true"/>
    <lcf76f155ced4ddcb4097134ff3c332f xmlns="75994199-8f88-4160-8d14-9f22ccfe76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04C3F8-2C44-46EB-8B88-069E7059AF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909957-B944-4186-9408-6CE0EE45D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94199-8f88-4160-8d14-9f22ccfe760c"/>
    <ds:schemaRef ds:uri="82a02219-8d12-4d1d-842e-6a10512dc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58383B-E8DB-40E7-A6DD-3321F41904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97CA18-6B0D-43D1-AFDF-EEC03EC0D52C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82a02219-8d12-4d1d-842e-6a10512dc398"/>
    <ds:schemaRef ds:uri="http://www.w3.org/XML/1998/namespace"/>
    <ds:schemaRef ds:uri="http://purl.org/dc/elements/1.1/"/>
    <ds:schemaRef ds:uri="http://schemas.openxmlformats.org/package/2006/metadata/core-properties"/>
    <ds:schemaRef ds:uri="75994199-8f88-4160-8d14-9f22ccfe760c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XPAVM039@studenti.czu.cz</dc:creator>
  <keywords/>
  <lastModifiedBy>Pavelka Miroslav (S-PEF)</lastModifiedBy>
  <revision>947</revision>
  <dcterms:created xsi:type="dcterms:W3CDTF">2022-12-14T07:02:00.0000000Z</dcterms:created>
  <dcterms:modified xsi:type="dcterms:W3CDTF">2023-01-31T02:09:33.6805506Z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0x01010074A839D05760944585937AF018C7B63D</vt:lpwstr>
  </property>
  <property fmtid="{D5CDD505-2E9C-101B-9397-08002B2CF9AE}" pid="3" name="MediaServiceImageTags">
    <vt:lpwstr/>
  </property>
</Properties>
</file>