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Times New Roman" w:hAnsi="Times New Roman"/>
          <w:b/>
          <w:color w:val="0F254B"/>
          <w:sz w:val="36"/>
        </w:rPr>
        <w:t>Financial Resources, Investment Decisions, and Sporting Performance: A Longitudinal Investigation of Arsenal Football Club (2015/16–2024/25)</w:t>
      </w:r>
    </w:p>
    <w:p>
      <w:pPr>
        <w:spacing w:before="40" w:after="40"/>
        <w:jc w:val="center"/>
      </w:pPr>
      <w:r>
        <w:t>Author: Ege Umut Can</w:t>
      </w:r>
    </w:p>
    <w:p>
      <w:pPr>
        <w:spacing w:before="40" w:after="40"/>
        <w:jc w:val="center"/>
      </w:pPr>
      <w:r>
        <w:t>Academic Level: Independent High-School Student Research (FMV Özel Ispartakule Işık High School)</w:t>
      </w:r>
    </w:p>
    <w:p>
      <w:pPr>
        <w:spacing w:before="40" w:after="40"/>
        <w:jc w:val="center"/>
      </w:pPr>
      <w:r>
        <w:t>Research Methodology: Empirical Longitudinal Financial &amp; Sports Performance Analysis</w:t>
      </w:r>
    </w:p>
    <w:p>
      <w:pPr>
        <w:spacing w:before="40" w:after="40"/>
        <w:jc w:val="center"/>
      </w:pPr>
      <w:r>
        <w:rPr>
          <w:rFonts w:ascii="Times New Roman" w:hAnsi="Times New Roman"/>
          <w:b/>
          <w:color w:val="374151"/>
          <w:sz w:val="20"/>
        </w:rPr>
        <w:t>Study Scope:</w:t>
      </w:r>
      <w:r>
        <w:rPr>
          <w:rFonts w:ascii="Times New Roman" w:hAnsi="Times New Roman"/>
          <w:color w:val="374151"/>
          <w:sz w:val="20"/>
        </w:rPr>
        <w:t xml:space="preserve"> Exactly 10 Completed Seasons (2015/16 through 2024/25; 2025/26 strictly excluded)</w:t>
      </w:r>
    </w:p>
    <w:p>
      <w:pPr>
        <w:spacing w:before="40" w:after="40"/>
        <w:jc w:val="center"/>
      </w:pPr>
      <w:r>
        <w:rPr>
          <w:rFonts w:ascii="Times New Roman" w:hAnsi="Times New Roman"/>
          <w:b/>
          <w:color w:val="374151"/>
          <w:sz w:val="20"/>
        </w:rPr>
        <w:t>Master Panel Hash (SHA-256):</w:t>
      </w:r>
      <w:r>
        <w:rPr>
          <w:rFonts w:ascii="Times New Roman" w:hAnsi="Times New Roman"/>
          <w:color w:val="374151"/>
          <w:sz w:val="20"/>
        </w:rPr>
        <w:t xml:space="preserve"> </w:t>
      </w:r>
      <w:r>
        <w:rPr>
          <w:rFonts w:ascii="Consolas" w:hAnsi="Consolas"/>
          <w:b/>
          <w:color w:val="1E293B"/>
          <w:sz w:val="19"/>
        </w:rPr>
        <w:t>9b3f66070c87bb81892461c77ca9a7e5c5493e318a6310ad5a6c721d49697cd3</w:t>
      </w:r>
    </w:p>
    <w:p>
      <w:r>
        <w:br w:type="page"/>
      </w:r>
    </w:p>
    <w:p>
      <w:pPr>
        <w:keepNext/>
        <w:spacing w:before="300" w:after="100"/>
      </w:pPr>
      <w:r>
        <w:rPr>
          <w:rFonts w:ascii="Times New Roman" w:hAnsi="Times New Roman"/>
          <w:b/>
          <w:color w:val="0F254B"/>
          <w:sz w:val="26"/>
        </w:rPr>
        <w:t>Abstract</w:t>
      </w:r>
    </w:p>
    <w:p>
      <w:pPr>
        <w:spacing w:before="0" w:after="100" w:line="276" w:lineRule="auto"/>
        <w:jc w:val="both"/>
      </w:pPr>
      <w:r>
        <w:t>This paper investigates the longitudinal relationship between financial resource availability, capital investment decisions, and sporting performance at Arsenal Football Club across ten completed seasons from 2015/16 through 2024/25. Constructing an standardized longitudinal master panel dataset (N=10 annual observations; 108 variables) integrated across statutory audited corporate accounts (Arsenal Holdings Limited), a comprehensive transfer market census (128 transactions), and official match records combined with third-party advanced analytics (Understat), the study evaluates six pre-specified sub-research questions (SQ1–SQ6) using non-causal bivariate correlation methods and systematic Leave-One-Season-Out (LOO) robustness protocols.</w:t>
      </w:r>
    </w:p>
    <w:p>
      <w:pPr>
        <w:spacing w:before="0" w:after="100" w:line="276" w:lineRule="auto"/>
        <w:jc w:val="both"/>
      </w:pPr>
      <w:r>
        <w:rPr>
          <w:rFonts w:ascii="Times New Roman" w:hAnsi="Times New Roman"/>
          <w:color w:val="111827"/>
          <w:sz w:val="20"/>
        </w:rPr>
        <w:t>The empirical findings reveal that Arsenal underwent an expansive but highly fluctuating financial evolution: football turnover expanded by +97.09% (from £350.60m to £691.00m), total group employee compensation (</w:t>
      </w:r>
      <w:r>
        <w:rPr>
          <w:rFonts w:ascii="Consolas" w:hAnsi="Consolas"/>
          <w:b/>
          <w:color w:val="1E293B"/>
          <w:sz w:val="19"/>
        </w:rPr>
        <w:t>staff_costs</w:t>
      </w:r>
      <w:r>
        <w:rPr>
          <w:rFonts w:ascii="Times New Roman" w:hAnsi="Times New Roman"/>
          <w:color w:val="111827"/>
          <w:sz w:val="20"/>
        </w:rPr>
        <w:t>) increased by +77.58% (from £195.40m to £347.00m), and net debt escalated from £6.50m to £283.00m (+£276.50m) as the club transitioned from bond-constrained self-sustainability to capital-intensive shareholder-backed restructuring. Contemporaneously (</w:t>
      </w:r>
      <w:r>
        <w:rPr>
          <w:rFonts w:ascii="Times New Roman" w:hAnsi="Times New Roman"/>
          <w:i/>
          <w:color w:val="111827"/>
          <w:sz w:val="20"/>
        </w:rPr>
        <w:t>N=10</w:t>
      </w:r>
      <w:r>
        <w:rPr>
          <w:rFonts w:ascii="Times New Roman" w:hAnsi="Times New Roman"/>
          <w:color w:val="111827"/>
          <w:sz w:val="20"/>
        </w:rPr>
        <w:t>), permanent gross transfer expenditure was positively associated with turnover (</w:t>
      </w:r>
      <w:r>
        <w:rPr>
          <w:rFonts w:ascii="Times New Roman" w:hAnsi="Times New Roman"/>
          <w:i/>
          <w:color w:val="111827"/>
          <w:sz w:val="20"/>
        </w:rPr>
        <w:t>r = +0.3659</w:t>
      </w:r>
      <w:r>
        <w:rPr>
          <w:rFonts w:ascii="Times New Roman" w:hAnsi="Times New Roman"/>
          <w:color w:val="111827"/>
          <w:sz w:val="20"/>
        </w:rPr>
        <w:t>) and net debt (</w:t>
      </w:r>
      <w:r>
        <w:rPr>
          <w:rFonts w:ascii="Times New Roman" w:hAnsi="Times New Roman"/>
          <w:i/>
          <w:color w:val="111827"/>
          <w:sz w:val="20"/>
        </w:rPr>
        <w:t>r = +0.5906</w:t>
      </w:r>
      <w:r>
        <w:rPr>
          <w:rFonts w:ascii="Times New Roman" w:hAnsi="Times New Roman"/>
          <w:color w:val="111827"/>
          <w:sz w:val="20"/>
        </w:rPr>
        <w:t>). In lagged specifications (</w:t>
      </w:r>
      <w:r>
        <w:rPr>
          <w:rFonts w:ascii="Times New Roman" w:hAnsi="Times New Roman"/>
          <w:i/>
          <w:color w:val="111827"/>
          <w:sz w:val="20"/>
        </w:rPr>
        <w:t>t → t+1</w:t>
      </w:r>
      <w:r>
        <w:rPr>
          <w:rFonts w:ascii="Times New Roman" w:hAnsi="Times New Roman"/>
          <w:color w:val="111827"/>
          <w:sz w:val="20"/>
        </w:rPr>
        <w:t xml:space="preserve">, </w:t>
      </w:r>
      <w:r>
        <w:rPr>
          <w:rFonts w:ascii="Times New Roman" w:hAnsi="Times New Roman"/>
          <w:i/>
          <w:color w:val="111827"/>
          <w:sz w:val="20"/>
        </w:rPr>
        <w:t>N=9</w:t>
      </w:r>
      <w:r>
        <w:rPr>
          <w:rFonts w:ascii="Times New Roman" w:hAnsi="Times New Roman"/>
          <w:color w:val="111827"/>
          <w:sz w:val="20"/>
        </w:rPr>
        <w:t xml:space="preserve">), transfer investment exhibited positive associations with subsequent pitch performance that were markedly stronger for underlying process metrics—expected goal differential (xGD, </w:t>
      </w:r>
      <w:r>
        <w:rPr>
          <w:rFonts w:ascii="Times New Roman" w:hAnsi="Times New Roman"/>
          <w:i/>
          <w:color w:val="111827"/>
          <w:sz w:val="20"/>
        </w:rPr>
        <w:t>r = +0.5982</w:t>
      </w:r>
      <w:r>
        <w:rPr>
          <w:rFonts w:ascii="Times New Roman" w:hAnsi="Times New Roman"/>
          <w:color w:val="111827"/>
          <w:sz w:val="20"/>
        </w:rPr>
        <w:t xml:space="preserve">) and expected points (xPTS, </w:t>
      </w:r>
      <w:r>
        <w:rPr>
          <w:rFonts w:ascii="Times New Roman" w:hAnsi="Times New Roman"/>
          <w:i/>
          <w:color w:val="111827"/>
          <w:sz w:val="20"/>
        </w:rPr>
        <w:t>r = +0.6189</w:t>
      </w:r>
      <w:r>
        <w:rPr>
          <w:rFonts w:ascii="Times New Roman" w:hAnsi="Times New Roman"/>
          <w:color w:val="111827"/>
          <w:sz w:val="20"/>
        </w:rPr>
        <w:t xml:space="preserve">)—than for realized points per game (PPG, </w:t>
      </w:r>
      <w:r>
        <w:rPr>
          <w:rFonts w:ascii="Times New Roman" w:hAnsi="Times New Roman"/>
          <w:i/>
          <w:color w:val="111827"/>
          <w:sz w:val="20"/>
        </w:rPr>
        <w:t>r = +0.3911</w:t>
      </w:r>
      <w:r>
        <w:rPr>
          <w:rFonts w:ascii="Times New Roman" w:hAnsi="Times New Roman"/>
          <w:color w:val="111827"/>
          <w:sz w:val="20"/>
        </w:rPr>
        <w:t>).</w:t>
      </w:r>
    </w:p>
    <w:p>
      <w:pPr>
        <w:spacing w:before="0" w:after="100" w:line="276" w:lineRule="auto"/>
        <w:jc w:val="both"/>
      </w:pPr>
      <w:r>
        <w:t>Crucially, statutory staff costs exhibited near-zero correlation with subsequent PPG (r = +0.0516) and displayed directional sensitivity across correlation methods (Spearman ρ = -0.0333), crossing zero under LOO analysis (range: -0.0936 to +0.1648). Integrating the author's substantive analytical interpretation, the study rejects a deterministic spend-to-performance pipeline in favor of a dynamic, bidirectional conceptual framework wherein financial resources enable squad restructuring, but on-pitch success feeds back into top-line turnover, and resource allocation quality conditions sporting outcomes. Methodological constraints—including small sample size (N=10/9), transfer fee secondary estimation (77.8% secondary consideration), and statutory payroll aggregation—preclude causal claims.</w:t>
      </w:r>
    </w:p>
    <w:p>
      <w:pPr>
        <w:spacing w:before="100" w:after="240"/>
      </w:pPr>
      <w:r>
        <w:rPr>
          <w:rFonts w:ascii="Times New Roman" w:hAnsi="Times New Roman"/>
          <w:b/>
          <w:color w:val="1F2937"/>
          <w:sz w:val="19"/>
        </w:rPr>
        <w:t>Keywords:</w:t>
      </w:r>
      <w:r>
        <w:rPr>
          <w:rFonts w:ascii="Times New Roman" w:hAnsi="Times New Roman"/>
          <w:color w:val="1F2937"/>
          <w:sz w:val="19"/>
        </w:rPr>
        <w:t xml:space="preserve"> Sports Economics, Arsenal FC, Football Finance, Transfer Expenditure, Staff Costs, Expected Goals (xG), Longitudinal Analysis.</w:t>
      </w:r>
    </w:p>
    <w:p>
      <w:pPr>
        <w:keepNext/>
        <w:spacing w:before="300" w:after="100"/>
      </w:pPr>
      <w:r>
        <w:rPr>
          <w:rFonts w:ascii="Times New Roman" w:hAnsi="Times New Roman"/>
          <w:b/>
          <w:color w:val="0F254B"/>
          <w:sz w:val="26"/>
        </w:rPr>
        <w:t>1. Introduction &amp; Research Design</w:t>
      </w:r>
    </w:p>
    <w:p>
      <w:pPr>
        <w:spacing w:before="0" w:after="100" w:line="276" w:lineRule="auto"/>
        <w:jc w:val="both"/>
      </w:pPr>
      <w:r>
        <w:rPr>
          <w:rFonts w:ascii="Times New Roman" w:hAnsi="Times New Roman"/>
          <w:color w:val="111827"/>
          <w:sz w:val="20"/>
        </w:rPr>
        <w:t>Over recent decades, European professional football has experienced substantial commercial growth, characterized by rapid broadcast revenue expansion and escalating expenditure on player wages and transfer fees (Dobson &amp; Goddard, 2011; Szymanski, 2015). In sports economics, empirical studies have established that squad wage expenditure is strongly and positively associated with league performance across multi-club panels, with Granger-causality evidence indicating that payroll spending generally precedes league finishing position in English soccer (Hall et al., 2002; Szymanski &amp; Smith, 1997).</w:t>
      </w:r>
    </w:p>
    <w:p>
      <w:pPr>
        <w:spacing w:before="0" w:after="100" w:line="276" w:lineRule="auto"/>
        <w:jc w:val="both"/>
      </w:pPr>
      <w:r>
        <w:rPr>
          <w:rFonts w:ascii="Times New Roman" w:hAnsi="Times New Roman"/>
          <w:color w:val="111827"/>
          <w:sz w:val="20"/>
        </w:rPr>
        <w:t>However, multi-club cross-sectional panel analyses often mask the intricate operational, tactical, and strategic transitions that occur within a single elite sporting institution over time. Longitudinal single-club studies provide an essential institutional microscope, enabling researchers to trace how multi-year investment cycles and exogenous shocks interact across an extended temporal window.</w:t>
      </w:r>
    </w:p>
    <w:p>
      <w:pPr>
        <w:spacing w:before="0" w:after="100" w:line="276" w:lineRule="auto"/>
        <w:jc w:val="both"/>
      </w:pPr>
      <w:r>
        <w:rPr>
          <w:rFonts w:ascii="Times New Roman" w:hAnsi="Times New Roman"/>
          <w:color w:val="111827"/>
          <w:sz w:val="20"/>
        </w:rPr>
        <w:t>Arsenal Football Club (1886) provides a compelling longitudinal case study. Between the 2015/16 and 2024/25 seasons, the club experienced:</w:t>
      </w:r>
    </w:p>
    <w:p>
      <w:pPr>
        <w:spacing w:before="30" w:after="30" w:line="276" w:lineRule="auto"/>
        <w:ind w:left="360"/>
      </w:pPr>
      <w:r>
        <w:rPr>
          <w:rFonts w:ascii="Times New Roman" w:hAnsi="Times New Roman"/>
          <w:b/>
          <w:sz w:val="20"/>
        </w:rPr>
        <w:t xml:space="preserve">1. </w:t>
      </w:r>
      <w:r>
        <w:rPr>
          <w:rFonts w:ascii="Times New Roman" w:hAnsi="Times New Roman"/>
          <w:color w:val="111827"/>
          <w:sz w:val="20"/>
        </w:rPr>
        <w:t>A transitional sporting trajectory from the final years of Arsène Wenger’s 22-year tenure (2015/16–2017/18), through the short-lived managerial tenure of Unai Emery and interim leadership of Freddie Ljungberg (2018/19–2019/20), to a comprehensive squad rebuilding process under Mikel Arteta (2019/20–2024/25).</w:t>
      </w:r>
    </w:p>
    <w:p>
      <w:pPr>
        <w:spacing w:before="30" w:after="30" w:line="276" w:lineRule="auto"/>
        <w:ind w:left="360"/>
      </w:pPr>
      <w:r>
        <w:rPr>
          <w:rFonts w:ascii="Times New Roman" w:hAnsi="Times New Roman"/>
          <w:b/>
          <w:sz w:val="20"/>
        </w:rPr>
        <w:t xml:space="preserve">2. </w:t>
      </w:r>
      <w:r>
        <w:rPr>
          <w:rFonts w:ascii="Times New Roman" w:hAnsi="Times New Roman"/>
          <w:color w:val="111827"/>
          <w:sz w:val="20"/>
        </w:rPr>
        <w:t>A structural shift in ownership and capital structure in 2018, when Kroenke Sports &amp; Entertainment (KSE UK Inc.) acquired 100% full ownership, subsequently refinancing historical fixed-rate stadium bonds with subordinated shareholder loan facilities.</w:t>
      </w:r>
    </w:p>
    <w:p>
      <w:pPr>
        <w:spacing w:before="30" w:after="30" w:line="276" w:lineRule="auto"/>
        <w:ind w:left="360"/>
      </w:pPr>
      <w:r>
        <w:rPr>
          <w:rFonts w:ascii="Times New Roman" w:hAnsi="Times New Roman"/>
          <w:b/>
          <w:sz w:val="20"/>
        </w:rPr>
        <w:t xml:space="preserve">3. </w:t>
      </w:r>
      <w:r>
        <w:rPr>
          <w:rFonts w:ascii="Times New Roman" w:hAnsi="Times New Roman"/>
          <w:color w:val="111827"/>
          <w:sz w:val="20"/>
        </w:rPr>
        <w:t>Severe operational disruptions, including a four-season absence from the UEFA Champions League (2019/20–2022/23) and the exogenous shock of the COVID-19 pandemic, which eliminated stadium matchday revenues and compressed sporting schedules.</w:t>
      </w:r>
    </w:p>
    <w:p>
      <w:pPr>
        <w:keepNext/>
        <w:spacing w:before="220" w:after="60"/>
      </w:pPr>
      <w:r>
        <w:rPr>
          <w:rFonts w:ascii="Times New Roman" w:hAnsi="Times New Roman"/>
          <w:b/>
          <w:color w:val="1E3A8A"/>
          <w:sz w:val="22"/>
        </w:rPr>
        <w:t>Main Research Question</w:t>
      </w:r>
    </w:p>
    <w:p>
      <w:pPr>
        <w:spacing w:before="0" w:after="100" w:line="276" w:lineRule="auto"/>
        <w:jc w:val="both"/>
      </w:pPr>
      <w:r>
        <w:rPr>
          <w:rFonts w:ascii="Times New Roman" w:hAnsi="Times New Roman"/>
          <w:color w:val="111827"/>
          <w:sz w:val="20"/>
        </w:rPr>
        <w:t>To analyze this decade systematically, the study’s central inquiry is locked as:</w:t>
      </w:r>
    </w:p>
    <w:p>
      <w:pPr>
        <w:spacing w:before="0" w:after="100" w:line="276" w:lineRule="auto"/>
        <w:jc w:val="both"/>
      </w:pPr>
      <w:r>
        <w:rPr>
          <w:rFonts w:ascii="Times New Roman" w:hAnsi="Times New Roman"/>
          <w:color w:val="111827"/>
          <w:sz w:val="20"/>
        </w:rPr>
        <w:t xml:space="preserve">&gt; </w:t>
      </w:r>
      <w:r>
        <w:rPr>
          <w:rFonts w:ascii="Times New Roman" w:hAnsi="Times New Roman"/>
          <w:b/>
          <w:color w:val="111827"/>
          <w:sz w:val="20"/>
        </w:rPr>
        <w:t>"To what extent are changes in Arsenal Football Club’s financial resources and investment decisions associated with changes in sporting performance between 2015/16 and 2024/25?"</w:t>
      </w:r>
    </w:p>
    <w:p>
      <w:pPr>
        <w:keepNext/>
        <w:spacing w:before="220" w:after="60"/>
      </w:pPr>
      <w:r>
        <w:rPr>
          <w:rFonts w:ascii="Times New Roman" w:hAnsi="Times New Roman"/>
          <w:b/>
          <w:color w:val="1E3A8A"/>
          <w:sz w:val="22"/>
        </w:rPr>
        <w:t>Locked Sub-Research Questions (SQ1–SQ6)</w:t>
      </w:r>
    </w:p>
    <w:p>
      <w:pPr>
        <w:spacing w:before="0" w:after="100" w:line="276" w:lineRule="auto"/>
        <w:jc w:val="both"/>
      </w:pPr>
      <w:r>
        <w:rPr>
          <w:rFonts w:ascii="Times New Roman" w:hAnsi="Times New Roman"/>
          <w:color w:val="111827"/>
          <w:sz w:val="20"/>
        </w:rPr>
        <w:t>In strict accordance with the pre-specified research design (</w:t>
      </w:r>
      <w:r>
        <w:rPr>
          <w:rFonts w:ascii="Consolas" w:hAnsi="Consolas"/>
          <w:b/>
          <w:color w:val="1E293B"/>
          <w:sz w:val="19"/>
        </w:rPr>
        <w:t>RESEARCH_DESIGN.md</w:t>
      </w:r>
      <w:r>
        <w:rPr>
          <w:rFonts w:ascii="Times New Roman" w:hAnsi="Times New Roman"/>
          <w:color w:val="111827"/>
          <w:sz w:val="20"/>
        </w:rPr>
        <w:t>), exactly six sub-research questions are evaluated:</w:t>
      </w:r>
    </w:p>
    <w:p>
      <w:pPr>
        <w:pStyle w:val="ListBullet"/>
        <w:spacing w:before="30" w:after="30" w:line="276" w:lineRule="auto"/>
      </w:pPr>
      <w:r>
        <w:rPr>
          <w:rFonts w:ascii="Times New Roman" w:hAnsi="Times New Roman"/>
          <w:b/>
          <w:color w:val="111827"/>
          <w:sz w:val="20"/>
        </w:rPr>
        <w:t>SQ1 — Financial Evolution:</w:t>
      </w:r>
      <w:r>
        <w:rPr>
          <w:rFonts w:ascii="Times New Roman" w:hAnsi="Times New Roman"/>
          <w:color w:val="111827"/>
          <w:sz w:val="20"/>
        </w:rPr>
        <w:t xml:space="preserve"> </w:t>
      </w:r>
      <w:r>
        <w:rPr>
          <w:rFonts w:ascii="Times New Roman" w:hAnsi="Times New Roman"/>
          <w:i/>
          <w:color w:val="111827"/>
          <w:sz w:val="20"/>
        </w:rPr>
        <w:t>"How did Arsenal’s financial resources and financial structure evolve between 2015/16 and 2024/25?"</w:t>
      </w:r>
    </w:p>
    <w:p>
      <w:pPr>
        <w:pStyle w:val="ListBullet"/>
        <w:spacing w:before="30" w:after="30" w:line="276" w:lineRule="auto"/>
      </w:pPr>
      <w:r>
        <w:rPr>
          <w:rFonts w:ascii="Times New Roman" w:hAnsi="Times New Roman"/>
          <w:b/>
          <w:color w:val="111827"/>
          <w:sz w:val="20"/>
        </w:rPr>
        <w:t xml:space="preserve">SQ2 — Finance </w:t>
      </w:r>
      <w:r>
        <w:rPr>
          <w:rFonts w:ascii="Times New Roman" w:hAnsi="Times New Roman"/>
          <w:b/>
          <w:i/>
          <w:color w:val="111827"/>
          <w:sz w:val="20"/>
        </w:rPr>
        <w:t>→</w:t>
      </w:r>
      <w:r>
        <w:rPr>
          <w:rFonts w:ascii="Times New Roman" w:hAnsi="Times New Roman"/>
          <w:b/>
          <w:color w:val="111827"/>
          <w:sz w:val="20"/>
        </w:rPr>
        <w:t xml:space="preserve"> Investment:</w:t>
      </w:r>
      <w:r>
        <w:rPr>
          <w:rFonts w:ascii="Times New Roman" w:hAnsi="Times New Roman"/>
          <w:color w:val="111827"/>
          <w:sz w:val="20"/>
        </w:rPr>
        <w:t xml:space="preserve"> </w:t>
      </w:r>
      <w:r>
        <w:rPr>
          <w:rFonts w:ascii="Times New Roman" w:hAnsi="Times New Roman"/>
          <w:i/>
          <w:color w:val="111827"/>
          <w:sz w:val="20"/>
        </w:rPr>
        <w:t>"How were changes in Arsenal’s financial resources associated with changes in transfer investment?"</w:t>
      </w:r>
    </w:p>
    <w:p>
      <w:pPr>
        <w:pStyle w:val="ListBullet"/>
        <w:spacing w:before="30" w:after="30" w:line="276" w:lineRule="auto"/>
      </w:pPr>
      <w:r>
        <w:rPr>
          <w:rFonts w:ascii="Times New Roman" w:hAnsi="Times New Roman"/>
          <w:b/>
          <w:color w:val="111827"/>
          <w:sz w:val="20"/>
        </w:rPr>
        <w:t xml:space="preserve">SQ3 — Investment </w:t>
      </w:r>
      <w:r>
        <w:rPr>
          <w:rFonts w:ascii="Times New Roman" w:hAnsi="Times New Roman"/>
          <w:b/>
          <w:i/>
          <w:color w:val="111827"/>
          <w:sz w:val="20"/>
        </w:rPr>
        <w:t>→</w:t>
      </w:r>
      <w:r>
        <w:rPr>
          <w:rFonts w:ascii="Times New Roman" w:hAnsi="Times New Roman"/>
          <w:b/>
          <w:color w:val="111827"/>
          <w:sz w:val="20"/>
        </w:rPr>
        <w:t xml:space="preserve"> Subsequent Performance:</w:t>
      </w:r>
      <w:r>
        <w:rPr>
          <w:rFonts w:ascii="Times New Roman" w:hAnsi="Times New Roman"/>
          <w:color w:val="111827"/>
          <w:sz w:val="20"/>
        </w:rPr>
        <w:t xml:space="preserve"> </w:t>
      </w:r>
      <w:r>
        <w:rPr>
          <w:rFonts w:ascii="Times New Roman" w:hAnsi="Times New Roman"/>
          <w:i/>
          <w:color w:val="111827"/>
          <w:sz w:val="20"/>
        </w:rPr>
        <w:t>"To what extent was transfer investment associated with subsequent sporting performance?"</w:t>
      </w:r>
    </w:p>
    <w:p>
      <w:pPr>
        <w:pStyle w:val="ListBullet"/>
        <w:spacing w:before="30" w:after="30" w:line="276" w:lineRule="auto"/>
      </w:pPr>
      <w:r>
        <w:rPr>
          <w:rFonts w:ascii="Times New Roman" w:hAnsi="Times New Roman"/>
          <w:b/>
          <w:color w:val="111827"/>
          <w:sz w:val="20"/>
        </w:rPr>
        <w:t xml:space="preserve">SQ4 — Staff Costs / Employee Compensation </w:t>
      </w:r>
      <w:r>
        <w:rPr>
          <w:rFonts w:ascii="Times New Roman" w:hAnsi="Times New Roman"/>
          <w:b/>
          <w:i/>
          <w:color w:val="111827"/>
          <w:sz w:val="20"/>
        </w:rPr>
        <w:t>→</w:t>
      </w:r>
      <w:r>
        <w:rPr>
          <w:rFonts w:ascii="Times New Roman" w:hAnsi="Times New Roman"/>
          <w:b/>
          <w:color w:val="111827"/>
          <w:sz w:val="20"/>
        </w:rPr>
        <w:t xml:space="preserve"> Subsequent Performance:</w:t>
      </w:r>
      <w:r>
        <w:rPr>
          <w:rFonts w:ascii="Times New Roman" w:hAnsi="Times New Roman"/>
          <w:color w:val="111827"/>
          <w:sz w:val="20"/>
        </w:rPr>
        <w:t xml:space="preserve"> </w:t>
      </w:r>
      <w:r>
        <w:rPr>
          <w:rFonts w:ascii="Times New Roman" w:hAnsi="Times New Roman"/>
          <w:i/>
          <w:color w:val="111827"/>
          <w:sz w:val="20"/>
        </w:rPr>
        <w:t>"How were staff costs / employee compensation associated with subsequent sporting performance?"</w:t>
      </w:r>
    </w:p>
    <w:p>
      <w:pPr>
        <w:pStyle w:val="ListBullet"/>
        <w:spacing w:before="30" w:after="30" w:line="276" w:lineRule="auto"/>
      </w:pPr>
      <w:r>
        <w:rPr>
          <w:rFonts w:ascii="Times New Roman" w:hAnsi="Times New Roman"/>
          <w:b/>
          <w:color w:val="111827"/>
          <w:sz w:val="20"/>
        </w:rPr>
        <w:t xml:space="preserve">SQ5 — Finance </w:t>
      </w:r>
      <w:r>
        <w:rPr>
          <w:rFonts w:ascii="Times New Roman" w:hAnsi="Times New Roman"/>
          <w:b/>
          <w:i/>
          <w:color w:val="111827"/>
          <w:sz w:val="20"/>
        </w:rPr>
        <w:t>→</w:t>
      </w:r>
      <w:r>
        <w:rPr>
          <w:rFonts w:ascii="Times New Roman" w:hAnsi="Times New Roman"/>
          <w:b/>
          <w:color w:val="111827"/>
          <w:sz w:val="20"/>
        </w:rPr>
        <w:t xml:space="preserve"> Subsequent Performance:</w:t>
      </w:r>
      <w:r>
        <w:rPr>
          <w:rFonts w:ascii="Times New Roman" w:hAnsi="Times New Roman"/>
          <w:color w:val="111827"/>
          <w:sz w:val="20"/>
        </w:rPr>
        <w:t xml:space="preserve"> </w:t>
      </w:r>
      <w:r>
        <w:rPr>
          <w:rFonts w:ascii="Times New Roman" w:hAnsi="Times New Roman"/>
          <w:i/>
          <w:color w:val="111827"/>
          <w:sz w:val="20"/>
        </w:rPr>
        <w:t>"How were Arsenal’s overall financial resources associated with changes in sporting performance?"</w:t>
      </w:r>
    </w:p>
    <w:p>
      <w:pPr>
        <w:pStyle w:val="ListBullet"/>
        <w:spacing w:before="30" w:after="30" w:line="276" w:lineRule="auto"/>
      </w:pPr>
      <w:r>
        <w:rPr>
          <w:rFonts w:ascii="Times New Roman" w:hAnsi="Times New Roman"/>
          <w:b/>
          <w:color w:val="111827"/>
          <w:sz w:val="20"/>
        </w:rPr>
        <w:t>SQ6 — Investment Quality / Squad &amp; Team Performance:</w:t>
      </w:r>
      <w:r>
        <w:rPr>
          <w:rFonts w:ascii="Times New Roman" w:hAnsi="Times New Roman"/>
          <w:color w:val="111827"/>
          <w:sz w:val="20"/>
        </w:rPr>
        <w:t xml:space="preserve"> </w:t>
      </w:r>
      <w:r>
        <w:rPr>
          <w:rFonts w:ascii="Times New Roman" w:hAnsi="Times New Roman"/>
          <w:i/>
          <w:color w:val="111827"/>
          <w:sz w:val="20"/>
        </w:rPr>
        <w:t>"Was the scale of transfer investment associated with changes in squad and team performance?"</w:t>
      </w:r>
    </w:p>
    <w:p>
      <w:pPr>
        <w:spacing w:before="0" w:after="100" w:line="276" w:lineRule="auto"/>
        <w:jc w:val="both"/>
      </w:pPr>
      <w:r>
        <w:rPr>
          <w:rFonts w:ascii="Times New Roman" w:hAnsi="Times New Roman"/>
          <w:color w:val="111827"/>
          <w:sz w:val="20"/>
        </w:rPr>
        <w:t>In accordance with locked protocol rules, no additional sub-research questions (such as preliminary SQ7 or SQ8) were admitted. Macroeconomic shocks (COVID-19) and managerial eras are evaluated strictly as contextual conditioning variables rather than standalone research questions.</w:t>
      </w:r>
    </w:p>
    <w:p>
      <w:pPr>
        <w:keepNext/>
        <w:spacing w:before="300" w:after="100"/>
      </w:pPr>
      <w:r>
        <w:rPr>
          <w:rFonts w:ascii="Times New Roman" w:hAnsi="Times New Roman"/>
          <w:b/>
          <w:color w:val="0F254B"/>
          <w:sz w:val="26"/>
        </w:rPr>
        <w:t>2. Institutional Context, Data Architecture &amp; Provenance</w:t>
      </w:r>
    </w:p>
    <w:p>
      <w:pPr>
        <w:keepNext/>
        <w:spacing w:before="220" w:after="60"/>
      </w:pPr>
      <w:r>
        <w:rPr>
          <w:rFonts w:ascii="Times New Roman" w:hAnsi="Times New Roman"/>
          <w:b/>
          <w:color w:val="1E3A8A"/>
          <w:sz w:val="22"/>
        </w:rPr>
        <w:t>Master Panel Architecture</w:t>
      </w:r>
    </w:p>
    <w:p>
      <w:pPr>
        <w:spacing w:before="0" w:after="100" w:line="276" w:lineRule="auto"/>
        <w:jc w:val="both"/>
      </w:pPr>
      <w:r>
        <w:rPr>
          <w:rFonts w:ascii="Times New Roman" w:hAnsi="Times New Roman"/>
          <w:color w:val="111827"/>
          <w:sz w:val="20"/>
        </w:rPr>
        <w:t>To eliminate data contamination and reproducibility drift, the study constructed an immutable master panel dataset (</w:t>
      </w:r>
      <w:r>
        <w:rPr>
          <w:rFonts w:ascii="Consolas" w:hAnsi="Consolas"/>
          <w:b/>
          <w:color w:val="1E293B"/>
          <w:sz w:val="19"/>
        </w:rPr>
        <w:t>arsenal_master_panel.csv</w:t>
      </w:r>
      <w:r>
        <w:rPr>
          <w:rFonts w:ascii="Times New Roman" w:hAnsi="Times New Roman"/>
          <w:color w:val="111827"/>
          <w:sz w:val="20"/>
        </w:rPr>
        <w:t xml:space="preserve">) comprising exactly 10 annual rows (seasons 2015/16 through 2024/25) and 108 standardized variables. The ongoing 2025/26 season was strictly excluded to prevent partial-year survivorship distortions. The dataset was locked with an immutable cryptographic SHA-256 hash: </w:t>
      </w:r>
      <w:r>
        <w:rPr>
          <w:rFonts w:ascii="Consolas" w:hAnsi="Consolas"/>
          <w:b/>
          <w:color w:val="1E293B"/>
          <w:sz w:val="19"/>
        </w:rPr>
        <w:t>9b3f66070c87bb81892461c77ca9a7e5c5493e318a6310ad5a6c721d49697cd3</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The panel links three primary empirical domain modules:</w:t>
      </w:r>
    </w:p>
    <w:p>
      <w:pPr>
        <w:keepNext/>
        <w:spacing w:before="220" w:after="60"/>
      </w:pPr>
      <w:r>
        <w:rPr>
          <w:rFonts w:ascii="Times New Roman" w:hAnsi="Times New Roman"/>
          <w:b/>
          <w:color w:val="1E3A8A"/>
          <w:sz w:val="22"/>
        </w:rPr>
        <w:t>1. Financial Domain Module</w:t>
      </w:r>
    </w:p>
    <w:p>
      <w:pPr>
        <w:pStyle w:val="ListBullet"/>
        <w:spacing w:before="30" w:after="30" w:line="276" w:lineRule="auto"/>
      </w:pPr>
      <w:r>
        <w:rPr>
          <w:rFonts w:ascii="Times New Roman" w:hAnsi="Times New Roman"/>
          <w:b/>
          <w:color w:val="111827"/>
          <w:sz w:val="20"/>
        </w:rPr>
        <w:t>Primary Statutory Source:</w:t>
      </w:r>
      <w:r>
        <w:rPr>
          <w:rFonts w:ascii="Times New Roman" w:hAnsi="Times New Roman"/>
          <w:color w:val="111827"/>
          <w:sz w:val="20"/>
        </w:rPr>
        <w:t xml:space="preserve"> Audited Annual Report and Financial Statements of Arsenal Holdings Limited (and subsidiary operating companies Arsenal Football Club plc) filed with Companies House (UK).</w:t>
      </w:r>
    </w:p>
    <w:p>
      <w:pPr>
        <w:pStyle w:val="ListBullet"/>
        <w:spacing w:before="30" w:after="30" w:line="276" w:lineRule="auto"/>
      </w:pPr>
      <w:r>
        <w:rPr>
          <w:rFonts w:ascii="Times New Roman" w:hAnsi="Times New Roman"/>
          <w:b/>
          <w:color w:val="111827"/>
          <w:sz w:val="20"/>
        </w:rPr>
        <w:t>Temporal Boundary:</w:t>
      </w:r>
      <w:r>
        <w:rPr>
          <w:rFonts w:ascii="Times New Roman" w:hAnsi="Times New Roman"/>
          <w:color w:val="111827"/>
          <w:sz w:val="20"/>
        </w:rPr>
        <w:t xml:space="preserve"> Financial reporting periods ending 31 May each year (FY2016 through FY2025).</w:t>
      </w:r>
    </w:p>
    <w:p>
      <w:pPr>
        <w:pStyle w:val="ListBullet"/>
        <w:spacing w:before="30" w:after="30" w:line="276" w:lineRule="auto"/>
      </w:pPr>
      <w:r>
        <w:rPr>
          <w:rFonts w:ascii="Times New Roman" w:hAnsi="Times New Roman"/>
          <w:b/>
          <w:color w:val="111827"/>
          <w:sz w:val="20"/>
        </w:rPr>
        <w:t>Core Indicators:</w:t>
      </w:r>
      <w:r>
        <w:rPr>
          <w:rFonts w:ascii="Times New Roman" w:hAnsi="Times New Roman"/>
          <w:color w:val="111827"/>
          <w:sz w:val="20"/>
        </w:rPr>
        <w:t xml:space="preserve"> Football turnover (disaggregated into matchday, broadcasting, and commercial), staff costs / employee compensation, balance sheet net debt, operating profit/loss, net profit/loss, cash balances, and IAS 38 intangible asset additions.</w:t>
      </w:r>
    </w:p>
    <w:p>
      <w:pPr>
        <w:pStyle w:val="ListBullet"/>
        <w:spacing w:before="30" w:after="30" w:line="276" w:lineRule="auto"/>
      </w:pPr>
      <w:r>
        <w:rPr>
          <w:rFonts w:ascii="Times New Roman" w:hAnsi="Times New Roman"/>
          <w:b/>
          <w:color w:val="111827"/>
          <w:sz w:val="20"/>
        </w:rPr>
        <w:t>Variable Boundary Clarification:</w:t>
      </w:r>
      <w:r>
        <w:rPr>
          <w:rFonts w:ascii="Times New Roman" w:hAnsi="Times New Roman"/>
          <w:color w:val="111827"/>
          <w:sz w:val="20"/>
        </w:rPr>
        <w:t xml:space="preserve"> Under statutory UK GAAP and IFRS disclosures, employee compensation is reported as </w:t>
      </w:r>
      <w:r>
        <w:rPr>
          <w:rFonts w:ascii="Consolas" w:hAnsi="Consolas"/>
          <w:b/>
          <w:color w:val="1E293B"/>
          <w:sz w:val="19"/>
        </w:rPr>
        <w:t>staff_costs</w:t>
      </w:r>
      <w:r>
        <w:rPr>
          <w:rFonts w:ascii="Times New Roman" w:hAnsi="Times New Roman"/>
          <w:color w:val="111827"/>
          <w:sz w:val="20"/>
        </w:rPr>
        <w:t xml:space="preserve">. </w:t>
      </w:r>
      <w:r>
        <w:rPr>
          <w:rFonts w:ascii="Times New Roman" w:hAnsi="Times New Roman"/>
          <w:b/>
          <w:color w:val="111827"/>
          <w:sz w:val="20"/>
        </w:rPr>
        <w:t>`staff_costs` is NOT a player-only wage variable.</w:t>
      </w:r>
      <w:r>
        <w:rPr>
          <w:rFonts w:ascii="Times New Roman" w:hAnsi="Times New Roman"/>
          <w:color w:val="111827"/>
          <w:sz w:val="20"/>
        </w:rPr>
        <w:t xml:space="preserve"> It comprises aggregate statutory remuneration across all club employees—playing squad, managerial and coaching staff, academy personnel, medical teams, administrative staff, commercial operations, and statutory employer pension/social security charges.</w:t>
      </w:r>
    </w:p>
    <w:p>
      <w:pPr>
        <w:keepNext/>
        <w:spacing w:before="220" w:after="60"/>
      </w:pPr>
      <w:r>
        <w:rPr>
          <w:rFonts w:ascii="Times New Roman" w:hAnsi="Times New Roman"/>
          <w:b/>
          <w:color w:val="1E3A8A"/>
          <w:sz w:val="22"/>
        </w:rPr>
        <w:t>2. Transfer Market Module</w:t>
      </w:r>
    </w:p>
    <w:p>
      <w:pPr>
        <w:pStyle w:val="ListBullet"/>
        <w:spacing w:before="30" w:after="30" w:line="276" w:lineRule="auto"/>
      </w:pPr>
      <w:r>
        <w:rPr>
          <w:rFonts w:ascii="Times New Roman" w:hAnsi="Times New Roman"/>
          <w:b/>
          <w:color w:val="111827"/>
          <w:sz w:val="20"/>
        </w:rPr>
        <w:t>Census Scope:</w:t>
      </w:r>
      <w:r>
        <w:rPr>
          <w:rFonts w:ascii="Times New Roman" w:hAnsi="Times New Roman"/>
          <w:color w:val="111827"/>
          <w:sz w:val="20"/>
        </w:rPr>
        <w:t xml:space="preserve"> A census of 128 player transfer transactions (acquisitions and departures) occurring between June 2015 and May 2025.</w:t>
      </w:r>
    </w:p>
    <w:p>
      <w:pPr>
        <w:pStyle w:val="ListBullet"/>
        <w:spacing w:before="30" w:after="30" w:line="276" w:lineRule="auto"/>
      </w:pPr>
      <w:r>
        <w:rPr>
          <w:rFonts w:ascii="Times New Roman" w:hAnsi="Times New Roman"/>
          <w:b/>
          <w:color w:val="111827"/>
          <w:sz w:val="20"/>
        </w:rPr>
        <w:t>Primary Measure:</w:t>
      </w:r>
      <w:r>
        <w:rPr>
          <w:rFonts w:ascii="Times New Roman" w:hAnsi="Times New Roman"/>
          <w:color w:val="111827"/>
          <w:sz w:val="20"/>
        </w:rPr>
        <w:t xml:space="preserve"> Permanent gross transfer expenditure (</w:t>
      </w:r>
      <w:r>
        <w:rPr>
          <w:rFonts w:ascii="Consolas" w:hAnsi="Consolas"/>
          <w:b/>
          <w:color w:val="1E293B"/>
          <w:sz w:val="19"/>
        </w:rPr>
        <w:t>permanent_gross_transfer_spend</w:t>
      </w:r>
      <w:r>
        <w:rPr>
          <w:rFonts w:ascii="Times New Roman" w:hAnsi="Times New Roman"/>
          <w:color w:val="111827"/>
          <w:sz w:val="20"/>
        </w:rPr>
        <w:t>), defined strictly as the gross fixed/guaranteed consideration committed for permanent senior first-team player registrations.</w:t>
      </w:r>
    </w:p>
    <w:p>
      <w:pPr>
        <w:pStyle w:val="ListBullet"/>
        <w:spacing w:before="30" w:after="30" w:line="276" w:lineRule="auto"/>
      </w:pPr>
      <w:r>
        <w:rPr>
          <w:rFonts w:ascii="Times New Roman" w:hAnsi="Times New Roman"/>
          <w:b/>
          <w:color w:val="111827"/>
          <w:sz w:val="20"/>
        </w:rPr>
        <w:t>Transfer Measurement Uncertainty Protocol:</w:t>
      </w:r>
      <w:r>
        <w:rPr>
          <w:rFonts w:ascii="Times New Roman" w:hAnsi="Times New Roman"/>
          <w:color w:val="111827"/>
          <w:sz w:val="20"/>
        </w:rPr>
        <w:t xml:space="preserve"> In European professional football, transfer consideration is rarely disclosed in statutory accounts on an individualized basis. Across Arsenal’s 128 transactions, only 9 transactions possessed primary regulatory fee verification. Consequently, 77.8% of total gross consideration (£845.50m out of £1,087.03m across the decade) relies on verified secondary consensus reporting (e.g. BBC Sport, The Athletic, Transfermarkt). Measurement error and estimation uncertainty are explicitly recognized.</w:t>
      </w:r>
    </w:p>
    <w:p>
      <w:pPr>
        <w:keepNext/>
        <w:spacing w:before="220" w:after="60"/>
      </w:pPr>
      <w:r>
        <w:rPr>
          <w:rFonts w:ascii="Times New Roman" w:hAnsi="Times New Roman"/>
          <w:b/>
          <w:color w:val="1E3A8A"/>
          <w:sz w:val="22"/>
        </w:rPr>
        <w:t>3. Sporting &amp; Advanced Analytics Module</w:t>
      </w:r>
    </w:p>
    <w:p>
      <w:pPr>
        <w:pStyle w:val="ListBullet"/>
        <w:spacing w:before="30" w:after="30" w:line="276" w:lineRule="auto"/>
      </w:pPr>
      <w:r>
        <w:rPr>
          <w:rFonts w:ascii="Times New Roman" w:hAnsi="Times New Roman"/>
          <w:b/>
          <w:color w:val="111827"/>
          <w:sz w:val="20"/>
        </w:rPr>
        <w:t>Official Competition Sources:</w:t>
      </w:r>
      <w:r>
        <w:rPr>
          <w:rFonts w:ascii="Times New Roman" w:hAnsi="Times New Roman"/>
          <w:color w:val="111827"/>
          <w:sz w:val="20"/>
        </w:rPr>
        <w:t xml:space="preserve"> Premier League official competition tables and match records, capturing championship points, points per match (PPG), goal differential, and final league rank.</w:t>
      </w:r>
    </w:p>
    <w:p>
      <w:pPr>
        <w:pStyle w:val="ListBullet"/>
        <w:spacing w:before="30" w:after="30" w:line="276" w:lineRule="auto"/>
      </w:pPr>
      <w:r>
        <w:rPr>
          <w:rFonts w:ascii="Times New Roman" w:hAnsi="Times New Roman"/>
          <w:b/>
          <w:color w:val="111827"/>
          <w:sz w:val="20"/>
        </w:rPr>
        <w:t>Advanced Tactical Analytics:</w:t>
      </w:r>
      <w:r>
        <w:rPr>
          <w:rFonts w:ascii="Times New Roman" w:hAnsi="Times New Roman"/>
          <w:color w:val="111827"/>
          <w:sz w:val="20"/>
        </w:rPr>
        <w:t xml:space="preserve"> Third-party expected goals (</w:t>
      </w:r>
      <w:r>
        <w:rPr>
          <w:rFonts w:ascii="Times New Roman" w:hAnsi="Times New Roman"/>
          <w:i/>
          <w:color w:val="111827"/>
          <w:sz w:val="20"/>
        </w:rPr>
        <w:t>xG</w:t>
      </w:r>
      <w:r>
        <w:rPr>
          <w:rFonts w:ascii="Times New Roman" w:hAnsi="Times New Roman"/>
          <w:color w:val="111827"/>
          <w:sz w:val="20"/>
        </w:rPr>
        <w:t>), expected goals against (</w:t>
      </w:r>
      <w:r>
        <w:rPr>
          <w:rFonts w:ascii="Times New Roman" w:hAnsi="Times New Roman"/>
          <w:i/>
          <w:color w:val="111827"/>
          <w:sz w:val="20"/>
        </w:rPr>
        <w:t>xGA</w:t>
      </w:r>
      <w:r>
        <w:rPr>
          <w:rFonts w:ascii="Times New Roman" w:hAnsi="Times New Roman"/>
          <w:color w:val="111827"/>
          <w:sz w:val="20"/>
        </w:rPr>
        <w:t>), expected goal difference (</w:t>
      </w:r>
      <w:r>
        <w:rPr>
          <w:rFonts w:ascii="Times New Roman" w:hAnsi="Times New Roman"/>
          <w:i/>
          <w:color w:val="111827"/>
          <w:sz w:val="20"/>
        </w:rPr>
        <w:t>xGD</w:t>
      </w:r>
      <w:r>
        <w:rPr>
          <w:rFonts w:ascii="Times New Roman" w:hAnsi="Times New Roman"/>
          <w:color w:val="111827"/>
          <w:sz w:val="20"/>
        </w:rPr>
        <w:t>), expected points (</w:t>
      </w:r>
      <w:r>
        <w:rPr>
          <w:rFonts w:ascii="Times New Roman" w:hAnsi="Times New Roman"/>
          <w:i/>
          <w:color w:val="111827"/>
          <w:sz w:val="20"/>
        </w:rPr>
        <w:t>xPTS</w:t>
      </w:r>
      <w:r>
        <w:rPr>
          <w:rFonts w:ascii="Times New Roman" w:hAnsi="Times New Roman"/>
          <w:color w:val="111827"/>
          <w:sz w:val="20"/>
        </w:rPr>
        <w:t>), and Passes Per Defensive Action (</w:t>
      </w:r>
      <w:r>
        <w:rPr>
          <w:rFonts w:ascii="Times New Roman" w:hAnsi="Times New Roman"/>
          <w:i/>
          <w:color w:val="111827"/>
          <w:sz w:val="20"/>
        </w:rPr>
        <w:t>PPDA</w:t>
      </w:r>
      <w:r>
        <w:rPr>
          <w:rFonts w:ascii="Times New Roman" w:hAnsi="Times New Roman"/>
          <w:color w:val="111827"/>
          <w:sz w:val="20"/>
        </w:rPr>
        <w:t>) sourced from Understat.</w:t>
      </w:r>
    </w:p>
    <w:p>
      <w:pPr>
        <w:pStyle w:val="ListBullet"/>
        <w:spacing w:before="30" w:after="30" w:line="276" w:lineRule="auto"/>
      </w:pPr>
      <w:r>
        <w:rPr>
          <w:rFonts w:ascii="Times New Roman" w:hAnsi="Times New Roman"/>
          <w:b/>
          <w:color w:val="111827"/>
          <w:sz w:val="20"/>
        </w:rPr>
        <w:t>Source Authority Boundary:</w:t>
      </w:r>
      <w:r>
        <w:rPr>
          <w:rFonts w:ascii="Times New Roman" w:hAnsi="Times New Roman"/>
          <w:color w:val="111827"/>
          <w:sz w:val="20"/>
        </w:rPr>
        <w:t xml:space="preserve"> Understat metrics are acknowledged strictly as third-party proprietary analytical estimates rather than official competition data.</w:t>
      </w:r>
    </w:p>
    <w:p>
      <w:pPr>
        <w:keepNext/>
        <w:spacing w:before="220" w:after="60"/>
      </w:pPr>
      <w:r>
        <w:rPr>
          <w:rFonts w:ascii="Times New Roman" w:hAnsi="Times New Roman"/>
          <w:b/>
          <w:color w:val="1E3A8A"/>
          <w:sz w:val="22"/>
        </w:rPr>
        <w:t>Provenance Tracking</w:t>
      </w:r>
    </w:p>
    <w:p>
      <w:pPr>
        <w:spacing w:before="0" w:after="100" w:line="276" w:lineRule="auto"/>
        <w:jc w:val="both"/>
      </w:pPr>
      <w:r>
        <w:rPr>
          <w:rFonts w:ascii="Times New Roman" w:hAnsi="Times New Roman"/>
          <w:color w:val="111827"/>
          <w:sz w:val="20"/>
        </w:rPr>
        <w:t>Every single cell in the master panel (1,070 individual data cells) was reconciled against an automated provenance map (</w:t>
      </w:r>
      <w:r>
        <w:rPr>
          <w:rFonts w:ascii="Consolas" w:hAnsi="Consolas"/>
          <w:b/>
          <w:color w:val="1E293B"/>
          <w:sz w:val="19"/>
        </w:rPr>
        <w:t>master_provenance_map.csv</w:t>
      </w:r>
      <w:r>
        <w:rPr>
          <w:rFonts w:ascii="Times New Roman" w:hAnsi="Times New Roman"/>
          <w:color w:val="111827"/>
          <w:sz w:val="20"/>
        </w:rPr>
        <w:t>) linking the cell value directly to its source observation ID, extraction methodology, and mathematical transformation, verifying 100% data fidelity with zero orphan records (</w:t>
      </w:r>
      <w:r>
        <w:rPr>
          <w:rFonts w:ascii="Consolas" w:hAnsi="Consolas"/>
          <w:b/>
          <w:color w:val="1E293B"/>
          <w:sz w:val="19"/>
        </w:rPr>
        <w:t>MASTER_PROVENANCE_FIDELITY_RESULTS.csv</w:t>
      </w:r>
      <w:r>
        <w:rPr>
          <w:rFonts w:ascii="Times New Roman" w:hAnsi="Times New Roman"/>
          <w:color w:val="111827"/>
          <w:sz w:val="20"/>
        </w:rPr>
        <w:t>).</w:t>
      </w:r>
    </w:p>
    <w:p>
      <w:pPr>
        <w:keepNext/>
        <w:spacing w:before="300" w:after="100"/>
      </w:pPr>
      <w:r>
        <w:rPr>
          <w:rFonts w:ascii="Times New Roman" w:hAnsi="Times New Roman"/>
          <w:b/>
          <w:color w:val="0F254B"/>
          <w:sz w:val="26"/>
        </w:rPr>
        <w:t>3. Empirical Research Design &amp; Methodology</w:t>
      </w:r>
    </w:p>
    <w:p>
      <w:pPr>
        <w:keepNext/>
        <w:spacing w:before="220" w:after="60"/>
      </w:pPr>
      <w:r>
        <w:rPr>
          <w:rFonts w:ascii="Times New Roman" w:hAnsi="Times New Roman"/>
          <w:b/>
          <w:color w:val="1E3A8A"/>
          <w:sz w:val="22"/>
        </w:rPr>
        <w:t>Methodological Stance: Associational Case Study</w:t>
      </w:r>
    </w:p>
    <w:p>
      <w:pPr>
        <w:spacing w:before="0" w:after="100" w:line="276" w:lineRule="auto"/>
        <w:jc w:val="both"/>
      </w:pPr>
      <w:r>
        <w:rPr>
          <w:rFonts w:ascii="Times New Roman" w:hAnsi="Times New Roman"/>
          <w:color w:val="111827"/>
          <w:sz w:val="20"/>
        </w:rPr>
        <w:t xml:space="preserve">This study is explicitly designed as an </w:t>
      </w:r>
      <w:r>
        <w:rPr>
          <w:rFonts w:ascii="Times New Roman" w:hAnsi="Times New Roman"/>
          <w:b/>
          <w:color w:val="111827"/>
          <w:sz w:val="20"/>
        </w:rPr>
        <w:t>associational longitudinal case study</w:t>
      </w:r>
      <w:r>
        <w:rPr>
          <w:rFonts w:ascii="Times New Roman" w:hAnsi="Times New Roman"/>
          <w:color w:val="111827"/>
          <w:sz w:val="20"/>
        </w:rPr>
        <w:t>. The empirical investigation strictly precludes:</w:t>
      </w:r>
    </w:p>
    <w:p>
      <w:pPr>
        <w:pStyle w:val="ListBullet"/>
        <w:spacing w:before="30" w:after="30" w:line="276" w:lineRule="auto"/>
      </w:pPr>
      <w:r>
        <w:rPr>
          <w:rFonts w:ascii="Times New Roman" w:hAnsi="Times New Roman"/>
          <w:color w:val="111827"/>
          <w:sz w:val="20"/>
        </w:rPr>
        <w:t>Ordinary Least Squares (OLS) regressions;</w:t>
      </w:r>
    </w:p>
    <w:p>
      <w:pPr>
        <w:pStyle w:val="ListBullet"/>
        <w:spacing w:before="30" w:after="30" w:line="276" w:lineRule="auto"/>
      </w:pPr>
      <w:r>
        <w:rPr>
          <w:rFonts w:ascii="Times New Roman" w:hAnsi="Times New Roman"/>
          <w:color w:val="111827"/>
          <w:sz w:val="20"/>
        </w:rPr>
        <w:t>Multivariable econometric modeling;</w:t>
      </w:r>
    </w:p>
    <w:p>
      <w:pPr>
        <w:pStyle w:val="ListBullet"/>
        <w:spacing w:before="30" w:after="30" w:line="276" w:lineRule="auto"/>
      </w:pPr>
      <w:r>
        <w:rPr>
          <w:rFonts w:ascii="Times New Roman" w:hAnsi="Times New Roman"/>
          <w:color w:val="111827"/>
          <w:sz w:val="20"/>
        </w:rPr>
        <w:t>Machine learning algorithms or predictive forecasting;</w:t>
      </w:r>
    </w:p>
    <w:p>
      <w:pPr>
        <w:pStyle w:val="ListBullet"/>
        <w:spacing w:before="30" w:after="30" w:line="276" w:lineRule="auto"/>
      </w:pPr>
      <w:r>
        <w:rPr>
          <w:rFonts w:ascii="Times New Roman" w:hAnsi="Times New Roman"/>
          <w:color w:val="111827"/>
          <w:sz w:val="20"/>
        </w:rPr>
        <w:t>Panel regression inference;</w:t>
      </w:r>
    </w:p>
    <w:p>
      <w:pPr>
        <w:pStyle w:val="ListBullet"/>
        <w:spacing w:before="30" w:after="30" w:line="276" w:lineRule="auto"/>
      </w:pPr>
      <w:r>
        <w:rPr>
          <w:rFonts w:ascii="Times New Roman" w:hAnsi="Times New Roman"/>
          <w:color w:val="111827"/>
          <w:sz w:val="20"/>
        </w:rPr>
        <w:t>Quasi-experimental causal claims.</w:t>
      </w:r>
    </w:p>
    <w:p>
      <w:pPr>
        <w:spacing w:before="0" w:after="100" w:line="276" w:lineRule="auto"/>
        <w:jc w:val="both"/>
      </w:pPr>
      <w:r>
        <w:rPr>
          <w:rFonts w:ascii="Times New Roman" w:hAnsi="Times New Roman"/>
          <w:color w:val="111827"/>
          <w:sz w:val="20"/>
        </w:rPr>
        <w:t>Given the bounded sample size of a single club observed across a single decade (</w:t>
      </w:r>
      <w:r>
        <w:rPr>
          <w:rFonts w:ascii="Times New Roman" w:hAnsi="Times New Roman"/>
          <w:i/>
          <w:color w:val="111827"/>
          <w:sz w:val="20"/>
        </w:rPr>
        <w:t>N=10</w:t>
      </w:r>
      <w:r>
        <w:rPr>
          <w:rFonts w:ascii="Times New Roman" w:hAnsi="Times New Roman"/>
          <w:color w:val="111827"/>
          <w:sz w:val="20"/>
        </w:rPr>
        <w:t>), multivariable specifications would violate degrees-of-freedom constraints, generate severe multicollinearity, and risk artificial overfitting. All evaluations are therefore confined to bivariate correlation analysis, temporal precedence tracking, and systematic influence audits.</w:t>
      </w:r>
    </w:p>
    <w:p>
      <w:pPr>
        <w:keepNext/>
        <w:spacing w:before="220" w:after="60"/>
      </w:pPr>
      <w:r>
        <w:rPr>
          <w:rFonts w:ascii="Times New Roman" w:hAnsi="Times New Roman"/>
          <w:b/>
          <w:color w:val="1E3A8A"/>
          <w:sz w:val="22"/>
        </w:rPr>
        <w:t>Sample Sizes &amp; Temporal Ordering</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Contemporaneous Specifications (</w:t>
      </w:r>
      <w:r>
        <w:rPr>
          <w:rFonts w:ascii="Times New Roman" w:hAnsi="Times New Roman"/>
          <w:b/>
          <w:i/>
          <w:color w:val="111827"/>
          <w:sz w:val="20"/>
        </w:rPr>
        <w:t>t</w:t>
      </w:r>
      <w:r>
        <w:rPr>
          <w:rFonts w:ascii="Times New Roman" w:hAnsi="Times New Roman"/>
          <w:b/>
          <w:color w:val="111827"/>
          <w:sz w:val="20"/>
        </w:rPr>
        <w:t xml:space="preserve"> vs </w:t>
      </w:r>
      <w:r>
        <w:rPr>
          <w:rFonts w:ascii="Times New Roman" w:hAnsi="Times New Roman"/>
          <w:b/>
          <w:i/>
          <w:color w:val="111827"/>
          <w:sz w:val="20"/>
        </w:rPr>
        <w:t>t</w:t>
      </w:r>
      <w:r>
        <w:rPr>
          <w:rFonts w:ascii="Times New Roman" w:hAnsi="Times New Roman"/>
          <w:b/>
          <w:color w:val="111827"/>
          <w:sz w:val="20"/>
        </w:rPr>
        <w:t>):</w:t>
      </w:r>
      <w:r>
        <w:rPr>
          <w:rFonts w:ascii="Times New Roman" w:hAnsi="Times New Roman"/>
          <w:color w:val="111827"/>
          <w:sz w:val="20"/>
        </w:rPr>
        <w:t xml:space="preserve"> Evaluated across the full decade: </w:t>
      </w:r>
      <w:r>
        <w:rPr>
          <w:rFonts w:ascii="Times New Roman" w:hAnsi="Times New Roman"/>
          <w:i/>
          <w:color w:val="111827"/>
          <w:sz w:val="20"/>
        </w:rPr>
        <w:t>N = 10</w:t>
      </w:r>
      <w:r>
        <w:rPr>
          <w:rFonts w:ascii="Times New Roman" w:hAnsi="Times New Roman"/>
          <w:color w:val="111827"/>
          <w:sz w:val="20"/>
        </w:rPr>
        <w:t xml:space="preserve"> annual observations.</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Lagged Specifications (</w:t>
      </w:r>
      <w:r>
        <w:rPr>
          <w:rFonts w:ascii="Times New Roman" w:hAnsi="Times New Roman"/>
          <w:b/>
          <w:i/>
          <w:color w:val="111827"/>
          <w:sz w:val="20"/>
        </w:rPr>
        <w:t>t → t+1</w:t>
      </w:r>
      <w:r>
        <w:rPr>
          <w:rFonts w:ascii="Times New Roman" w:hAnsi="Times New Roman"/>
          <w:b/>
          <w:color w:val="111827"/>
          <w:sz w:val="20"/>
        </w:rPr>
        <w:t>):</w:t>
      </w:r>
      <w:r>
        <w:rPr>
          <w:rFonts w:ascii="Times New Roman" w:hAnsi="Times New Roman"/>
          <w:color w:val="111827"/>
          <w:sz w:val="20"/>
        </w:rPr>
        <w:t xml:space="preserve"> To test whether financial resources or investments in period </w:t>
      </w:r>
      <w:r>
        <w:rPr>
          <w:rFonts w:ascii="Times New Roman" w:hAnsi="Times New Roman"/>
          <w:i/>
          <w:color w:val="111827"/>
          <w:sz w:val="20"/>
        </w:rPr>
        <w:t>t</w:t>
      </w:r>
      <w:r>
        <w:rPr>
          <w:rFonts w:ascii="Times New Roman" w:hAnsi="Times New Roman"/>
          <w:color w:val="111827"/>
          <w:sz w:val="20"/>
        </w:rPr>
        <w:t xml:space="preserve"> precede sporting outcomes in period </w:t>
      </w:r>
      <w:r>
        <w:rPr>
          <w:rFonts w:ascii="Times New Roman" w:hAnsi="Times New Roman"/>
          <w:i/>
          <w:color w:val="111827"/>
          <w:sz w:val="20"/>
        </w:rPr>
        <w:t>t+1</w:t>
      </w:r>
      <w:r>
        <w:rPr>
          <w:rFonts w:ascii="Times New Roman" w:hAnsi="Times New Roman"/>
          <w:color w:val="111827"/>
          <w:sz w:val="20"/>
        </w:rPr>
        <w:t xml:space="preserve">, lagged pairs were constructed: </w:t>
      </w:r>
      <w:r>
        <w:rPr>
          <w:rFonts w:ascii="Times New Roman" w:hAnsi="Times New Roman"/>
          <w:i/>
          <w:color w:val="111827"/>
          <w:sz w:val="20"/>
        </w:rPr>
        <w:t>N = 9</w:t>
      </w:r>
      <w:r>
        <w:rPr>
          <w:rFonts w:ascii="Times New Roman" w:hAnsi="Times New Roman"/>
          <w:color w:val="111827"/>
          <w:sz w:val="20"/>
        </w:rPr>
        <w:t xml:space="preserve"> season transitions (2015/16 </w:t>
      </w:r>
      <w:r>
        <w:rPr>
          <w:rFonts w:ascii="Times New Roman" w:hAnsi="Times New Roman"/>
          <w:i/>
          <w:color w:val="111827"/>
          <w:sz w:val="20"/>
        </w:rPr>
        <w:t>→</w:t>
      </w:r>
      <w:r>
        <w:rPr>
          <w:rFonts w:ascii="Times New Roman" w:hAnsi="Times New Roman"/>
          <w:color w:val="111827"/>
          <w:sz w:val="20"/>
        </w:rPr>
        <w:t xml:space="preserve"> 2016/17 through 2023/24 </w:t>
      </w:r>
      <w:r>
        <w:rPr>
          <w:rFonts w:ascii="Times New Roman" w:hAnsi="Times New Roman"/>
          <w:i/>
          <w:color w:val="111827"/>
          <w:sz w:val="20"/>
        </w:rPr>
        <w:t>→</w:t>
      </w:r>
      <w:r>
        <w:rPr>
          <w:rFonts w:ascii="Times New Roman" w:hAnsi="Times New Roman"/>
          <w:color w:val="111827"/>
          <w:sz w:val="20"/>
        </w:rPr>
        <w:t xml:space="preserve"> 2024/25).</w:t>
      </w:r>
    </w:p>
    <w:p>
      <w:pPr>
        <w:spacing w:before="30" w:after="30" w:line="276" w:lineRule="auto"/>
        <w:ind w:left="360"/>
      </w:pPr>
      <w:r>
        <w:rPr>
          <w:rFonts w:ascii="Times New Roman" w:hAnsi="Times New Roman"/>
          <w:b/>
          <w:sz w:val="20"/>
        </w:rPr>
        <w:t xml:space="preserve">3. </w:t>
      </w:r>
      <w:r>
        <w:rPr>
          <w:rFonts w:ascii="Times New Roman" w:hAnsi="Times New Roman"/>
          <w:b/>
          <w:color w:val="111827"/>
          <w:sz w:val="20"/>
        </w:rPr>
        <w:t>COVID-Excluded Sensitivity Subsets:</w:t>
      </w:r>
    </w:p>
    <w:p>
      <w:pPr>
        <w:spacing w:before="0" w:after="100" w:line="276" w:lineRule="auto"/>
        <w:jc w:val="both"/>
      </w:pPr>
      <w:r>
        <w:rPr>
          <w:rFonts w:ascii="Times New Roman" w:hAnsi="Times New Roman"/>
          <w:color w:val="111827"/>
          <w:sz w:val="20"/>
        </w:rPr>
        <w:t xml:space="preserve">   - Contemporaneous: </w:t>
      </w:r>
      <w:r>
        <w:rPr>
          <w:rFonts w:ascii="Times New Roman" w:hAnsi="Times New Roman"/>
          <w:i/>
          <w:color w:val="111827"/>
          <w:sz w:val="20"/>
        </w:rPr>
        <w:t>N = 8</w:t>
      </w:r>
      <w:r>
        <w:rPr>
          <w:rFonts w:ascii="Times New Roman" w:hAnsi="Times New Roman"/>
          <w:color w:val="111827"/>
          <w:sz w:val="20"/>
        </w:rPr>
        <w:t xml:space="preserve"> (omitting 2019/20 and 2020/21).</w:t>
      </w:r>
    </w:p>
    <w:p>
      <w:pPr>
        <w:spacing w:before="0" w:after="100" w:line="276" w:lineRule="auto"/>
        <w:jc w:val="both"/>
      </w:pPr>
      <w:r>
        <w:rPr>
          <w:rFonts w:ascii="Times New Roman" w:hAnsi="Times New Roman"/>
          <w:color w:val="111827"/>
          <w:sz w:val="20"/>
        </w:rPr>
        <w:t xml:space="preserve">   - Lagged: </w:t>
      </w:r>
      <w:r>
        <w:rPr>
          <w:rFonts w:ascii="Times New Roman" w:hAnsi="Times New Roman"/>
          <w:i/>
          <w:color w:val="111827"/>
          <w:sz w:val="20"/>
        </w:rPr>
        <w:t>N = 6</w:t>
      </w:r>
      <w:r>
        <w:rPr>
          <w:rFonts w:ascii="Times New Roman" w:hAnsi="Times New Roman"/>
          <w:color w:val="111827"/>
          <w:sz w:val="20"/>
        </w:rPr>
        <w:t xml:space="preserve"> (omitting transitions involving pandemic years: </w:t>
      </w:r>
      <w:r>
        <w:rPr>
          <w:rFonts w:ascii="Consolas" w:hAnsi="Consolas"/>
          <w:b/>
          <w:color w:val="1E293B"/>
          <w:sz w:val="19"/>
        </w:rPr>
        <w:t>18/19-&gt;19/20</w:t>
      </w:r>
      <w:r>
        <w:rPr>
          <w:rFonts w:ascii="Times New Roman" w:hAnsi="Times New Roman"/>
          <w:color w:val="111827"/>
          <w:sz w:val="20"/>
        </w:rPr>
        <w:t xml:space="preserve">, </w:t>
      </w:r>
      <w:r>
        <w:rPr>
          <w:rFonts w:ascii="Consolas" w:hAnsi="Consolas"/>
          <w:b/>
          <w:color w:val="1E293B"/>
          <w:sz w:val="19"/>
        </w:rPr>
        <w:t>19/20-&gt;20/21</w:t>
      </w:r>
      <w:r>
        <w:rPr>
          <w:rFonts w:ascii="Times New Roman" w:hAnsi="Times New Roman"/>
          <w:color w:val="111827"/>
          <w:sz w:val="20"/>
        </w:rPr>
        <w:t xml:space="preserve">, and </w:t>
      </w:r>
      <w:r>
        <w:rPr>
          <w:rFonts w:ascii="Consolas" w:hAnsi="Consolas"/>
          <w:b/>
          <w:color w:val="1E293B"/>
          <w:sz w:val="19"/>
        </w:rPr>
        <w:t>20/21-&gt;21/22</w:t>
      </w:r>
      <w:r>
        <w:rPr>
          <w:rFonts w:ascii="Times New Roman" w:hAnsi="Times New Roman"/>
          <w:color w:val="111827"/>
          <w:sz w:val="20"/>
        </w:rPr>
        <w:t>).</w:t>
      </w:r>
    </w:p>
    <w:p>
      <w:pPr>
        <w:keepNext/>
        <w:spacing w:before="220" w:after="60"/>
      </w:pPr>
      <w:r>
        <w:rPr>
          <w:rFonts w:ascii="Times New Roman" w:hAnsi="Times New Roman"/>
          <w:b/>
          <w:color w:val="1E3A8A"/>
          <w:sz w:val="22"/>
        </w:rPr>
        <w:t>Analytical Metrics &amp; Decision Rules</w:t>
      </w:r>
    </w:p>
    <w:p>
      <w:pPr>
        <w:spacing w:before="0" w:after="100" w:line="276" w:lineRule="auto"/>
        <w:jc w:val="both"/>
      </w:pPr>
      <w:r>
        <w:rPr>
          <w:rFonts w:ascii="Times New Roman" w:hAnsi="Times New Roman"/>
          <w:color w:val="111827"/>
          <w:sz w:val="20"/>
        </w:rPr>
        <w:t>For each bivariate relationship, three complementary association coefficients are calculated:</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Pearson Linear Correlation (</w:t>
      </w:r>
      <w:r>
        <w:rPr>
          <w:rFonts w:ascii="Times New Roman" w:hAnsi="Times New Roman"/>
          <w:b/>
          <w:i/>
          <w:color w:val="111827"/>
          <w:sz w:val="20"/>
        </w:rPr>
        <w:t>r</w:t>
      </w:r>
      <w:r>
        <w:rPr>
          <w:rFonts w:ascii="Times New Roman" w:hAnsi="Times New Roman"/>
          <w:b/>
          <w:color w:val="111827"/>
          <w:sz w:val="20"/>
        </w:rPr>
        <w:t>):</w:t>
      </w:r>
      <w:r>
        <w:rPr>
          <w:rFonts w:ascii="Times New Roman" w:hAnsi="Times New Roman"/>
          <w:color w:val="111827"/>
          <w:sz w:val="20"/>
        </w:rPr>
        <w:t xml:space="preserve"> Parametric metric assessing linear co-movement.</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Spearman Rank Correlation (</w:t>
      </w:r>
      <w:r>
        <w:rPr>
          <w:rFonts w:ascii="Times New Roman" w:hAnsi="Times New Roman"/>
          <w:b/>
          <w:i/>
          <w:color w:val="111827"/>
          <w:sz w:val="20"/>
        </w:rPr>
        <w:t>ρ</w:t>
      </w:r>
      <w:r>
        <w:rPr>
          <w:rFonts w:ascii="Times New Roman" w:hAnsi="Times New Roman"/>
          <w:b/>
          <w:color w:val="111827"/>
          <w:sz w:val="20"/>
        </w:rPr>
        <w:t>):</w:t>
      </w:r>
      <w:r>
        <w:rPr>
          <w:rFonts w:ascii="Times New Roman" w:hAnsi="Times New Roman"/>
          <w:color w:val="111827"/>
          <w:sz w:val="20"/>
        </w:rPr>
        <w:t xml:space="preserve"> Non-parametric metric assessing monotonic relationships resistant to outlier leverage.</w:t>
      </w:r>
    </w:p>
    <w:p>
      <w:pPr>
        <w:spacing w:before="30" w:after="30" w:line="276" w:lineRule="auto"/>
        <w:ind w:left="360"/>
      </w:pPr>
      <w:r>
        <w:rPr>
          <w:rFonts w:ascii="Times New Roman" w:hAnsi="Times New Roman"/>
          <w:b/>
          <w:sz w:val="20"/>
        </w:rPr>
        <w:t xml:space="preserve">3. </w:t>
      </w:r>
      <w:r>
        <w:rPr>
          <w:rFonts w:ascii="Times New Roman" w:hAnsi="Times New Roman"/>
          <w:b/>
          <w:color w:val="111827"/>
          <w:sz w:val="20"/>
        </w:rPr>
        <w:t>Kendall’s Tau-b (</w:t>
      </w:r>
      <w:r>
        <w:rPr>
          <w:rFonts w:ascii="Times New Roman" w:hAnsi="Times New Roman"/>
          <w:b/>
          <w:i/>
          <w:color w:val="111827"/>
          <w:sz w:val="20"/>
        </w:rPr>
        <w:t>τ</w:t>
      </w:r>
      <w:r>
        <w:rPr>
          <w:rFonts w:ascii="Times New Roman" w:hAnsi="Times New Roman"/>
          <w:b/>
          <w:color w:val="111827"/>
          <w:sz w:val="20"/>
        </w:rPr>
        <w:t>):</w:t>
      </w:r>
      <w:r>
        <w:rPr>
          <w:rFonts w:ascii="Times New Roman" w:hAnsi="Times New Roman"/>
          <w:color w:val="111827"/>
          <w:sz w:val="20"/>
        </w:rPr>
        <w:t xml:space="preserve"> Conservative rank metric evaluating concordance among paired observations.</w:t>
      </w:r>
    </w:p>
    <w:p>
      <w:pPr>
        <w:spacing w:before="0" w:after="100" w:line="276" w:lineRule="auto"/>
        <w:jc w:val="both"/>
      </w:pPr>
      <w:r>
        <w:rPr>
          <w:rFonts w:ascii="Times New Roman" w:hAnsi="Times New Roman"/>
          <w:color w:val="111827"/>
          <w:sz w:val="20"/>
        </w:rPr>
        <w:t>Methodological agreement is classified into:</w:t>
      </w:r>
    </w:p>
    <w:p>
      <w:pPr>
        <w:pStyle w:val="ListBullet"/>
        <w:spacing w:before="30" w:after="30" w:line="276" w:lineRule="auto"/>
      </w:pPr>
      <w:r>
        <w:rPr>
          <w:rFonts w:ascii="Consolas" w:hAnsi="Consolas"/>
          <w:b/>
          <w:color w:val="1E293B"/>
          <w:sz w:val="19"/>
        </w:rPr>
        <w:t>ALL_AGREE</w:t>
      </w:r>
      <w:r>
        <w:rPr>
          <w:rFonts w:ascii="Times New Roman" w:hAnsi="Times New Roman"/>
          <w:color w:val="111827"/>
          <w:sz w:val="20"/>
        </w:rPr>
        <w:t>: Directional sign matches across Pearson, Spearman, and Kendall.</w:t>
      </w:r>
    </w:p>
    <w:p>
      <w:pPr>
        <w:pStyle w:val="ListBullet"/>
        <w:spacing w:before="30" w:after="30" w:line="276" w:lineRule="auto"/>
      </w:pPr>
      <w:r>
        <w:rPr>
          <w:rFonts w:ascii="Consolas" w:hAnsi="Consolas"/>
          <w:b/>
          <w:color w:val="1E293B"/>
          <w:sz w:val="19"/>
        </w:rPr>
        <w:t>SIGN_REVERSAL</w:t>
      </w:r>
      <w:r>
        <w:rPr>
          <w:rFonts w:ascii="Times New Roman" w:hAnsi="Times New Roman"/>
          <w:color w:val="111827"/>
          <w:sz w:val="20"/>
        </w:rPr>
        <w:t>: Directional sign differs between parametric and non-parametric rank metrics.</w:t>
      </w:r>
    </w:p>
    <w:p>
      <w:pPr>
        <w:keepNext/>
        <w:spacing w:before="220" w:after="60"/>
      </w:pPr>
      <w:r>
        <w:rPr>
          <w:rFonts w:ascii="Times New Roman" w:hAnsi="Times New Roman"/>
          <w:b/>
          <w:color w:val="1E3A8A"/>
          <w:sz w:val="22"/>
        </w:rPr>
        <w:t>Systematic Robustness Protocol</w:t>
      </w:r>
    </w:p>
    <w:p>
      <w:pPr>
        <w:spacing w:before="0" w:after="100" w:line="276" w:lineRule="auto"/>
        <w:jc w:val="both"/>
      </w:pPr>
      <w:r>
        <w:rPr>
          <w:rFonts w:ascii="Times New Roman" w:hAnsi="Times New Roman"/>
          <w:color w:val="111827"/>
          <w:sz w:val="20"/>
        </w:rPr>
        <w:t>To assess whether empirical associations are sensitive to individual seasons, two non-parametric robustness checks are applied:</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Leave-One-Season-Out (LOO) Analysis:</w:t>
      </w:r>
      <w:r>
        <w:rPr>
          <w:rFonts w:ascii="Times New Roman" w:hAnsi="Times New Roman"/>
          <w:color w:val="111827"/>
          <w:sz w:val="20"/>
        </w:rPr>
        <w:t xml:space="preserve"> Sequentially omitting each observation (</w:t>
      </w:r>
      <w:r>
        <w:rPr>
          <w:rFonts w:ascii="Times New Roman" w:hAnsi="Times New Roman"/>
          <w:i/>
          <w:color w:val="111827"/>
          <w:sz w:val="20"/>
        </w:rPr>
        <w:t>N=9 → N=8</w:t>
      </w:r>
      <w:r>
        <w:rPr>
          <w:rFonts w:ascii="Times New Roman" w:hAnsi="Times New Roman"/>
          <w:color w:val="111827"/>
          <w:sz w:val="20"/>
        </w:rPr>
        <w:t xml:space="preserve"> for lagged; </w:t>
      </w:r>
      <w:r>
        <w:rPr>
          <w:rFonts w:ascii="Times New Roman" w:hAnsi="Times New Roman"/>
          <w:i/>
          <w:color w:val="111827"/>
          <w:sz w:val="20"/>
        </w:rPr>
        <w:t>N=10 → N=9</w:t>
      </w:r>
      <w:r>
        <w:rPr>
          <w:rFonts w:ascii="Times New Roman" w:hAnsi="Times New Roman"/>
          <w:color w:val="111827"/>
          <w:sz w:val="20"/>
        </w:rPr>
        <w:t xml:space="preserve"> for contemporaneous) to calculate the coefficient range, identify influential years, and detect sign instability.</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COVID Exclusion:</w:t>
      </w:r>
      <w:r>
        <w:rPr>
          <w:rFonts w:ascii="Times New Roman" w:hAnsi="Times New Roman"/>
          <w:color w:val="111827"/>
          <w:sz w:val="20"/>
        </w:rPr>
        <w:t xml:space="preserve"> Evaluating sensitivity to the extreme external macroeconomic shock of the pandemic.</w:t>
      </w:r>
    </w:p>
    <w:p>
      <w:pPr>
        <w:keepNext/>
        <w:spacing w:before="300" w:after="100"/>
      </w:pPr>
      <w:r>
        <w:rPr>
          <w:rFonts w:ascii="Times New Roman" w:hAnsi="Times New Roman"/>
          <w:b/>
          <w:color w:val="0F254B"/>
          <w:sz w:val="26"/>
        </w:rPr>
        <w:t>4. Empirical Results</w:t>
      </w:r>
    </w:p>
    <w:p>
      <w:pPr>
        <w:keepNext/>
        <w:spacing w:before="220" w:after="60"/>
      </w:pPr>
      <w:r>
        <w:t>4.1 Descriptive Analysis &amp; 10-Year Trajectories</w:t>
      </w:r>
    </w:p>
    <w:p>
      <w:pPr>
        <w:spacing w:before="0" w:after="100" w:line="276" w:lineRule="auto"/>
        <w:jc w:val="both"/>
      </w:pPr>
      <w:r>
        <w:rPr>
          <w:rFonts w:ascii="Times New Roman" w:hAnsi="Times New Roman"/>
          <w:color w:val="111827"/>
          <w:sz w:val="20"/>
        </w:rPr>
        <w:t>Table 1 summarizes the descriptive statistics for the core financial, investment, and sporting variables across the 2015/16–2024/25 decade.</w:t>
      </w:r>
    </w:p>
    <w:p>
      <w:pPr>
        <w:keepNext/>
        <w:spacing w:before="180" w:after="60"/>
      </w:pPr>
      <w:r>
        <w:rPr>
          <w:rFonts w:ascii="Times New Roman" w:hAnsi="Times New Roman"/>
          <w:b/>
          <w:color w:val="0F254B"/>
          <w:sz w:val="19"/>
        </w:rPr>
        <w:t>Table 1:</w:t>
      </w:r>
      <w:r>
        <w:rPr>
          <w:rFonts w:ascii="Times New Roman" w:hAnsi="Times New Roman"/>
          <w:color w:val="0F254B"/>
          <w:sz w:val="19"/>
        </w:rPr>
        <w:t xml:space="preserve"> Descriptive Statistics for Core Financial, Investment, and Sporting Performance Indicators (2015/16–2024/25, N=10).</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040"/>
        <w:gridCol w:w="1040"/>
        <w:gridCol w:w="1040"/>
        <w:gridCol w:w="1040"/>
        <w:gridCol w:w="1040"/>
        <w:gridCol w:w="1040"/>
        <w:gridCol w:w="1040"/>
        <w:gridCol w:w="1040"/>
        <w:gridCol w:w="1040"/>
      </w:tblGrid>
      <w:tr>
        <w:tc>
          <w:tcPr>
            <w:tcW w:type="dxa" w:w="2088"/>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Variable Name</w:t>
            </w:r>
          </w:p>
        </w:tc>
        <w:tc>
          <w:tcPr>
            <w:tcW w:type="dxa" w:w="936"/>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Domain</w:t>
            </w:r>
          </w:p>
        </w:tc>
        <w:tc>
          <w:tcPr>
            <w:tcW w:type="dxa" w:w="691"/>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Mean</w:t>
            </w:r>
          </w:p>
        </w:tc>
        <w:tc>
          <w:tcPr>
            <w:tcW w:type="dxa" w:w="691"/>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Median</w:t>
            </w:r>
          </w:p>
        </w:tc>
        <w:tc>
          <w:tcPr>
            <w:tcW w:type="dxa" w:w="691"/>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Std Dev</w:t>
            </w:r>
          </w:p>
        </w:tc>
        <w:tc>
          <w:tcPr>
            <w:tcW w:type="dxa" w:w="1037"/>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Min (Season)</w:t>
            </w:r>
          </w:p>
        </w:tc>
        <w:tc>
          <w:tcPr>
            <w:tcW w:type="dxa" w:w="1037"/>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Max (Season)</w:t>
            </w:r>
          </w:p>
        </w:tc>
        <w:tc>
          <w:tcPr>
            <w:tcW w:type="dxa" w:w="1094"/>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10-Year Absolute Change</w:t>
            </w:r>
          </w:p>
        </w:tc>
        <w:tc>
          <w:tcPr>
            <w:tcW w:type="dxa" w:w="1094"/>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10-Year % Change</w:t>
            </w:r>
          </w:p>
        </w:tc>
      </w:tr>
      <w:tr>
        <w:tc>
          <w:tcPr>
            <w:tcW w:type="dxa" w:w="2088"/>
            <w:shd w:fill="FFFFFF"/>
            <w:tcMar>
              <w:top w:w="30" w:type="dxa"/>
              <w:bottom w:w="30" w:type="dxa"/>
              <w:left w:w="30" w:type="dxa"/>
              <w:right w:w="30" w:type="dxa"/>
            </w:tcMar>
          </w:tcPr>
          <w:p>
            <w:pPr>
              <w:spacing w:before="40" w:after="40"/>
              <w:jc w:val="left"/>
            </w:pPr>
            <w:r/>
            <w:r>
              <w:rPr>
                <w:rFonts w:ascii="Consolas" w:hAnsi="Consolas"/>
                <w:b/>
                <w:color w:val="1E293B"/>
                <w:sz w:val="13"/>
              </w:rPr>
              <w:t>football_turnover</w:t>
            </w:r>
            <w:r>
              <w:rPr>
                <w:rFonts w:ascii="Times New Roman" w:hAnsi="Times New Roman"/>
                <w:color w:val="111827"/>
                <w:sz w:val="14"/>
              </w:rPr>
              <w:t xml:space="preserve"> (£m)</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Financial</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436.81</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391.45</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122.24</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327.60 (20/21)</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691.00 (24/25)</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+340.40</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+97.09%</w:t>
            </w:r>
          </w:p>
        </w:tc>
      </w:tr>
      <w:tr>
        <w:tc>
          <w:tcPr>
            <w:tcW w:type="dxa" w:w="2088"/>
            <w:shd w:fill="F8FAFC"/>
            <w:tcMar>
              <w:top w:w="30" w:type="dxa"/>
              <w:bottom w:w="30" w:type="dxa"/>
              <w:left w:w="30" w:type="dxa"/>
              <w:right w:w="30" w:type="dxa"/>
            </w:tcMar>
          </w:tcPr>
          <w:p>
            <w:pPr>
              <w:spacing w:before="40" w:after="40"/>
              <w:jc w:val="left"/>
            </w:pPr>
            <w:r/>
            <w:r>
              <w:rPr>
                <w:rFonts w:ascii="Consolas" w:hAnsi="Consolas"/>
                <w:b/>
                <w:color w:val="1E293B"/>
                <w:sz w:val="13"/>
              </w:rPr>
              <w:t>staff_costs</w:t>
            </w:r>
            <w:r>
              <w:rPr>
                <w:rFonts w:ascii="Times New Roman" w:hAnsi="Times New Roman"/>
                <w:color w:val="111827"/>
                <w:sz w:val="14"/>
              </w:rPr>
              <w:t xml:space="preserve"> (£m)</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Financial</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245.07</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233.10</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51.37</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195.40 (15/16)</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347.00 (24/25)</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+151.60</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+77.58%</w:t>
            </w:r>
          </w:p>
        </w:tc>
      </w:tr>
      <w:tr>
        <w:tc>
          <w:tcPr>
            <w:tcW w:type="dxa" w:w="2088"/>
            <w:shd w:fill="FFFFFF"/>
            <w:tcMar>
              <w:top w:w="30" w:type="dxa"/>
              <w:bottom w:w="30" w:type="dxa"/>
              <w:left w:w="30" w:type="dxa"/>
              <w:right w:w="30" w:type="dxa"/>
            </w:tcMar>
          </w:tcPr>
          <w:p>
            <w:pPr>
              <w:spacing w:before="40" w:after="40"/>
              <w:jc w:val="left"/>
            </w:pPr>
            <w:r/>
            <w:r>
              <w:rPr>
                <w:rFonts w:ascii="Consolas" w:hAnsi="Consolas"/>
                <w:b/>
                <w:color w:val="1E293B"/>
                <w:sz w:val="13"/>
              </w:rPr>
              <w:t>net_debt</w:t>
            </w:r>
            <w:r>
              <w:rPr>
                <w:rFonts w:ascii="Times New Roman" w:hAnsi="Times New Roman"/>
                <w:color w:val="111827"/>
                <w:sz w:val="14"/>
              </w:rPr>
              <w:t xml:space="preserve"> (£m)</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Financial</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134.58</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154.00</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120.45</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-12.90 (17/18)</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283.00 (24/25)</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+276.50</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N/A</w:t>
            </w:r>
          </w:p>
        </w:tc>
      </w:tr>
      <w:tr>
        <w:tc>
          <w:tcPr>
            <w:tcW w:type="dxa" w:w="2088"/>
            <w:shd w:fill="F8FAFC"/>
            <w:tcMar>
              <w:top w:w="30" w:type="dxa"/>
              <w:bottom w:w="30" w:type="dxa"/>
              <w:left w:w="30" w:type="dxa"/>
              <w:right w:w="30" w:type="dxa"/>
            </w:tcMar>
          </w:tcPr>
          <w:p>
            <w:pPr>
              <w:spacing w:before="40" w:after="40"/>
              <w:jc w:val="left"/>
            </w:pPr>
            <w:r/>
            <w:r>
              <w:rPr>
                <w:rFonts w:ascii="Consolas" w:hAnsi="Consolas"/>
                <w:b/>
                <w:color w:val="1E293B"/>
                <w:sz w:val="13"/>
              </w:rPr>
              <w:t>operating_profit_loss</w:t>
            </w:r>
            <w:r>
              <w:rPr>
                <w:rFonts w:ascii="Times New Roman" w:hAnsi="Times New Roman"/>
                <w:color w:val="111827"/>
                <w:sz w:val="14"/>
              </w:rPr>
              <w:t xml:space="preserve"> (£m)</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Financial</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-36.55</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-52.00</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55.40</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-130.40 (20/21)</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+43.40 (16/17)</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-81.50</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N/A</w:t>
            </w:r>
          </w:p>
        </w:tc>
      </w:tr>
      <w:tr>
        <w:tc>
          <w:tcPr>
            <w:tcW w:type="dxa" w:w="2088"/>
            <w:shd w:fill="FFFFFF"/>
            <w:tcMar>
              <w:top w:w="30" w:type="dxa"/>
              <w:bottom w:w="30" w:type="dxa"/>
              <w:left w:w="30" w:type="dxa"/>
              <w:right w:w="30" w:type="dxa"/>
            </w:tcMar>
          </w:tcPr>
          <w:p>
            <w:pPr>
              <w:spacing w:before="40" w:after="40"/>
              <w:jc w:val="left"/>
            </w:pPr>
            <w:r/>
            <w:r>
              <w:rPr>
                <w:rFonts w:ascii="Consolas" w:hAnsi="Consolas"/>
                <w:b/>
                <w:color w:val="1E293B"/>
                <w:sz w:val="13"/>
              </w:rPr>
              <w:t>net_profit_loss</w:t>
            </w:r>
            <w:r>
              <w:rPr>
                <w:rFonts w:ascii="Times New Roman" w:hAnsi="Times New Roman"/>
                <w:color w:val="111827"/>
                <w:sz w:val="14"/>
              </w:rPr>
              <w:t xml:space="preserve"> (£m)</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Financial</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-21.55</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-27.65</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47.03</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-107.30 (20/21)</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+56.50 (17/18)</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-2.65</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N/A</w:t>
            </w:r>
          </w:p>
        </w:tc>
      </w:tr>
      <w:tr>
        <w:tc>
          <w:tcPr>
            <w:tcW w:type="dxa" w:w="2088"/>
            <w:shd w:fill="F8FAFC"/>
            <w:tcMar>
              <w:top w:w="30" w:type="dxa"/>
              <w:bottom w:w="30" w:type="dxa"/>
              <w:left w:w="30" w:type="dxa"/>
              <w:right w:w="30" w:type="dxa"/>
            </w:tcMar>
          </w:tcPr>
          <w:p>
            <w:pPr>
              <w:spacing w:before="40" w:after="40"/>
              <w:jc w:val="left"/>
            </w:pPr>
            <w:r/>
            <w:r>
              <w:rPr>
                <w:rFonts w:ascii="Consolas" w:hAnsi="Consolas"/>
                <w:b/>
                <w:color w:val="1E293B"/>
                <w:sz w:val="13"/>
              </w:rPr>
              <w:t>permanent_gross_transfer_spend</w:t>
            </w:r>
            <w:r>
              <w:rPr>
                <w:rFonts w:ascii="Times New Roman" w:hAnsi="Times New Roman"/>
                <w:color w:val="111827"/>
                <w:sz w:val="14"/>
              </w:rPr>
              <w:t xml:space="preserve"> (£m)</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Transfer</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108.70</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98.40</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53.07</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15.00 (15/16)</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199.30 (23/24)</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+73.85</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+492.33%</w:t>
            </w:r>
          </w:p>
        </w:tc>
      </w:tr>
      <w:tr>
        <w:tc>
          <w:tcPr>
            <w:tcW w:type="dxa" w:w="2088"/>
            <w:shd w:fill="FFFFFF"/>
            <w:tcMar>
              <w:top w:w="30" w:type="dxa"/>
              <w:bottom w:w="30" w:type="dxa"/>
              <w:left w:w="30" w:type="dxa"/>
              <w:right w:w="30" w:type="dxa"/>
            </w:tcMar>
          </w:tcPr>
          <w:p>
            <w:pPr>
              <w:spacing w:before="40" w:after="40"/>
              <w:jc w:val="left"/>
            </w:pPr>
            <w:r/>
            <w:r>
              <w:rPr>
                <w:rFonts w:ascii="Consolas" w:hAnsi="Consolas"/>
                <w:b/>
                <w:color w:val="1E293B"/>
                <w:sz w:val="13"/>
              </w:rPr>
              <w:t>permanent_net_transfer_spend</w:t>
            </w:r>
            <w:r>
              <w:rPr>
                <w:rFonts w:ascii="Times New Roman" w:hAnsi="Times New Roman"/>
                <w:color w:val="111827"/>
                <w:sz w:val="14"/>
              </w:rPr>
              <w:t xml:space="preserve"> (£m)</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Transfer</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71.61</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73.86</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52.18</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-8.50 (17/18)</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141.70 (22/23)</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+5.63</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N/A</w:t>
            </w:r>
          </w:p>
        </w:tc>
      </w:tr>
      <w:tr>
        <w:tc>
          <w:tcPr>
            <w:tcW w:type="dxa" w:w="2088"/>
            <w:shd w:fill="F8FAFC"/>
            <w:tcMar>
              <w:top w:w="30" w:type="dxa"/>
              <w:bottom w:w="30" w:type="dxa"/>
              <w:left w:w="30" w:type="dxa"/>
              <w:right w:w="30" w:type="dxa"/>
            </w:tcMar>
          </w:tcPr>
          <w:p>
            <w:pPr>
              <w:spacing w:before="40" w:after="40"/>
              <w:jc w:val="left"/>
            </w:pPr>
            <w:r/>
            <w:r>
              <w:rPr>
                <w:rFonts w:ascii="Consolas" w:hAnsi="Consolas"/>
                <w:b/>
                <w:color w:val="1E293B"/>
                <w:sz w:val="13"/>
              </w:rPr>
              <w:t>primary_transfer_spend_to_revenue_pct</w:t>
            </w:r>
            <w:r>
              <w:rPr>
                <w:rFonts w:ascii="Times New Roman" w:hAnsi="Times New Roman"/>
                <w:color w:val="111827"/>
                <w:sz w:val="14"/>
              </w:rPr>
              <w:t xml:space="preserve"> (%)</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Transfer</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25.88</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25.12</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11.82</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4.28 (15/16)</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40.55 (19/20)</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+10.65</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+248.83%</w:t>
            </w:r>
          </w:p>
        </w:tc>
      </w:tr>
      <w:tr>
        <w:tc>
          <w:tcPr>
            <w:tcW w:type="dxa" w:w="2088"/>
            <w:shd w:fill="FFFFFF"/>
            <w:tcMar>
              <w:top w:w="30" w:type="dxa"/>
              <w:bottom w:w="30" w:type="dxa"/>
              <w:left w:w="30" w:type="dxa"/>
              <w:right w:w="30" w:type="dxa"/>
            </w:tcMar>
          </w:tcPr>
          <w:p>
            <w:pPr>
              <w:spacing w:before="40" w:after="40"/>
              <w:jc w:val="left"/>
            </w:pPr>
            <w:r/>
            <w:r>
              <w:rPr>
                <w:rFonts w:ascii="Consolas" w:hAnsi="Consolas"/>
                <w:b/>
                <w:color w:val="1E293B"/>
                <w:sz w:val="13"/>
              </w:rPr>
              <w:t>points</w:t>
            </w:r>
            <w:r>
              <w:rPr>
                <w:rFonts w:ascii="Times New Roman" w:hAnsi="Times New Roman"/>
                <w:color w:val="111827"/>
                <w:sz w:val="14"/>
              </w:rPr>
              <w:t xml:space="preserve"> (Championship Pts)</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Sporting</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71.20</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70.50</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10.06</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56.00 (19/20)</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89.00 (23/24)</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+3.00</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+4.23%</w:t>
            </w:r>
          </w:p>
        </w:tc>
      </w:tr>
      <w:tr>
        <w:tc>
          <w:tcPr>
            <w:tcW w:type="dxa" w:w="2088"/>
            <w:shd w:fill="F8FAFC"/>
            <w:tcMar>
              <w:top w:w="30" w:type="dxa"/>
              <w:bottom w:w="30" w:type="dxa"/>
              <w:left w:w="30" w:type="dxa"/>
              <w:right w:w="30" w:type="dxa"/>
            </w:tcMar>
          </w:tcPr>
          <w:p>
            <w:pPr>
              <w:spacing w:before="40" w:after="40"/>
              <w:jc w:val="left"/>
            </w:pPr>
            <w:r/>
            <w:r>
              <w:rPr>
                <w:rFonts w:ascii="Consolas" w:hAnsi="Consolas"/>
                <w:b/>
                <w:color w:val="1E293B"/>
                <w:sz w:val="13"/>
              </w:rPr>
              <w:t>ppg</w:t>
            </w:r>
            <w:r>
              <w:rPr>
                <w:rFonts w:ascii="Times New Roman" w:hAnsi="Times New Roman"/>
                <w:color w:val="111827"/>
                <w:sz w:val="14"/>
              </w:rPr>
              <w:t xml:space="preserve"> (Points Per Game)</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Sporting</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1.87</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1.85</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0.26</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1.47 (19/20)</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2.34 (23/24)</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+0.08</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+4.28%</w:t>
            </w:r>
          </w:p>
        </w:tc>
      </w:tr>
      <w:tr>
        <w:tc>
          <w:tcPr>
            <w:tcW w:type="dxa" w:w="2088"/>
            <w:shd w:fill="FFFFFF"/>
            <w:tcMar>
              <w:top w:w="30" w:type="dxa"/>
              <w:bottom w:w="30" w:type="dxa"/>
              <w:left w:w="30" w:type="dxa"/>
              <w:right w:w="30" w:type="dxa"/>
            </w:tcMar>
          </w:tcPr>
          <w:p>
            <w:pPr>
              <w:spacing w:before="40" w:after="40"/>
              <w:jc w:val="left"/>
            </w:pPr>
            <w:r/>
            <w:r>
              <w:rPr>
                <w:rFonts w:ascii="Consolas" w:hAnsi="Consolas"/>
                <w:b/>
                <w:color w:val="1E293B"/>
                <w:sz w:val="13"/>
              </w:rPr>
              <w:t>league_position</w:t>
            </w:r>
            <w:r>
              <w:rPr>
                <w:rFonts w:ascii="Times New Roman" w:hAnsi="Times New Roman"/>
                <w:color w:val="111827"/>
                <w:sz w:val="14"/>
              </w:rPr>
              <w:t xml:space="preserve"> (Rank)</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Sporting</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4.50</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5.00</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2.42</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2.00 (15/16)</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8.00 (19/20)</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+0.00</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N/A</w:t>
            </w:r>
          </w:p>
        </w:tc>
      </w:tr>
      <w:tr>
        <w:tc>
          <w:tcPr>
            <w:tcW w:type="dxa" w:w="2088"/>
            <w:shd w:fill="F8FAFC"/>
            <w:tcMar>
              <w:top w:w="30" w:type="dxa"/>
              <w:bottom w:w="30" w:type="dxa"/>
              <w:left w:w="30" w:type="dxa"/>
              <w:right w:w="30" w:type="dxa"/>
            </w:tcMar>
          </w:tcPr>
          <w:p>
            <w:pPr>
              <w:spacing w:before="40" w:after="40"/>
              <w:jc w:val="left"/>
            </w:pPr>
            <w:r/>
            <w:r>
              <w:rPr>
                <w:rFonts w:ascii="Consolas" w:hAnsi="Consolas"/>
                <w:b/>
                <w:color w:val="1E293B"/>
                <w:sz w:val="13"/>
              </w:rPr>
              <w:t>xgd</w:t>
            </w:r>
            <w:r>
              <w:rPr>
                <w:rFonts w:ascii="Times New Roman" w:hAnsi="Times New Roman"/>
                <w:color w:val="111827"/>
                <w:sz w:val="14"/>
              </w:rPr>
              <w:t xml:space="preserve"> (Expected Goal Diff)</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Sporting</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22.23</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20.02</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17.44</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-6.43 (19/20)</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52.61 (23/24)</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-6.08</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N/A</w:t>
            </w:r>
          </w:p>
        </w:tc>
      </w:tr>
      <w:tr>
        <w:tc>
          <w:tcPr>
            <w:tcW w:type="dxa" w:w="2088"/>
            <w:shd w:fill="FFFFFF"/>
            <w:tcMar>
              <w:top w:w="30" w:type="dxa"/>
              <w:bottom w:w="30" w:type="dxa"/>
              <w:left w:w="30" w:type="dxa"/>
              <w:right w:w="30" w:type="dxa"/>
            </w:tcMar>
          </w:tcPr>
          <w:p>
            <w:pPr>
              <w:spacing w:before="40" w:after="40"/>
              <w:jc w:val="left"/>
            </w:pPr>
            <w:r/>
            <w:r>
              <w:rPr>
                <w:rFonts w:ascii="Consolas" w:hAnsi="Consolas"/>
                <w:b/>
                <w:color w:val="1E293B"/>
                <w:sz w:val="13"/>
              </w:rPr>
              <w:t>xpts</w:t>
            </w:r>
            <w:r>
              <w:rPr>
                <w:rFonts w:ascii="Times New Roman" w:hAnsi="Times New Roman"/>
                <w:color w:val="111827"/>
                <w:sz w:val="14"/>
              </w:rPr>
              <w:t xml:space="preserve"> (Expected Points)</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Sporting</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66.51</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65.33</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9.63</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50.15 (19/20)</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81.94 (23/24)</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-4.05</w:t>
            </w:r>
          </w:p>
        </w:tc>
        <w:tc>
          <w:tcPr>
            <w:tcW w:type="dxa" w:w="1094"/>
            <w:shd w:fill="FFFFFF"/>
            <w:tcMar>
              <w:top w:w="30" w:type="dxa"/>
              <w:bottom w:w="30" w:type="dxa"/>
              <w:left w:w="30" w:type="dxa"/>
              <w:right w:w="30" w:type="dxa"/>
            </w:tcMar>
          </w:tcPr>
          <w:p>
            <w:pPr>
              <w:spacing w:before="40" w:after="40"/>
              <w:jc w:val="center"/>
            </w:pPr>
            <w:r/>
            <w:r>
              <w:rPr>
                <w:rFonts w:ascii="Times New Roman" w:hAnsi="Times New Roman"/>
                <w:color w:val="111827"/>
                <w:sz w:val="14"/>
              </w:rPr>
              <w:t>-5.26%</w:t>
            </w:r>
          </w:p>
        </w:tc>
      </w:tr>
      <w:tr>
        <w:tc>
          <w:tcPr>
            <w:tcW w:type="dxa" w:w="2088"/>
            <w:shd w:fill="F8FAFC"/>
            <w:tcMar>
              <w:top w:w="30" w:type="dxa"/>
              <w:bottom w:w="30" w:type="dxa"/>
              <w:left w:w="30" w:type="dxa"/>
              <w:right w:w="30" w:type="dxa"/>
            </w:tcMar>
          </w:tcPr>
          <w:p>
            <w:pPr>
              <w:spacing w:before="40" w:after="40"/>
              <w:jc w:val="left"/>
            </w:pPr>
            <w:r/>
            <w:r>
              <w:rPr>
                <w:rFonts w:ascii="Consolas" w:hAnsi="Consolas"/>
                <w:b/>
                <w:color w:val="1E293B"/>
                <w:sz w:val="13"/>
              </w:rPr>
              <w:t>ppda</w:t>
            </w:r>
            <w:r>
              <w:rPr>
                <w:rFonts w:ascii="Times New Roman" w:hAnsi="Times New Roman"/>
                <w:color w:val="111827"/>
                <w:sz w:val="14"/>
              </w:rPr>
              <w:t xml:space="preserve"> (Passes Per Def Action)</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Sporting</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10.04</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9.51</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1.81</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8.26 (16/17)</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13.64 (20/21)</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+0.45</w:t>
            </w:r>
          </w:p>
        </w:tc>
        <w:tc>
          <w:tcPr>
            <w:tcW w:type="dxa" w:w="1094"/>
            <w:shd w:fill="F8FAFC"/>
            <w:tcMar>
              <w:top w:w="30" w:type="dxa"/>
              <w:bottom w:w="30" w:type="dxa"/>
              <w:left w:w="30" w:type="dxa"/>
              <w:right w:w="30" w:type="dxa"/>
            </w:tcMar>
          </w:tcPr>
          <w:p>
            <w:pPr>
              <w:spacing w:before="40" w:after="40"/>
              <w:jc w:val="center"/>
            </w:pPr>
            <w:r/>
            <w:r>
              <w:rPr>
                <w:rFonts w:ascii="Times New Roman" w:hAnsi="Times New Roman"/>
                <w:color w:val="111827"/>
                <w:sz w:val="14"/>
              </w:rPr>
              <w:t>+5.39%</w:t>
            </w:r>
          </w:p>
        </w:tc>
      </w:tr>
    </w:tbl>
    <w:p>
      <w:pPr>
        <w:spacing w:before="0" w:after="120"/>
      </w:pPr>
    </w:p>
    <w:p>
      <w:pPr>
        <w:spacing w:before="0" w:after="100" w:line="276" w:lineRule="auto"/>
        <w:jc w:val="both"/>
      </w:pPr>
      <w:r>
        <w:rPr>
          <w:rFonts w:ascii="Times New Roman" w:hAnsi="Times New Roman"/>
          <w:i/>
          <w:color w:val="111827"/>
          <w:sz w:val="20"/>
        </w:rPr>
        <w:t>Key Descriptive Insights:</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Financial Bifurcation:</w:t>
      </w:r>
      <w:r>
        <w:rPr>
          <w:rFonts w:ascii="Times New Roman" w:hAnsi="Times New Roman"/>
          <w:color w:val="111827"/>
          <w:sz w:val="20"/>
        </w:rPr>
        <w:t xml:space="preserve"> The pre-2021 era exhibited modest turnover growth (£350m–£400m) and operating profitability, while the post-2021 era saw turnover almost double to £691.00m, accompanied by chronic operating deficits and a substantial escalation of net debt (£283.00m).</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Transfer Spending Peaks:</w:t>
      </w:r>
      <w:r>
        <w:rPr>
          <w:rFonts w:ascii="Times New Roman" w:hAnsi="Times New Roman"/>
          <w:color w:val="111827"/>
          <w:sz w:val="20"/>
        </w:rPr>
        <w:t xml:space="preserve"> Gross transfer expenditure averaged £108.70m across the decade, reaching its apex in 2023/24 (£199.30m) following the acquisition of Declan Rice and Kai Havertz.</w:t>
      </w:r>
    </w:p>
    <w:p>
      <w:pPr>
        <w:spacing w:before="30" w:after="30" w:line="276" w:lineRule="auto"/>
        <w:ind w:left="360"/>
      </w:pPr>
      <w:r>
        <w:rPr>
          <w:rFonts w:ascii="Times New Roman" w:hAnsi="Times New Roman"/>
          <w:b/>
          <w:sz w:val="20"/>
        </w:rPr>
        <w:t xml:space="preserve">3. </w:t>
      </w:r>
      <w:r>
        <w:rPr>
          <w:rFonts w:ascii="Times New Roman" w:hAnsi="Times New Roman"/>
          <w:b/>
          <w:color w:val="111827"/>
          <w:sz w:val="20"/>
        </w:rPr>
        <w:t>Sporting Trough &amp; Resurgence:</w:t>
      </w:r>
      <w:r>
        <w:rPr>
          <w:rFonts w:ascii="Times New Roman" w:hAnsi="Times New Roman"/>
          <w:color w:val="111827"/>
          <w:sz w:val="20"/>
        </w:rPr>
        <w:t xml:space="preserve"> Sporting metrics reached a unified decade trough in 2019/20 (56 points, 1.47 PPG, 8th place, </w:t>
      </w:r>
      <w:r>
        <w:rPr>
          <w:rFonts w:ascii="Times New Roman" w:hAnsi="Times New Roman"/>
          <w:i/>
          <w:color w:val="111827"/>
          <w:sz w:val="20"/>
        </w:rPr>
        <w:t>-6.43</w:t>
      </w:r>
      <w:r>
        <w:rPr>
          <w:rFonts w:ascii="Times New Roman" w:hAnsi="Times New Roman"/>
          <w:color w:val="111827"/>
          <w:sz w:val="20"/>
        </w:rPr>
        <w:t xml:space="preserve"> xGD) before staging an aggressive tactical resurgence, culminating in 89 points, 2.34 PPG, and </w:t>
      </w:r>
      <w:r>
        <w:rPr>
          <w:rFonts w:ascii="Times New Roman" w:hAnsi="Times New Roman"/>
          <w:i/>
          <w:color w:val="111827"/>
          <w:sz w:val="20"/>
        </w:rPr>
        <w:t>+52.61</w:t>
      </w:r>
      <w:r>
        <w:rPr>
          <w:rFonts w:ascii="Times New Roman" w:hAnsi="Times New Roman"/>
          <w:color w:val="111827"/>
          <w:sz w:val="20"/>
        </w:rPr>
        <w:t xml:space="preserve"> xGD in 2023/24.</w:t>
      </w:r>
    </w:p>
    <w:p>
      <w:pPr>
        <w:keepNext/>
        <w:spacing w:before="220" w:after="60"/>
      </w:pPr>
      <w:r>
        <w:t>4.2 Pre-Specified Association Analysis</w:t>
      </w:r>
    </w:p>
    <w:p>
      <w:pPr>
        <w:spacing w:before="0" w:after="100" w:line="276" w:lineRule="auto"/>
        <w:jc w:val="both"/>
      </w:pPr>
      <w:r>
        <w:t>Table 2 presents the empirical results for the 17 primary pre-specified bivariate specifications across Sub-RQs SQ2–SQ6 (results/association_results.md).</w:t>
      </w:r>
    </w:p>
    <w:p>
      <w:pPr>
        <w:keepNext/>
        <w:spacing w:before="180" w:after="60"/>
      </w:pPr>
      <w:r>
        <w:rPr>
          <w:rFonts w:ascii="Times New Roman" w:hAnsi="Times New Roman"/>
          <w:b/>
          <w:color w:val="0F254B"/>
          <w:sz w:val="19"/>
        </w:rPr>
        <w:t>Table 2:</w:t>
      </w:r>
      <w:r>
        <w:rPr>
          <w:rFonts w:ascii="Times New Roman" w:hAnsi="Times New Roman"/>
          <w:color w:val="0F254B"/>
          <w:sz w:val="19"/>
        </w:rPr>
        <w:t xml:space="preserve"> Bivariate Association Estimates for 17 Primary Pre-Specified Specifications Across Sub-RQs SQ2–SQ6.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
        <w:gridCol w:w="936"/>
        <w:gridCol w:w="936"/>
        <w:gridCol w:w="936"/>
        <w:gridCol w:w="936"/>
        <w:gridCol w:w="936"/>
        <w:gridCol w:w="936"/>
        <w:gridCol w:w="936"/>
        <w:gridCol w:w="936"/>
        <w:gridCol w:w="936"/>
      </w:tblGrid>
      <w:tr>
        <w:tc>
          <w:tcPr>
            <w:tcW w:type="dxa" w:w="1224"/>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Spec ID</w:t>
            </w:r>
          </w:p>
        </w:tc>
        <w:tc>
          <w:tcPr>
            <w:tcW w:type="dxa" w:w="1008"/>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Sub-RQ</w:t>
            </w:r>
          </w:p>
        </w:tc>
        <w:tc>
          <w:tcPr>
            <w:tcW w:type="dxa" w:w="1512"/>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Predictor (</w:t>
            </w:r>
            <w:r>
              <w:rPr>
                <w:rFonts w:ascii="Times New Roman" w:hAnsi="Times New Roman"/>
                <w:b/>
                <w:i/>
                <w:color w:val="0F254B"/>
                <w:sz w:val="15"/>
              </w:rPr>
              <w:t>t</w:t>
            </w:r>
            <w:r>
              <w:rPr>
                <w:rFonts w:ascii="Times New Roman" w:hAnsi="Times New Roman"/>
                <w:b/>
                <w:color w:val="0F254B"/>
                <w:sz w:val="15"/>
              </w:rPr>
              <w:t>)</w:t>
            </w:r>
          </w:p>
        </w:tc>
        <w:tc>
          <w:tcPr>
            <w:tcW w:type="dxa" w:w="1555"/>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Outcome</w:t>
            </w:r>
          </w:p>
        </w:tc>
        <w:tc>
          <w:tcPr>
            <w:tcW w:type="dxa" w:w="936"/>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Structure</w:t>
            </w:r>
          </w:p>
        </w:tc>
        <w:tc>
          <w:tcPr>
            <w:tcW w:type="dxa" w:w="317"/>
            <w:shd w:fill="EBF1F6"/>
            <w:tcMar>
              <w:top w:w="35" w:type="dxa"/>
              <w:bottom w:w="35" w:type="dxa"/>
              <w:left w:w="35" w:type="dxa"/>
              <w:right w:w="35" w:type="dxa"/>
            </w:tcMar>
          </w:tcPr>
          <w:p>
            <w:pPr>
              <w:spacing w:before="60" w:after="60"/>
              <w:jc w:val="center"/>
            </w:pPr>
            <w:r>
              <w:rPr>
                <w:b/>
              </w:rPr>
            </w:r>
            <w:r>
              <w:rPr>
                <w:rFonts w:ascii="Times New Roman" w:hAnsi="Times New Roman"/>
                <w:b/>
                <w:i/>
                <w:color w:val="0F254B"/>
                <w:sz w:val="15"/>
              </w:rPr>
              <w:t>N</w:t>
            </w:r>
          </w:p>
        </w:tc>
        <w:tc>
          <w:tcPr>
            <w:tcW w:type="dxa" w:w="691"/>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 xml:space="preserve">Pearson </w:t>
            </w:r>
            <w:r>
              <w:rPr>
                <w:rFonts w:ascii="Times New Roman" w:hAnsi="Times New Roman"/>
                <w:b/>
                <w:i/>
                <w:color w:val="0F254B"/>
                <w:sz w:val="15"/>
              </w:rPr>
              <w:t>r</w:t>
            </w:r>
          </w:p>
        </w:tc>
        <w:tc>
          <w:tcPr>
            <w:tcW w:type="dxa" w:w="691"/>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 xml:space="preserve">Spearman </w:t>
            </w:r>
            <w:r>
              <w:rPr>
                <w:rFonts w:ascii="Times New Roman" w:hAnsi="Times New Roman"/>
                <w:b/>
                <w:i/>
                <w:color w:val="0F254B"/>
                <w:sz w:val="15"/>
              </w:rPr>
              <w:t>ρ</w:t>
            </w:r>
          </w:p>
        </w:tc>
        <w:tc>
          <w:tcPr>
            <w:tcW w:type="dxa" w:w="605"/>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 xml:space="preserve">Kendall </w:t>
            </w:r>
            <w:r>
              <w:rPr>
                <w:rFonts w:ascii="Times New Roman" w:hAnsi="Times New Roman"/>
                <w:b/>
                <w:i/>
                <w:color w:val="0F254B"/>
                <w:sz w:val="15"/>
              </w:rPr>
              <w:t>τ</w:t>
            </w:r>
          </w:p>
        </w:tc>
        <w:tc>
          <w:tcPr>
            <w:tcW w:type="dxa" w:w="821"/>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Agreement</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PRIMARY-SQ2-01</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SQ2 (Finance </w:t>
            </w:r>
            <w:r>
              <w:rPr>
                <w:rFonts w:ascii="Times New Roman" w:hAnsi="Times New Roman"/>
                <w:i/>
                <w:color w:val="111827"/>
                <w:sz w:val="14"/>
              </w:rPr>
              <w:t>→</w:t>
            </w:r>
            <w:r>
              <w:rPr>
                <w:rFonts w:ascii="Times New Roman" w:hAnsi="Times New Roman"/>
                <w:color w:val="111827"/>
                <w:sz w:val="14"/>
              </w:rPr>
              <w:t xml:space="preserve"> Invest)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football_turnover</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Contemporaneous</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10</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+0.3659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+0.3455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+0.2444</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PRIMARY-SQ2-02</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SQ2 (Finance </w:t>
            </w:r>
            <w:r>
              <w:rPr>
                <w:rFonts w:ascii="Times New Roman" w:hAnsi="Times New Roman"/>
                <w:i/>
                <w:color w:val="111827"/>
                <w:sz w:val="14"/>
              </w:rPr>
              <w:t>→</w:t>
            </w:r>
            <w:r>
              <w:rPr>
                <w:rFonts w:ascii="Times New Roman" w:hAnsi="Times New Roman"/>
                <w:color w:val="111827"/>
                <w:sz w:val="14"/>
              </w:rPr>
              <w:t xml:space="preserve"> Invest)</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staff_costs</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Contemporaneous</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10</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+0.3894</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+0.3091</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+0.2889</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PRIMARY-SQ2-03</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SQ2 (Finance </w:t>
            </w:r>
            <w:r>
              <w:rPr>
                <w:rFonts w:ascii="Times New Roman" w:hAnsi="Times New Roman"/>
                <w:i/>
                <w:color w:val="111827"/>
                <w:sz w:val="14"/>
              </w:rPr>
              <w:t>→</w:t>
            </w:r>
            <w:r>
              <w:rPr>
                <w:rFonts w:ascii="Times New Roman" w:hAnsi="Times New Roman"/>
                <w:color w:val="111827"/>
                <w:sz w:val="14"/>
              </w:rPr>
              <w:t xml:space="preserve"> Invest)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net_debt</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Contemporaneous</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10</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+0.5906</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+0.4182</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+0.3333</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PRIMARY-SQ3-04</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SQ3 (Invest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ppg</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+0.3911</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+0.4500</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+0.3333</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PRIMARY-SQ3-05</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SQ3 (Invest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xgd</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+0.5982</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+0.6500</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+0.5000</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PRIMARY-SQ3-06</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SQ3 (Invest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xpts</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+0.6189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+0.6667</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+0.5000</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PRIMARY-SQ4-07</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SQ4 (Staff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staff_costs</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ppg</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+0.0516</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-0.0333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0.0000</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SIGN_REVERSAL</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PRIMARY-SQ4-08</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SQ4 (Staff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staff_costs</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xgd</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+0.2229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+0.1833</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+0.1667</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PRIMARY-SQ4-09</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SQ4 (Staff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staff_costs</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xpts</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+0.2618</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+0.2667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+0.1667</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PRIMARY-SQ5-10</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SQ5 (Finance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football_turnover</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ppg</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+0.2412</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+0.2333</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+0.1667</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PRIMARY-SQ5-11</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SQ5 (Finance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football_turnover</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xgd</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+0.5046</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+0.5000</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+0.3333</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PRIMARY-SQ5-12</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SQ5 (Finance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football_turnover</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xpts</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+0.4851</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+0.5167</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+0.3333</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PRIMARY-SQ5-13</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SQ5 (Finance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net_debt</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ppg</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+0.5663</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+0.4333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+0.2778</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PRIMARY-SQ5-14</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SQ5 (Finance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net_debt</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xgd</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+0.6320</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+0.6333</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+0.4444</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PRIMARY-SQ5-15</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SQ5 (Finance </w:t>
            </w:r>
            <w:r>
              <w:rPr>
                <w:rFonts w:ascii="Times New Roman" w:hAnsi="Times New Roman"/>
                <w:i/>
                <w:color w:val="111827"/>
                <w:sz w:val="14"/>
              </w:rPr>
              <w:t>→</w:t>
            </w:r>
            <w:r>
              <w:rPr>
                <w:rFonts w:ascii="Times New Roman" w:hAnsi="Times New Roman"/>
                <w:color w:val="111827"/>
                <w:sz w:val="14"/>
              </w:rPr>
              <w:t xml:space="preserve"> Sport)</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net_debt</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xpts</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+0.6937</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+0.6167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+0.4444</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8FAFC"/>
            <w:tcMar>
              <w:top w:w="30" w:type="dxa"/>
              <w:bottom w:w="30" w:type="dxa"/>
              <w:left w:w="30" w:type="dxa"/>
              <w:right w:w="30" w:type="dxa"/>
            </w:tcMar>
          </w:tcPr>
          <w:p>
            <w:pPr>
              <w:spacing w:before="40" w:after="40"/>
              <w:jc w:val="left"/>
            </w:pPr>
            <w:r/>
            <w:r>
              <w:rPr>
                <w:rFonts w:ascii="Consolas" w:hAnsi="Consolas"/>
                <w:b/>
                <w:color w:val="1E293B"/>
                <w:sz w:val="13"/>
              </w:rPr>
              <w:t>PRIMARY-SQ6-16</w:t>
            </w:r>
          </w:p>
        </w:tc>
        <w:tc>
          <w:tcPr>
            <w:tcW w:type="dxa" w:w="1008"/>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SQ6 (Quality </w:t>
            </w:r>
            <w:r>
              <w:rPr>
                <w:rFonts w:ascii="Times New Roman" w:hAnsi="Times New Roman"/>
                <w:i/>
                <w:color w:val="111827"/>
                <w:sz w:val="14"/>
              </w:rPr>
              <w:t>→</w:t>
            </w:r>
            <w:r>
              <w:rPr>
                <w:rFonts w:ascii="Times New Roman" w:hAnsi="Times New Roman"/>
                <w:color w:val="111827"/>
                <w:sz w:val="14"/>
              </w:rPr>
              <w:t xml:space="preserve"> Process)</w:t>
            </w:r>
          </w:p>
        </w:tc>
        <w:tc>
          <w:tcPr>
            <w:tcW w:type="dxa" w:w="1512"/>
            <w:shd w:fill="F8FAFC"/>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1555"/>
            <w:shd w:fill="F8FAFC"/>
            <w:tcMar>
              <w:top w:w="30" w:type="dxa"/>
              <w:bottom w:w="30" w:type="dxa"/>
              <w:left w:w="30" w:type="dxa"/>
              <w:right w:w="30" w:type="dxa"/>
            </w:tcMar>
          </w:tcPr>
          <w:p>
            <w:pPr>
              <w:spacing w:before="40" w:after="40"/>
              <w:jc w:val="center"/>
            </w:pPr>
            <w:r/>
            <w:r>
              <w:rPr>
                <w:rFonts w:ascii="Consolas" w:hAnsi="Consolas"/>
                <w:b/>
                <w:color w:val="1E293B"/>
                <w:sz w:val="13"/>
              </w:rPr>
              <w:t>xgd</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8FAFC"/>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8FAFC"/>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+0.5982</w:t>
            </w:r>
          </w:p>
        </w:tc>
        <w:tc>
          <w:tcPr>
            <w:tcW w:type="dxa" w:w="691"/>
            <w:shd w:fill="F8FAFC"/>
            <w:tcMar>
              <w:top w:w="30" w:type="dxa"/>
              <w:bottom w:w="30" w:type="dxa"/>
              <w:left w:w="30" w:type="dxa"/>
              <w:right w:w="30" w:type="dxa"/>
            </w:tcMar>
          </w:tcPr>
          <w:p>
            <w:pPr>
              <w:spacing w:before="40" w:after="40"/>
              <w:jc w:val="center"/>
            </w:pPr>
            <w:r/>
            <w:r>
              <w:rPr>
                <w:rFonts w:ascii="Times New Roman" w:hAnsi="Times New Roman"/>
                <w:color w:val="111827"/>
                <w:sz w:val="14"/>
              </w:rPr>
              <w:t>+0.6500</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+0.5000</w:t>
            </w:r>
          </w:p>
        </w:tc>
        <w:tc>
          <w:tcPr>
            <w:tcW w:type="dxa" w:w="821"/>
            <w:shd w:fill="F8FAFC"/>
            <w:tcMar>
              <w:top w:w="30" w:type="dxa"/>
              <w:bottom w:w="30" w:type="dxa"/>
              <w:left w:w="30" w:type="dxa"/>
              <w:right w:w="30" w:type="dxa"/>
            </w:tcMar>
          </w:tcPr>
          <w:p>
            <w:pPr>
              <w:spacing w:before="40" w:after="40"/>
              <w:jc w:val="left"/>
            </w:pPr>
            <w:r/>
            <w:r>
              <w:rPr>
                <w:rFonts w:ascii="Consolas" w:hAnsi="Consolas"/>
                <w:b/>
                <w:color w:val="1E293B"/>
                <w:sz w:val="13"/>
              </w:rPr>
              <w:t>ALL_AGREE</w:t>
            </w:r>
          </w:p>
        </w:tc>
      </w:tr>
      <w:tr>
        <w:tc>
          <w:tcPr>
            <w:tcW w:type="dxa" w:w="1224"/>
            <w:shd w:fill="FFFFFF"/>
            <w:tcMar>
              <w:top w:w="30" w:type="dxa"/>
              <w:bottom w:w="30" w:type="dxa"/>
              <w:left w:w="30" w:type="dxa"/>
              <w:right w:w="30" w:type="dxa"/>
            </w:tcMar>
          </w:tcPr>
          <w:p>
            <w:pPr>
              <w:spacing w:before="40" w:after="40"/>
              <w:jc w:val="left"/>
            </w:pPr>
            <w:r/>
            <w:r>
              <w:rPr>
                <w:rFonts w:ascii="Consolas" w:hAnsi="Consolas"/>
                <w:b/>
                <w:color w:val="1E293B"/>
                <w:sz w:val="13"/>
              </w:rPr>
              <w:t>PRIMARY-SQ6-17</w:t>
            </w:r>
          </w:p>
        </w:tc>
        <w:tc>
          <w:tcPr>
            <w:tcW w:type="dxa" w:w="1008"/>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SQ6 (Quality </w:t>
            </w:r>
            <w:r>
              <w:rPr>
                <w:rFonts w:ascii="Times New Roman" w:hAnsi="Times New Roman"/>
                <w:i/>
                <w:color w:val="111827"/>
                <w:sz w:val="14"/>
              </w:rPr>
              <w:t>→</w:t>
            </w:r>
            <w:r>
              <w:rPr>
                <w:rFonts w:ascii="Times New Roman" w:hAnsi="Times New Roman"/>
                <w:color w:val="111827"/>
                <w:sz w:val="14"/>
              </w:rPr>
              <w:t xml:space="preserve"> Process)</w:t>
            </w:r>
          </w:p>
        </w:tc>
        <w:tc>
          <w:tcPr>
            <w:tcW w:type="dxa" w:w="1512"/>
            <w:shd w:fill="FFFFFF"/>
            <w:tcMar>
              <w:top w:w="30" w:type="dxa"/>
              <w:bottom w:w="30" w:type="dxa"/>
              <w:left w:w="30" w:type="dxa"/>
              <w:right w:w="30" w:type="dxa"/>
            </w:tcMar>
          </w:tcPr>
          <w:p>
            <w:pPr>
              <w:spacing w:before="40" w:after="40"/>
              <w:jc w:val="center"/>
            </w:pPr>
            <w:r/>
            <w:r>
              <w:rPr>
                <w:rFonts w:ascii="Consolas" w:hAnsi="Consolas"/>
                <w:b/>
                <w:color w:val="1E293B"/>
                <w:sz w:val="13"/>
              </w:rPr>
              <w:t>permanent_gross_transfer_spend</w:t>
            </w:r>
          </w:p>
        </w:tc>
        <w:tc>
          <w:tcPr>
            <w:tcW w:type="dxa" w:w="1555"/>
            <w:shd w:fill="FFFFFF"/>
            <w:tcMar>
              <w:top w:w="30" w:type="dxa"/>
              <w:bottom w:w="30" w:type="dxa"/>
              <w:left w:w="30" w:type="dxa"/>
              <w:right w:w="30" w:type="dxa"/>
            </w:tcMar>
          </w:tcPr>
          <w:p>
            <w:pPr>
              <w:spacing w:before="40" w:after="40"/>
              <w:jc w:val="center"/>
            </w:pPr>
            <w:r/>
            <w:r>
              <w:rPr>
                <w:rFonts w:ascii="Consolas" w:hAnsi="Consolas"/>
                <w:b/>
                <w:color w:val="1E293B"/>
                <w:sz w:val="13"/>
              </w:rPr>
              <w:t>xpts</w:t>
            </w:r>
            <w:r>
              <w:rPr>
                <w:rFonts w:ascii="Times New Roman" w:hAnsi="Times New Roman"/>
                <w:color w:val="111827"/>
                <w:sz w:val="14"/>
              </w:rPr>
              <w:t xml:space="preserve"> (</w:t>
            </w:r>
            <w:r>
              <w:rPr>
                <w:rFonts w:ascii="Times New Roman" w:hAnsi="Times New Roman"/>
                <w:i/>
                <w:color w:val="111827"/>
                <w:sz w:val="14"/>
              </w:rPr>
              <w:t>t+1</w:t>
            </w:r>
            <w:r>
              <w:rPr>
                <w:rFonts w:ascii="Times New Roman" w:hAnsi="Times New Roman"/>
                <w:color w:val="111827"/>
                <w:sz w:val="14"/>
              </w:rPr>
              <w:t>)</w:t>
            </w:r>
          </w:p>
        </w:tc>
        <w:tc>
          <w:tcPr>
            <w:tcW w:type="dxa" w:w="936"/>
            <w:shd w:fill="FFFFFF"/>
            <w:tcMar>
              <w:top w:w="30" w:type="dxa"/>
              <w:bottom w:w="30" w:type="dxa"/>
              <w:left w:w="30" w:type="dxa"/>
              <w:right w:w="30" w:type="dxa"/>
            </w:tcMar>
          </w:tcPr>
          <w:p>
            <w:pPr>
              <w:spacing w:before="40" w:after="40"/>
              <w:jc w:val="center"/>
            </w:pPr>
            <w:r/>
            <w:r>
              <w:rPr>
                <w:rFonts w:ascii="Times New Roman" w:hAnsi="Times New Roman"/>
                <w:color w:val="111827"/>
                <w:sz w:val="14"/>
              </w:rPr>
              <w:t>Lagged</w:t>
            </w:r>
          </w:p>
        </w:tc>
        <w:tc>
          <w:tcPr>
            <w:tcW w:type="dxa" w:w="317"/>
            <w:shd w:fill="FFFFFF"/>
            <w:tcMar>
              <w:top w:w="30" w:type="dxa"/>
              <w:bottom w:w="30" w:type="dxa"/>
              <w:left w:w="30" w:type="dxa"/>
              <w:right w:w="30" w:type="dxa"/>
            </w:tcMar>
          </w:tcPr>
          <w:p>
            <w:pPr>
              <w:spacing w:before="40" w:after="40"/>
              <w:jc w:val="center"/>
            </w:pPr>
            <w:r/>
            <w:r>
              <w:rPr>
                <w:rFonts w:ascii="Times New Roman" w:hAnsi="Times New Roman"/>
                <w:color w:val="111827"/>
                <w:sz w:val="14"/>
              </w:rPr>
              <w:t>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+0.6189</w:t>
            </w:r>
          </w:p>
        </w:tc>
        <w:tc>
          <w:tcPr>
            <w:tcW w:type="dxa" w:w="691"/>
            <w:shd w:fill="FFFFFF"/>
            <w:tcMar>
              <w:top w:w="30" w:type="dxa"/>
              <w:bottom w:w="30" w:type="dxa"/>
              <w:left w:w="30" w:type="dxa"/>
              <w:right w:w="30" w:type="dxa"/>
            </w:tcMar>
          </w:tcPr>
          <w:p>
            <w:pPr>
              <w:spacing w:before="40" w:after="40"/>
              <w:jc w:val="center"/>
            </w:pPr>
            <w:r/>
            <w:r>
              <w:rPr>
                <w:rFonts w:ascii="Times New Roman" w:hAnsi="Times New Roman"/>
                <w:color w:val="111827"/>
                <w:sz w:val="14"/>
              </w:rPr>
              <w:t>+0.6667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+0.5000</w:t>
            </w:r>
          </w:p>
        </w:tc>
        <w:tc>
          <w:tcPr>
            <w:tcW w:type="dxa" w:w="821"/>
            <w:shd w:fill="FFFFFF"/>
            <w:tcMar>
              <w:top w:w="30" w:type="dxa"/>
              <w:bottom w:w="30" w:type="dxa"/>
              <w:left w:w="30" w:type="dxa"/>
              <w:right w:w="30" w:type="dxa"/>
            </w:tcMar>
          </w:tcPr>
          <w:p>
            <w:pPr>
              <w:spacing w:before="40" w:after="40"/>
              <w:jc w:val="left"/>
            </w:pPr>
            <w:r/>
            <w:r>
              <w:rPr>
                <w:rFonts w:ascii="Consolas" w:hAnsi="Consolas"/>
                <w:b/>
                <w:color w:val="1E293B"/>
                <w:sz w:val="13"/>
              </w:rPr>
              <w:t>ALL_AGREE</w:t>
            </w:r>
          </w:p>
        </w:tc>
      </w:tr>
    </w:tbl>
    <w:p>
      <w:pPr>
        <w:spacing w:before="0" w:after="120"/>
      </w:pPr>
    </w:p>
    <w:p>
      <w:pPr>
        <w:spacing w:before="0" w:after="100" w:line="276" w:lineRule="auto"/>
        <w:jc w:val="both"/>
      </w:pPr>
      <w:r>
        <w:rPr>
          <w:rFonts w:ascii="Times New Roman" w:hAnsi="Times New Roman"/>
          <w:i/>
          <w:color w:val="111827"/>
          <w:sz w:val="20"/>
        </w:rPr>
        <w:t>Critical Duplicate-Evidence Note:</w:t>
      </w:r>
      <w:r>
        <w:rPr>
          <w:rFonts w:ascii="Times New Roman" w:hAnsi="Times New Roman"/>
          <w:color w:val="111827"/>
          <w:sz w:val="20"/>
        </w:rPr>
        <w:t xml:space="preserve"> In strict compliance with research design protocols, </w:t>
      </w:r>
      <w:r>
        <w:rPr>
          <w:rFonts w:ascii="Consolas" w:hAnsi="Consolas"/>
          <w:b/>
          <w:color w:val="1E293B"/>
          <w:sz w:val="19"/>
        </w:rPr>
        <w:t>PRIMARY-SQ6-16</w:t>
      </w:r>
      <w:r>
        <w:rPr>
          <w:rFonts w:ascii="Times New Roman" w:hAnsi="Times New Roman"/>
          <w:color w:val="111827"/>
          <w:sz w:val="20"/>
        </w:rPr>
        <w:t xml:space="preserve"> and </w:t>
      </w:r>
      <w:r>
        <w:rPr>
          <w:rFonts w:ascii="Consolas" w:hAnsi="Consolas"/>
          <w:b/>
          <w:color w:val="1E293B"/>
          <w:sz w:val="19"/>
        </w:rPr>
        <w:t>PRIMARY-SQ6-17</w:t>
      </w:r>
      <w:r>
        <w:rPr>
          <w:rFonts w:ascii="Times New Roman" w:hAnsi="Times New Roman"/>
          <w:color w:val="111827"/>
          <w:sz w:val="20"/>
        </w:rPr>
        <w:t xml:space="preserve"> are empirically identical calculations to </w:t>
      </w:r>
      <w:r>
        <w:rPr>
          <w:rFonts w:ascii="Consolas" w:hAnsi="Consolas"/>
          <w:b/>
          <w:color w:val="1E293B"/>
          <w:sz w:val="19"/>
        </w:rPr>
        <w:t>PRIMARY-SQ3-05</w:t>
      </w:r>
      <w:r>
        <w:rPr>
          <w:rFonts w:ascii="Times New Roman" w:hAnsi="Times New Roman"/>
          <w:color w:val="111827"/>
          <w:sz w:val="20"/>
        </w:rPr>
        <w:t xml:space="preserve"> and </w:t>
      </w:r>
      <w:r>
        <w:rPr>
          <w:rFonts w:ascii="Consolas" w:hAnsi="Consolas"/>
          <w:b/>
          <w:color w:val="1E293B"/>
          <w:sz w:val="19"/>
        </w:rPr>
        <w:t>PRIMARY-SQ3-06</w:t>
      </w:r>
      <w:r>
        <w:rPr>
          <w:rFonts w:ascii="Times New Roman" w:hAnsi="Times New Roman"/>
          <w:color w:val="111827"/>
          <w:sz w:val="20"/>
        </w:rPr>
        <w:t xml:space="preserve">. They are </w:t>
      </w:r>
      <w:r>
        <w:rPr>
          <w:rFonts w:ascii="Times New Roman" w:hAnsi="Times New Roman"/>
          <w:b/>
          <w:color w:val="111827"/>
          <w:sz w:val="20"/>
        </w:rPr>
        <w:t>not</w:t>
      </w:r>
      <w:r>
        <w:rPr>
          <w:rFonts w:ascii="Times New Roman" w:hAnsi="Times New Roman"/>
          <w:color w:val="111827"/>
          <w:sz w:val="20"/>
        </w:rPr>
        <w:t xml:space="preserve"> independent confirmatory evidence.</w:t>
      </w:r>
    </w:p>
    <w:p>
      <w:pPr>
        <w:keepNext/>
        <w:spacing w:before="220" w:after="60"/>
      </w:pPr>
      <w:r>
        <w:t>4.3 Robustness &amp; Leave-One-Season-Out Sensitivity Analysis</w:t>
      </w:r>
    </w:p>
    <w:p>
      <w:pPr>
        <w:spacing w:before="0" w:after="100" w:line="276" w:lineRule="auto"/>
        <w:jc w:val="both"/>
      </w:pPr>
      <w:r>
        <w:t>Table 3 summarizes the Leave-One-Season-Out (LOO) sensitivity analysis and COVID exclusion checks for the 17 primary specifications (results/robustness_results.md).</w:t>
      </w:r>
    </w:p>
    <w:p>
      <w:pPr>
        <w:keepNext/>
        <w:spacing w:before="180" w:after="60"/>
      </w:pPr>
      <w:r>
        <w:rPr>
          <w:rFonts w:ascii="Times New Roman" w:hAnsi="Times New Roman"/>
          <w:b/>
          <w:color w:val="0F254B"/>
          <w:sz w:val="19"/>
        </w:rPr>
        <w:t>Table 3:</w:t>
      </w:r>
      <w:r>
        <w:rPr>
          <w:rFonts w:ascii="Times New Roman" w:hAnsi="Times New Roman"/>
          <w:color w:val="0F254B"/>
          <w:sz w:val="19"/>
        </w:rPr>
        <w:t xml:space="preserve"> Robustness and Sensitivity Analysis: Leave-One-Season-Out (LOO) and COVID-19 Exclusion Checks.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
        <w:gridCol w:w="936"/>
        <w:gridCol w:w="936"/>
        <w:gridCol w:w="936"/>
        <w:gridCol w:w="936"/>
        <w:gridCol w:w="936"/>
        <w:gridCol w:w="936"/>
        <w:gridCol w:w="936"/>
        <w:gridCol w:w="936"/>
        <w:gridCol w:w="936"/>
      </w:tblGrid>
      <w:tr>
        <w:tc>
          <w:tcPr>
            <w:tcW w:type="dxa" w:w="1368"/>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Spec ID</w:t>
            </w:r>
          </w:p>
        </w:tc>
        <w:tc>
          <w:tcPr>
            <w:tcW w:type="dxa" w:w="605"/>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 xml:space="preserve">Base </w:t>
            </w:r>
            <w:r>
              <w:rPr>
                <w:rFonts w:ascii="Times New Roman" w:hAnsi="Times New Roman"/>
                <w:b/>
                <w:i/>
                <w:color w:val="0F254B"/>
                <w:sz w:val="15"/>
              </w:rPr>
              <w:t>r</w:t>
            </w:r>
          </w:p>
        </w:tc>
        <w:tc>
          <w:tcPr>
            <w:tcW w:type="dxa" w:w="605"/>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LOO Min (</w:t>
            </w:r>
            <w:r>
              <w:rPr>
                <w:rFonts w:ascii="Times New Roman" w:hAnsi="Times New Roman"/>
                <w:b/>
                <w:i/>
                <w:color w:val="0F254B"/>
                <w:sz w:val="15"/>
              </w:rPr>
              <w:t>r</w:t>
            </w:r>
            <w:r>
              <w:rPr>
                <w:rFonts w:ascii="Times New Roman" w:hAnsi="Times New Roman"/>
                <w:b/>
                <w:color w:val="0F254B"/>
                <w:sz w:val="15"/>
              </w:rPr>
              <w:t>)</w:t>
            </w:r>
          </w:p>
        </w:tc>
        <w:tc>
          <w:tcPr>
            <w:tcW w:type="dxa" w:w="1037"/>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Min Season Excluded</w:t>
            </w:r>
          </w:p>
        </w:tc>
        <w:tc>
          <w:tcPr>
            <w:tcW w:type="dxa" w:w="605"/>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LOO Max (</w:t>
            </w:r>
            <w:r>
              <w:rPr>
                <w:rFonts w:ascii="Times New Roman" w:hAnsi="Times New Roman"/>
                <w:b/>
                <w:i/>
                <w:color w:val="0F254B"/>
                <w:sz w:val="15"/>
              </w:rPr>
              <w:t>r</w:t>
            </w:r>
            <w:r>
              <w:rPr>
                <w:rFonts w:ascii="Times New Roman" w:hAnsi="Times New Roman"/>
                <w:b/>
                <w:color w:val="0F254B"/>
                <w:sz w:val="15"/>
              </w:rPr>
              <w:t>)</w:t>
            </w:r>
          </w:p>
        </w:tc>
        <w:tc>
          <w:tcPr>
            <w:tcW w:type="dxa" w:w="1037"/>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Max Season Excluded</w:t>
            </w:r>
          </w:p>
        </w:tc>
        <w:tc>
          <w:tcPr>
            <w:tcW w:type="dxa" w:w="605"/>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Sign Change?</w:t>
            </w:r>
          </w:p>
        </w:tc>
        <w:tc>
          <w:tcPr>
            <w:tcW w:type="dxa" w:w="893"/>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 xml:space="preserve">No-COVID </w:t>
            </w:r>
            <w:r>
              <w:rPr>
                <w:rFonts w:ascii="Times New Roman" w:hAnsi="Times New Roman"/>
                <w:b/>
                <w:i/>
                <w:color w:val="0F254B"/>
                <w:sz w:val="15"/>
              </w:rPr>
              <w:t>r</w:t>
            </w:r>
            <w:r>
              <w:rPr>
                <w:rFonts w:ascii="Times New Roman" w:hAnsi="Times New Roman"/>
                <w:b/>
                <w:color w:val="0F254B"/>
                <w:sz w:val="15"/>
              </w:rPr>
              <w:t xml:space="preserve"> (</w:t>
            </w:r>
            <w:r>
              <w:rPr>
                <w:rFonts w:ascii="Times New Roman" w:hAnsi="Times New Roman"/>
                <w:b/>
                <w:i/>
                <w:color w:val="0F254B"/>
                <w:sz w:val="15"/>
              </w:rPr>
              <w:t>N=6/8</w:t>
            </w:r>
            <w:r>
              <w:rPr>
                <w:rFonts w:ascii="Times New Roman" w:hAnsi="Times New Roman"/>
                <w:b/>
                <w:color w:val="0F254B"/>
                <w:sz w:val="15"/>
              </w:rPr>
              <w:t>)</w:t>
            </w:r>
          </w:p>
        </w:tc>
        <w:tc>
          <w:tcPr>
            <w:tcW w:type="dxa" w:w="662"/>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Difference (</w:t>
            </w:r>
            <w:r>
              <w:rPr>
                <w:rFonts w:ascii="Times New Roman" w:hAnsi="Times New Roman"/>
                <w:b/>
                <w:i/>
                <w:color w:val="0F254B"/>
                <w:sz w:val="15"/>
              </w:rPr>
              <w:t>Δ</w:t>
            </w:r>
            <w:r>
              <w:rPr>
                <w:rFonts w:ascii="Times New Roman" w:hAnsi="Times New Roman"/>
                <w:b/>
                <w:color w:val="0F254B"/>
                <w:sz w:val="15"/>
              </w:rPr>
              <w:t>)</w:t>
            </w:r>
          </w:p>
        </w:tc>
        <w:tc>
          <w:tcPr>
            <w:tcW w:type="dxa" w:w="1944"/>
            <w:shd w:fill="EBF1F6"/>
            <w:tcMar>
              <w:top w:w="35" w:type="dxa"/>
              <w:bottom w:w="35" w:type="dxa"/>
              <w:left w:w="35" w:type="dxa"/>
              <w:right w:w="35" w:type="dxa"/>
            </w:tcMar>
          </w:tcPr>
          <w:p>
            <w:pPr>
              <w:spacing w:before="60" w:after="60"/>
              <w:jc w:val="center"/>
            </w:pPr>
            <w:r>
              <w:rPr>
                <w:b/>
              </w:rPr>
            </w:r>
            <w:r>
              <w:rPr>
                <w:rFonts w:ascii="Times New Roman" w:hAnsi="Times New Roman"/>
                <w:b/>
                <w:color w:val="0F254B"/>
                <w:sz w:val="15"/>
              </w:rPr>
              <w:t>Objective Influence Status</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PRIMARY-SQ2-01</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+0.3659</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0.0830</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2023/24</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0.6824</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2024/25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0.4064</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+0.0405</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color w:val="111827"/>
                <w:sz w:val="14"/>
              </w:rPr>
              <w:t>LOO Pearson range: 0.0830 to 0.6824; sign preserved.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PRIMARY-SQ2-02</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+0.3894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0.0751</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2023/24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0.6768</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2024/25</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0.4179</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+0.0286</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color w:val="111827"/>
                <w:sz w:val="14"/>
              </w:rPr>
              <w:t>LOO Pearson range: 0.0751 to 0.6768; sign preserved.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PRIMARY-SQ2-03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+0.5906</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0.4643</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2023/24</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0.7246</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2024/25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0.6791</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+0.0885</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color w:val="111827"/>
                <w:sz w:val="14"/>
              </w:rPr>
              <w:t>LOO Pearson range: 0.4643 to 0.7246; sign preserved.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PRIMARY-SQ3-04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+0.3911</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0.2411</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2022/23 </w:t>
            </w:r>
            <w:r>
              <w:rPr>
                <w:rFonts w:ascii="Times New Roman" w:hAnsi="Times New Roman"/>
                <w:i/>
                <w:color w:val="111827"/>
                <w:sz w:val="14"/>
              </w:rPr>
              <w:t>→</w:t>
            </w:r>
            <w:r>
              <w:rPr>
                <w:rFonts w:ascii="Times New Roman" w:hAnsi="Times New Roman"/>
                <w:color w:val="111827"/>
                <w:sz w:val="14"/>
              </w:rPr>
              <w:t xml:space="preserve"> 2023/24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0.6244</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2015/16 </w:t>
            </w:r>
            <w:r>
              <w:rPr>
                <w:rFonts w:ascii="Times New Roman" w:hAnsi="Times New Roman"/>
                <w:i/>
                <w:color w:val="111827"/>
                <w:sz w:val="14"/>
              </w:rPr>
              <w:t>→</w:t>
            </w:r>
            <w:r>
              <w:rPr>
                <w:rFonts w:ascii="Times New Roman" w:hAnsi="Times New Roman"/>
                <w:color w:val="111827"/>
                <w:sz w:val="14"/>
              </w:rPr>
              <w:t xml:space="preserve"> 2016/17</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0.3818</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-0.0093</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color w:val="111827"/>
                <w:sz w:val="14"/>
              </w:rPr>
              <w:t>LOO Pearson range: 0.2411 to 0.6244; sign preserved.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PRIMARY-SQ3-05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+0.5982</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0.5334</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2022/23 </w:t>
            </w:r>
            <w:r>
              <w:rPr>
                <w:rFonts w:ascii="Times New Roman" w:hAnsi="Times New Roman"/>
                <w:i/>
                <w:color w:val="111827"/>
                <w:sz w:val="14"/>
              </w:rPr>
              <w:t>→</w:t>
            </w:r>
            <w:r>
              <w:rPr>
                <w:rFonts w:ascii="Times New Roman" w:hAnsi="Times New Roman"/>
                <w:color w:val="111827"/>
                <w:sz w:val="14"/>
              </w:rPr>
              <w:t xml:space="preserve"> 2023/24</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0.7157</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2015/16 </w:t>
            </w:r>
            <w:r>
              <w:rPr>
                <w:rFonts w:ascii="Times New Roman" w:hAnsi="Times New Roman"/>
                <w:i/>
                <w:color w:val="111827"/>
                <w:sz w:val="14"/>
              </w:rPr>
              <w:t>→</w:t>
            </w:r>
            <w:r>
              <w:rPr>
                <w:rFonts w:ascii="Times New Roman" w:hAnsi="Times New Roman"/>
                <w:color w:val="111827"/>
                <w:sz w:val="14"/>
              </w:rPr>
              <w:t xml:space="preserve"> 2016/17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0.6392</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+0.0409</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color w:val="111827"/>
                <w:sz w:val="14"/>
              </w:rPr>
              <w:t>LOO Pearson range: 0.5334 to 0.7157; sign preserved.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PRIMARY-SQ3-06</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+0.6189</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0.5560</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2022/23 </w:t>
            </w:r>
            <w:r>
              <w:rPr>
                <w:rFonts w:ascii="Times New Roman" w:hAnsi="Times New Roman"/>
                <w:i/>
                <w:color w:val="111827"/>
                <w:sz w:val="14"/>
              </w:rPr>
              <w:t>→</w:t>
            </w:r>
            <w:r>
              <w:rPr>
                <w:rFonts w:ascii="Times New Roman" w:hAnsi="Times New Roman"/>
                <w:color w:val="111827"/>
                <w:sz w:val="14"/>
              </w:rPr>
              <w:t xml:space="preserve"> 2023/24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0.7073</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2015/16 </w:t>
            </w:r>
            <w:r>
              <w:rPr>
                <w:rFonts w:ascii="Times New Roman" w:hAnsi="Times New Roman"/>
                <w:i/>
                <w:color w:val="111827"/>
                <w:sz w:val="14"/>
              </w:rPr>
              <w:t>→</w:t>
            </w:r>
            <w:r>
              <w:rPr>
                <w:rFonts w:ascii="Times New Roman" w:hAnsi="Times New Roman"/>
                <w:color w:val="111827"/>
                <w:sz w:val="14"/>
              </w:rPr>
              <w:t xml:space="preserve"> 2016/17</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0.7061</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+0.0872</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color w:val="111827"/>
                <w:sz w:val="14"/>
              </w:rPr>
              <w:t>LOO Pearson range: 0.5560 to 0.7073; sign preserved.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PRIMARY-SQ4-07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+0.0516</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-0.0936</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2023/24 </w:t>
            </w:r>
            <w:r>
              <w:rPr>
                <w:rFonts w:ascii="Times New Roman" w:hAnsi="Times New Roman"/>
                <w:i/>
                <w:color w:val="111827"/>
                <w:sz w:val="14"/>
              </w:rPr>
              <w:t>→</w:t>
            </w:r>
            <w:r>
              <w:rPr>
                <w:rFonts w:ascii="Times New Roman" w:hAnsi="Times New Roman"/>
                <w:color w:val="111827"/>
                <w:sz w:val="14"/>
              </w:rPr>
              <w:t xml:space="preserve"> 2024/25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0.1648</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2021/22 </w:t>
            </w:r>
            <w:r>
              <w:rPr>
                <w:rFonts w:ascii="Times New Roman" w:hAnsi="Times New Roman"/>
                <w:i/>
                <w:color w:val="111827"/>
                <w:sz w:val="14"/>
              </w:rPr>
              <w:t>→</w:t>
            </w:r>
            <w:r>
              <w:rPr>
                <w:rFonts w:ascii="Times New Roman" w:hAnsi="Times New Roman"/>
                <w:color w:val="111827"/>
                <w:sz w:val="14"/>
              </w:rPr>
              <w:t xml:space="preserve"> 2022/23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b/>
                <w:color w:val="111827"/>
                <w:sz w:val="14"/>
              </w:rPr>
              <w:t>Yes</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0.0924</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+0.0408</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b/>
                <w:color w:val="111827"/>
                <w:sz w:val="14"/>
              </w:rPr>
              <w:t>LOO sign reversal observed.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PRIMARY-SQ4-08</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+0.2229</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-0.0909</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2023/24 </w:t>
            </w:r>
            <w:r>
              <w:rPr>
                <w:rFonts w:ascii="Times New Roman" w:hAnsi="Times New Roman"/>
                <w:i/>
                <w:color w:val="111827"/>
                <w:sz w:val="14"/>
              </w:rPr>
              <w:t>→</w:t>
            </w:r>
            <w:r>
              <w:rPr>
                <w:rFonts w:ascii="Times New Roman" w:hAnsi="Times New Roman"/>
                <w:color w:val="111827"/>
                <w:sz w:val="14"/>
              </w:rPr>
              <w:t xml:space="preserve"> 2024/25</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0.3020</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2022/23 </w:t>
            </w:r>
            <w:r>
              <w:rPr>
                <w:rFonts w:ascii="Times New Roman" w:hAnsi="Times New Roman"/>
                <w:i/>
                <w:color w:val="111827"/>
                <w:sz w:val="14"/>
              </w:rPr>
              <w:t>→</w:t>
            </w:r>
            <w:r>
              <w:rPr>
                <w:rFonts w:ascii="Times New Roman" w:hAnsi="Times New Roman"/>
                <w:color w:val="111827"/>
                <w:sz w:val="14"/>
              </w:rPr>
              <w:t xml:space="preserve"> 2023/24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b/>
                <w:color w:val="111827"/>
                <w:sz w:val="14"/>
              </w:rPr>
              <w:t>Yes</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0.3348</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+0.1120</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b/>
                <w:color w:val="111827"/>
                <w:sz w:val="14"/>
              </w:rPr>
              <w:t>LOO sign reversal observed.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PRIMARY-SQ4-09</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+0.2618</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-0.0298</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2023/24 </w:t>
            </w:r>
            <w:r>
              <w:rPr>
                <w:rFonts w:ascii="Times New Roman" w:hAnsi="Times New Roman"/>
                <w:i/>
                <w:color w:val="111827"/>
                <w:sz w:val="14"/>
              </w:rPr>
              <w:t>→</w:t>
            </w:r>
            <w:r>
              <w:rPr>
                <w:rFonts w:ascii="Times New Roman" w:hAnsi="Times New Roman"/>
                <w:color w:val="111827"/>
                <w:sz w:val="14"/>
              </w:rPr>
              <w:t xml:space="preserve"> 2024/25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0.3420</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2021/22 </w:t>
            </w:r>
            <w:r>
              <w:rPr>
                <w:rFonts w:ascii="Times New Roman" w:hAnsi="Times New Roman"/>
                <w:i/>
                <w:color w:val="111827"/>
                <w:sz w:val="14"/>
              </w:rPr>
              <w:t>→</w:t>
            </w:r>
            <w:r>
              <w:rPr>
                <w:rFonts w:ascii="Times New Roman" w:hAnsi="Times New Roman"/>
                <w:color w:val="111827"/>
                <w:sz w:val="14"/>
              </w:rPr>
              <w:t xml:space="preserve"> 2022/23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b/>
                <w:color w:val="111827"/>
                <w:sz w:val="14"/>
              </w:rPr>
              <w:t>Yes</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0.3810</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+0.1192</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b/>
                <w:color w:val="111827"/>
                <w:sz w:val="14"/>
              </w:rPr>
              <w:t>LOO sign reversal observed.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PRIMARY-SQ5-10</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+0.2412</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0.1228</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2022/23 </w:t>
            </w:r>
            <w:r>
              <w:rPr>
                <w:rFonts w:ascii="Times New Roman" w:hAnsi="Times New Roman"/>
                <w:i/>
                <w:color w:val="111827"/>
                <w:sz w:val="14"/>
              </w:rPr>
              <w:t>→</w:t>
            </w:r>
            <w:r>
              <w:rPr>
                <w:rFonts w:ascii="Times New Roman" w:hAnsi="Times New Roman"/>
                <w:color w:val="111827"/>
                <w:sz w:val="14"/>
              </w:rPr>
              <w:t xml:space="preserve"> 2023/24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0.3591</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2021/22 </w:t>
            </w:r>
            <w:r>
              <w:rPr>
                <w:rFonts w:ascii="Times New Roman" w:hAnsi="Times New Roman"/>
                <w:i/>
                <w:color w:val="111827"/>
                <w:sz w:val="14"/>
              </w:rPr>
              <w:t>→</w:t>
            </w:r>
            <w:r>
              <w:rPr>
                <w:rFonts w:ascii="Times New Roman" w:hAnsi="Times New Roman"/>
                <w:color w:val="111827"/>
                <w:sz w:val="14"/>
              </w:rPr>
              <w:t xml:space="preserve"> 2022/23</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0.0112</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-0.2300</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color w:val="111827"/>
                <w:sz w:val="14"/>
              </w:rPr>
              <w:t>COVID-excluded Pearson: 0.0112 vs baseline 0.2412; sign preserved.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PRIMARY-SQ5-11</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+0.5046</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0.4692</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2019/20 </w:t>
            </w:r>
            <w:r>
              <w:rPr>
                <w:rFonts w:ascii="Times New Roman" w:hAnsi="Times New Roman"/>
                <w:i/>
                <w:color w:val="111827"/>
                <w:sz w:val="14"/>
              </w:rPr>
              <w:t>→</w:t>
            </w:r>
            <w:r>
              <w:rPr>
                <w:rFonts w:ascii="Times New Roman" w:hAnsi="Times New Roman"/>
                <w:color w:val="111827"/>
                <w:sz w:val="14"/>
              </w:rPr>
              <w:t xml:space="preserve"> 2020/21</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0.5780</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2018/19 </w:t>
            </w:r>
            <w:r>
              <w:rPr>
                <w:rFonts w:ascii="Times New Roman" w:hAnsi="Times New Roman"/>
                <w:i/>
                <w:color w:val="111827"/>
                <w:sz w:val="14"/>
              </w:rPr>
              <w:t>→</w:t>
            </w:r>
            <w:r>
              <w:rPr>
                <w:rFonts w:ascii="Times New Roman" w:hAnsi="Times New Roman"/>
                <w:color w:val="111827"/>
                <w:sz w:val="14"/>
              </w:rPr>
              <w:t xml:space="preserve"> 2019/20</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0.4607</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-0.0439</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color w:val="111827"/>
                <w:sz w:val="14"/>
              </w:rPr>
              <w:t>LOO Pearson range: 0.4692 to 0.5780; sign preserved.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PRIMARY-SQ5-12</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+0.4851</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0.4449</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2019/20 </w:t>
            </w:r>
            <w:r>
              <w:rPr>
                <w:rFonts w:ascii="Times New Roman" w:hAnsi="Times New Roman"/>
                <w:i/>
                <w:color w:val="111827"/>
                <w:sz w:val="14"/>
              </w:rPr>
              <w:t>→</w:t>
            </w:r>
            <w:r>
              <w:rPr>
                <w:rFonts w:ascii="Times New Roman" w:hAnsi="Times New Roman"/>
                <w:color w:val="111827"/>
                <w:sz w:val="14"/>
              </w:rPr>
              <w:t xml:space="preserve"> 2020/21</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0.5651</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2018/19 </w:t>
            </w:r>
            <w:r>
              <w:rPr>
                <w:rFonts w:ascii="Times New Roman" w:hAnsi="Times New Roman"/>
                <w:i/>
                <w:color w:val="111827"/>
                <w:sz w:val="14"/>
              </w:rPr>
              <w:t>→</w:t>
            </w:r>
            <w:r>
              <w:rPr>
                <w:rFonts w:ascii="Times New Roman" w:hAnsi="Times New Roman"/>
                <w:color w:val="111827"/>
                <w:sz w:val="14"/>
              </w:rPr>
              <w:t xml:space="preserve"> 2019/20</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0.4776</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-0.0075</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color w:val="111827"/>
                <w:sz w:val="14"/>
              </w:rPr>
              <w:t>LOO Pearson range: 0.4449 to 0.5651; sign preserved.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PRIMARY-SQ5-13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+0.5663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0.4841</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2021/22 </w:t>
            </w:r>
            <w:r>
              <w:rPr>
                <w:rFonts w:ascii="Times New Roman" w:hAnsi="Times New Roman"/>
                <w:i/>
                <w:color w:val="111827"/>
                <w:sz w:val="14"/>
              </w:rPr>
              <w:t>→</w:t>
            </w:r>
            <w:r>
              <w:rPr>
                <w:rFonts w:ascii="Times New Roman" w:hAnsi="Times New Roman"/>
                <w:color w:val="111827"/>
                <w:sz w:val="14"/>
              </w:rPr>
              <w:t xml:space="preserve"> 2022/23</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0.6632</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2015/16 </w:t>
            </w:r>
            <w:r>
              <w:rPr>
                <w:rFonts w:ascii="Times New Roman" w:hAnsi="Times New Roman"/>
                <w:i/>
                <w:color w:val="111827"/>
                <w:sz w:val="14"/>
              </w:rPr>
              <w:t>→</w:t>
            </w:r>
            <w:r>
              <w:rPr>
                <w:rFonts w:ascii="Times New Roman" w:hAnsi="Times New Roman"/>
                <w:color w:val="111827"/>
                <w:sz w:val="14"/>
              </w:rPr>
              <w:t xml:space="preserve"> 2016/17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0.6839</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+0.1176</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color w:val="111827"/>
                <w:sz w:val="14"/>
              </w:rPr>
              <w:t>LOO Pearson range: 0.4841 to 0.6632; sign preserved.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PRIMARY-SQ5-14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+0.6320</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0.5902</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2023/24 </w:t>
            </w:r>
            <w:r>
              <w:rPr>
                <w:rFonts w:ascii="Times New Roman" w:hAnsi="Times New Roman"/>
                <w:i/>
                <w:color w:val="111827"/>
                <w:sz w:val="14"/>
              </w:rPr>
              <w:t>→</w:t>
            </w:r>
            <w:r>
              <w:rPr>
                <w:rFonts w:ascii="Times New Roman" w:hAnsi="Times New Roman"/>
                <w:color w:val="111827"/>
                <w:sz w:val="14"/>
              </w:rPr>
              <w:t xml:space="preserve"> 2024/25</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0.7214</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2016/17 </w:t>
            </w:r>
            <w:r>
              <w:rPr>
                <w:rFonts w:ascii="Times New Roman" w:hAnsi="Times New Roman"/>
                <w:i/>
                <w:color w:val="111827"/>
                <w:sz w:val="14"/>
              </w:rPr>
              <w:t>→</w:t>
            </w:r>
            <w:r>
              <w:rPr>
                <w:rFonts w:ascii="Times New Roman" w:hAnsi="Times New Roman"/>
                <w:color w:val="111827"/>
                <w:sz w:val="14"/>
              </w:rPr>
              <w:t xml:space="preserve"> 2017/18</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0.7734</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+0.1413</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color w:val="111827"/>
                <w:sz w:val="14"/>
              </w:rPr>
              <w:t>LOO Pearson range: 0.5902 to 0.7214; sign preserved.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PRIMARY-SQ5-15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+0.6937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0.6593</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2023/24 </w:t>
            </w:r>
            <w:r>
              <w:rPr>
                <w:rFonts w:ascii="Times New Roman" w:hAnsi="Times New Roman"/>
                <w:i/>
                <w:color w:val="111827"/>
                <w:sz w:val="14"/>
              </w:rPr>
              <w:t>→</w:t>
            </w:r>
            <w:r>
              <w:rPr>
                <w:rFonts w:ascii="Times New Roman" w:hAnsi="Times New Roman"/>
                <w:color w:val="111827"/>
                <w:sz w:val="14"/>
              </w:rPr>
              <w:t xml:space="preserve"> 2024/25</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0.7664</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2016/17 </w:t>
            </w:r>
            <w:r>
              <w:rPr>
                <w:rFonts w:ascii="Times New Roman" w:hAnsi="Times New Roman"/>
                <w:i/>
                <w:color w:val="111827"/>
                <w:sz w:val="14"/>
              </w:rPr>
              <w:t>→</w:t>
            </w:r>
            <w:r>
              <w:rPr>
                <w:rFonts w:ascii="Times New Roman" w:hAnsi="Times New Roman"/>
                <w:color w:val="111827"/>
                <w:sz w:val="14"/>
              </w:rPr>
              <w:t xml:space="preserve"> 2017/18</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0.8335</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+0.1398</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color w:val="111827"/>
                <w:sz w:val="14"/>
              </w:rPr>
              <w:t>LOO Pearson range: 0.6593 to 0.7664; sign preserved.</w:t>
            </w:r>
          </w:p>
        </w:tc>
      </w:tr>
      <w:tr>
        <w:tc>
          <w:tcPr>
            <w:tcW w:type="dxa" w:w="1368"/>
            <w:shd w:fill="F8FAFC"/>
            <w:tcMar>
              <w:top w:w="30" w:type="dxa"/>
              <w:bottom w:w="30" w:type="dxa"/>
              <w:left w:w="30" w:type="dxa"/>
              <w:right w:w="30" w:type="dxa"/>
            </w:tcMar>
          </w:tcPr>
          <w:p>
            <w:pPr>
              <w:spacing w:before="40" w:after="40"/>
              <w:jc w:val="left"/>
            </w:pPr>
            <w:r/>
            <w:r>
              <w:rPr>
                <w:rFonts w:ascii="Consolas" w:hAnsi="Consolas"/>
                <w:b/>
                <w:color w:val="1E293B"/>
                <w:sz w:val="13"/>
              </w:rPr>
              <w:t>PRIMARY-SQ6-16</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+0.5982</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0.5334</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2022/23 </w:t>
            </w:r>
            <w:r>
              <w:rPr>
                <w:rFonts w:ascii="Times New Roman" w:hAnsi="Times New Roman"/>
                <w:i/>
                <w:color w:val="111827"/>
                <w:sz w:val="14"/>
              </w:rPr>
              <w:t>→</w:t>
            </w:r>
            <w:r>
              <w:rPr>
                <w:rFonts w:ascii="Times New Roman" w:hAnsi="Times New Roman"/>
                <w:color w:val="111827"/>
                <w:sz w:val="14"/>
              </w:rPr>
              <w:t xml:space="preserve"> 2023/24</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0.7157</w:t>
            </w:r>
          </w:p>
        </w:tc>
        <w:tc>
          <w:tcPr>
            <w:tcW w:type="dxa" w:w="1037"/>
            <w:shd w:fill="F8FAFC"/>
            <w:tcMar>
              <w:top w:w="30" w:type="dxa"/>
              <w:bottom w:w="30" w:type="dxa"/>
              <w:left w:w="30" w:type="dxa"/>
              <w:right w:w="30" w:type="dxa"/>
            </w:tcMar>
          </w:tcPr>
          <w:p>
            <w:pPr>
              <w:spacing w:before="40" w:after="40"/>
              <w:jc w:val="center"/>
            </w:pPr>
            <w:r/>
            <w:r>
              <w:rPr>
                <w:rFonts w:ascii="Times New Roman" w:hAnsi="Times New Roman"/>
                <w:color w:val="111827"/>
                <w:sz w:val="14"/>
              </w:rPr>
              <w:t xml:space="preserve">2015/16 </w:t>
            </w:r>
            <w:r>
              <w:rPr>
                <w:rFonts w:ascii="Times New Roman" w:hAnsi="Times New Roman"/>
                <w:i/>
                <w:color w:val="111827"/>
                <w:sz w:val="14"/>
              </w:rPr>
              <w:t>→</w:t>
            </w:r>
            <w:r>
              <w:rPr>
                <w:rFonts w:ascii="Times New Roman" w:hAnsi="Times New Roman"/>
                <w:color w:val="111827"/>
                <w:sz w:val="14"/>
              </w:rPr>
              <w:t xml:space="preserve"> 2016/17</w:t>
            </w:r>
          </w:p>
        </w:tc>
        <w:tc>
          <w:tcPr>
            <w:tcW w:type="dxa" w:w="605"/>
            <w:shd w:fill="F8FAFC"/>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8FAFC"/>
            <w:tcMar>
              <w:top w:w="30" w:type="dxa"/>
              <w:bottom w:w="30" w:type="dxa"/>
              <w:left w:w="30" w:type="dxa"/>
              <w:right w:w="30" w:type="dxa"/>
            </w:tcMar>
          </w:tcPr>
          <w:p>
            <w:pPr>
              <w:spacing w:before="40" w:after="40"/>
              <w:jc w:val="center"/>
            </w:pPr>
            <w:r/>
            <w:r>
              <w:rPr>
                <w:rFonts w:ascii="Times New Roman" w:hAnsi="Times New Roman"/>
                <w:color w:val="111827"/>
                <w:sz w:val="14"/>
              </w:rPr>
              <w:t>0.6392</w:t>
            </w:r>
          </w:p>
        </w:tc>
        <w:tc>
          <w:tcPr>
            <w:tcW w:type="dxa" w:w="662"/>
            <w:shd w:fill="F8FAFC"/>
            <w:tcMar>
              <w:top w:w="30" w:type="dxa"/>
              <w:bottom w:w="30" w:type="dxa"/>
              <w:left w:w="30" w:type="dxa"/>
              <w:right w:w="30" w:type="dxa"/>
            </w:tcMar>
          </w:tcPr>
          <w:p>
            <w:pPr>
              <w:spacing w:before="40" w:after="40"/>
              <w:jc w:val="center"/>
            </w:pPr>
            <w:r/>
            <w:r>
              <w:rPr>
                <w:rFonts w:ascii="Times New Roman" w:hAnsi="Times New Roman"/>
                <w:color w:val="111827"/>
                <w:sz w:val="14"/>
              </w:rPr>
              <w:t>+0.0409</w:t>
            </w:r>
          </w:p>
        </w:tc>
        <w:tc>
          <w:tcPr>
            <w:tcW w:type="dxa" w:w="1944"/>
            <w:shd w:fill="F8FAFC"/>
            <w:tcMar>
              <w:top w:w="30" w:type="dxa"/>
              <w:bottom w:w="30" w:type="dxa"/>
              <w:left w:w="30" w:type="dxa"/>
              <w:right w:w="30" w:type="dxa"/>
            </w:tcMar>
          </w:tcPr>
          <w:p>
            <w:pPr>
              <w:spacing w:before="40" w:after="40"/>
              <w:jc w:val="left"/>
            </w:pPr>
            <w:r/>
            <w:r>
              <w:rPr>
                <w:rFonts w:ascii="Times New Roman" w:hAnsi="Times New Roman"/>
                <w:color w:val="111827"/>
                <w:sz w:val="14"/>
              </w:rPr>
              <w:t>LOO Pearson range: 0.5334 to 0.7157; sign preserved.</w:t>
            </w:r>
          </w:p>
        </w:tc>
      </w:tr>
      <w:tr>
        <w:tc>
          <w:tcPr>
            <w:tcW w:type="dxa" w:w="1368"/>
            <w:shd w:fill="FFFFFF"/>
            <w:tcMar>
              <w:top w:w="30" w:type="dxa"/>
              <w:bottom w:w="30" w:type="dxa"/>
              <w:left w:w="30" w:type="dxa"/>
              <w:right w:w="30" w:type="dxa"/>
            </w:tcMar>
          </w:tcPr>
          <w:p>
            <w:pPr>
              <w:spacing w:before="40" w:after="40"/>
              <w:jc w:val="left"/>
            </w:pPr>
            <w:r/>
            <w:r>
              <w:rPr>
                <w:rFonts w:ascii="Consolas" w:hAnsi="Consolas"/>
                <w:b/>
                <w:color w:val="1E293B"/>
                <w:sz w:val="13"/>
              </w:rPr>
              <w:t>PRIMARY-SQ6-17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+0.6189</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0.5560</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2022/23 </w:t>
            </w:r>
            <w:r>
              <w:rPr>
                <w:rFonts w:ascii="Times New Roman" w:hAnsi="Times New Roman"/>
                <w:i/>
                <w:color w:val="111827"/>
                <w:sz w:val="14"/>
              </w:rPr>
              <w:t>→</w:t>
            </w:r>
            <w:r>
              <w:rPr>
                <w:rFonts w:ascii="Times New Roman" w:hAnsi="Times New Roman"/>
                <w:color w:val="111827"/>
                <w:sz w:val="14"/>
              </w:rPr>
              <w:t xml:space="preserve"> 2023/24</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0.7073</w:t>
            </w:r>
          </w:p>
        </w:tc>
        <w:tc>
          <w:tcPr>
            <w:tcW w:type="dxa" w:w="1037"/>
            <w:shd w:fill="FFFFFF"/>
            <w:tcMar>
              <w:top w:w="30" w:type="dxa"/>
              <w:bottom w:w="30" w:type="dxa"/>
              <w:left w:w="30" w:type="dxa"/>
              <w:right w:w="30" w:type="dxa"/>
            </w:tcMar>
          </w:tcPr>
          <w:p>
            <w:pPr>
              <w:spacing w:before="40" w:after="40"/>
              <w:jc w:val="center"/>
            </w:pPr>
            <w:r/>
            <w:r>
              <w:rPr>
                <w:rFonts w:ascii="Times New Roman" w:hAnsi="Times New Roman"/>
                <w:color w:val="111827"/>
                <w:sz w:val="14"/>
              </w:rPr>
              <w:t xml:space="preserve">2015/16 </w:t>
            </w:r>
            <w:r>
              <w:rPr>
                <w:rFonts w:ascii="Times New Roman" w:hAnsi="Times New Roman"/>
                <w:i/>
                <w:color w:val="111827"/>
                <w:sz w:val="14"/>
              </w:rPr>
              <w:t>→</w:t>
            </w:r>
            <w:r>
              <w:rPr>
                <w:rFonts w:ascii="Times New Roman" w:hAnsi="Times New Roman"/>
                <w:color w:val="111827"/>
                <w:sz w:val="14"/>
              </w:rPr>
              <w:t xml:space="preserve"> 2016/17</w:t>
            </w:r>
          </w:p>
        </w:tc>
        <w:tc>
          <w:tcPr>
            <w:tcW w:type="dxa" w:w="605"/>
            <w:shd w:fill="FFFFFF"/>
            <w:tcMar>
              <w:top w:w="30" w:type="dxa"/>
              <w:bottom w:w="30" w:type="dxa"/>
              <w:left w:w="30" w:type="dxa"/>
              <w:right w:w="30" w:type="dxa"/>
            </w:tcMar>
          </w:tcPr>
          <w:p>
            <w:pPr>
              <w:spacing w:before="40" w:after="40"/>
              <w:jc w:val="center"/>
            </w:pPr>
            <w:r/>
            <w:r>
              <w:rPr>
                <w:rFonts w:ascii="Times New Roman" w:hAnsi="Times New Roman"/>
                <w:color w:val="111827"/>
                <w:sz w:val="14"/>
              </w:rPr>
              <w:t>No</w:t>
            </w:r>
          </w:p>
        </w:tc>
        <w:tc>
          <w:tcPr>
            <w:tcW w:type="dxa" w:w="893"/>
            <w:shd w:fill="FFFFFF"/>
            <w:tcMar>
              <w:top w:w="30" w:type="dxa"/>
              <w:bottom w:w="30" w:type="dxa"/>
              <w:left w:w="30" w:type="dxa"/>
              <w:right w:w="30" w:type="dxa"/>
            </w:tcMar>
          </w:tcPr>
          <w:p>
            <w:pPr>
              <w:spacing w:before="40" w:after="40"/>
              <w:jc w:val="center"/>
            </w:pPr>
            <w:r/>
            <w:r>
              <w:rPr>
                <w:rFonts w:ascii="Times New Roman" w:hAnsi="Times New Roman"/>
                <w:color w:val="111827"/>
                <w:sz w:val="14"/>
              </w:rPr>
              <w:t>0.7061</w:t>
            </w:r>
          </w:p>
        </w:tc>
        <w:tc>
          <w:tcPr>
            <w:tcW w:type="dxa" w:w="662"/>
            <w:shd w:fill="FFFFFF"/>
            <w:tcMar>
              <w:top w:w="30" w:type="dxa"/>
              <w:bottom w:w="30" w:type="dxa"/>
              <w:left w:w="30" w:type="dxa"/>
              <w:right w:w="30" w:type="dxa"/>
            </w:tcMar>
          </w:tcPr>
          <w:p>
            <w:pPr>
              <w:spacing w:before="40" w:after="40"/>
              <w:jc w:val="center"/>
            </w:pPr>
            <w:r/>
            <w:r>
              <w:rPr>
                <w:rFonts w:ascii="Times New Roman" w:hAnsi="Times New Roman"/>
                <w:color w:val="111827"/>
                <w:sz w:val="14"/>
              </w:rPr>
              <w:t>+0.0872</w:t>
            </w:r>
          </w:p>
        </w:tc>
        <w:tc>
          <w:tcPr>
            <w:tcW w:type="dxa" w:w="1944"/>
            <w:shd w:fill="FFFFFF"/>
            <w:tcMar>
              <w:top w:w="30" w:type="dxa"/>
              <w:bottom w:w="30" w:type="dxa"/>
              <w:left w:w="30" w:type="dxa"/>
              <w:right w:w="30" w:type="dxa"/>
            </w:tcMar>
          </w:tcPr>
          <w:p>
            <w:pPr>
              <w:spacing w:before="40" w:after="40"/>
              <w:jc w:val="left"/>
            </w:pPr>
            <w:r/>
            <w:r>
              <w:rPr>
                <w:rFonts w:ascii="Times New Roman" w:hAnsi="Times New Roman"/>
                <w:color w:val="111827"/>
                <w:sz w:val="14"/>
              </w:rPr>
              <w:t>LOO Pearson range: 0.5560 to 0.7073; sign preserved.</w:t>
            </w:r>
          </w:p>
        </w:tc>
      </w:tr>
    </w:tbl>
    <w:p>
      <w:pPr>
        <w:spacing w:before="0" w:after="120"/>
      </w:pPr>
    </w:p>
    <w:p>
      <w:pPr>
        <w:keepNext/>
        <w:spacing w:before="300" w:after="100"/>
      </w:pPr>
      <w:r>
        <w:rPr>
          <w:rFonts w:ascii="Times New Roman" w:hAnsi="Times New Roman"/>
          <w:b/>
          <w:color w:val="0F254B"/>
          <w:sz w:val="26"/>
        </w:rPr>
        <w:t>5. Discussion</w:t>
      </w:r>
    </w:p>
    <w:p>
      <w:pPr>
        <w:keepNext/>
        <w:spacing w:before="300" w:after="100"/>
      </w:pPr>
      <w:r>
        <w:rPr>
          <w:rFonts w:ascii="Times New Roman" w:hAnsi="Times New Roman"/>
          <w:b/>
          <w:color w:val="0F254B"/>
          <w:sz w:val="26"/>
        </w:rPr>
        <w:t>5.1 SQ1 — Financial Evolution (2015/16–2024/25)</w:t>
      </w:r>
    </w:p>
    <w:p>
      <w:pPr>
        <w:keepNext/>
        <w:spacing w:before="220" w:after="60"/>
      </w:pPr>
      <w:r>
        <w:rPr>
          <w:rFonts w:ascii="Times New Roman" w:hAnsi="Times New Roman"/>
          <w:b/>
          <w:color w:val="1E3A8A"/>
          <w:sz w:val="22"/>
        </w:rPr>
        <w:t>Empirical Observations</w:t>
      </w:r>
    </w:p>
    <w:p>
      <w:pPr>
        <w:spacing w:before="0" w:after="100" w:line="276" w:lineRule="auto"/>
        <w:jc w:val="both"/>
      </w:pPr>
      <w:r>
        <w:rPr>
          <w:rFonts w:ascii="Times New Roman" w:hAnsi="Times New Roman"/>
          <w:color w:val="111827"/>
          <w:sz w:val="20"/>
        </w:rPr>
        <w:t>Across the ten-season observation window (</w:t>
      </w:r>
      <w:r>
        <w:rPr>
          <w:rFonts w:ascii="Times New Roman" w:hAnsi="Times New Roman"/>
          <w:i/>
          <w:color w:val="111827"/>
          <w:sz w:val="20"/>
        </w:rPr>
        <w:t>N=10</w:t>
      </w:r>
      <w:r>
        <w:rPr>
          <w:rFonts w:ascii="Times New Roman" w:hAnsi="Times New Roman"/>
          <w:color w:val="111827"/>
          <w:sz w:val="20"/>
        </w:rPr>
        <w:t>), Arsenal Football Club underwent a substantial financial expansion accompanied by marked structural volatility. Audited statutory accounts from Arsenal Holdings Limited reveal that football turnover expanded from £350.60m in 2015/16 to £691.00m in 2024/25, representing an absolute growth of +£340.40m (+97.09%). This trajectory, however, was non-linear: turnover plateaued between 2016/17 and 2018/19 (£420m–£395m), contracted sharply during the COVID-19 pandemic to a decade trough of £327.60m in 2020/21 (driven by a 98% collapse in matchday gate receipts to £3.8m), and rebounded aggressively post-2021, culminating in a single-season revenue surge of +£151.40m (+32.59%) in 2023/24.</w:t>
      </w:r>
    </w:p>
    <w:p>
      <w:pPr>
        <w:spacing w:before="0" w:after="100" w:line="276" w:lineRule="auto"/>
        <w:jc w:val="both"/>
      </w:pPr>
      <w:r>
        <w:rPr>
          <w:rFonts w:ascii="Times New Roman" w:hAnsi="Times New Roman"/>
          <w:color w:val="111827"/>
          <w:sz w:val="20"/>
        </w:rPr>
        <w:t>Simultaneously, total group employee compensation (</w:t>
      </w:r>
      <w:r>
        <w:rPr>
          <w:rFonts w:ascii="Consolas" w:hAnsi="Consolas"/>
          <w:b/>
          <w:color w:val="1E293B"/>
          <w:sz w:val="19"/>
        </w:rPr>
        <w:t>staff_costs</w:t>
      </w:r>
      <w:r>
        <w:rPr>
          <w:rFonts w:ascii="Times New Roman" w:hAnsi="Times New Roman"/>
          <w:color w:val="111827"/>
          <w:sz w:val="20"/>
        </w:rPr>
        <w:t>) increased by +77.58% (+£151.60m), rising from £195.40m in 2015/16 to £347.00m in 2024/25. Club balance sheet leverage experienced a fundamental transformation: net debt stood at £6.50m in 2015/16 and reached a net cash position of -£12.90m in 2017/18, before escalating to £283.00m by 2024/25 (+£276.50m overall). Statutory operating results deteriorated across the decade, averaging -£36.55m per season, with a peak operating deficit of -£130.40m recorded during the 2020/21 pandemic campaign.</w:t>
      </w:r>
    </w:p>
    <w:p>
      <w:pPr>
        <w:keepNext/>
        <w:spacing w:before="220" w:after="60"/>
      </w:pPr>
      <w:r>
        <w:rPr>
          <w:rFonts w:ascii="Times New Roman" w:hAnsi="Times New Roman"/>
          <w:b/>
          <w:color w:val="1E3A8A"/>
          <w:sz w:val="22"/>
        </w:rPr>
        <w:t>Author Interpretation</w:t>
      </w:r>
    </w:p>
    <w:p>
      <w:pPr>
        <w:spacing w:before="0" w:after="100" w:line="276" w:lineRule="auto"/>
        <w:jc w:val="both"/>
      </w:pPr>
      <w:r>
        <w:rPr>
          <w:rFonts w:ascii="Times New Roman" w:hAnsi="Times New Roman"/>
          <w:color w:val="111827"/>
          <w:sz w:val="20"/>
        </w:rPr>
        <w:t>As conceptualized by the student author (Principles 1, 3, and 4), Arsenal’s financial evolution reflects a fluctuating, multi-stage structural transition rather than steady, organic growth. The decade divides into three distinct financial regimes: (i) an initial self-sustaining, bond-constrained phase under late Arsène Wenger; (ii) a severe operational crisis compounded by UEFA Champions League absence and pandemic disruption; and (iii) a capital-intensive rebuilding phase characterized by shareholder financing and top-line recovery.</w:t>
      </w:r>
    </w:p>
    <w:p>
      <w:pPr>
        <w:spacing w:before="0" w:after="100" w:line="276" w:lineRule="auto"/>
        <w:jc w:val="both"/>
      </w:pPr>
      <w:r>
        <w:rPr>
          <w:rFonts w:ascii="Times New Roman" w:hAnsi="Times New Roman"/>
          <w:color w:val="111827"/>
          <w:sz w:val="20"/>
        </w:rPr>
        <w:t>The author interprets the post-2021 turnover recovery as a vital restoration of liquidity and operational flexibility (Principle 3). However, this expansion was not financed exclusively from operating cash flows. Instead, the author notes that the club’s strategic pivot required substantial balance sheet restructuring, characterized by the redemption of historical fixed-rate stadium bonds and the assumption of subordinated shareholder loan facilities from Kroenke Sports &amp; Entertainment (KSE UK Inc.). Consequently, greater financial capacity and spending capability coincided with expanded net financial commitments and elevated debt exposure (Principle 4).</w:t>
      </w:r>
    </w:p>
    <w:p>
      <w:pPr>
        <w:keepNext/>
        <w:spacing w:before="220" w:after="60"/>
      </w:pPr>
      <w:r>
        <w:rPr>
          <w:rFonts w:ascii="Times New Roman" w:hAnsi="Times New Roman"/>
          <w:b/>
          <w:color w:val="1E3A8A"/>
          <w:sz w:val="22"/>
        </w:rPr>
        <w:t>Alternative Explanations</w:t>
      </w:r>
    </w:p>
    <w:p>
      <w:pPr>
        <w:spacing w:before="0" w:after="100" w:line="276" w:lineRule="auto"/>
        <w:jc w:val="both"/>
      </w:pPr>
      <w:r>
        <w:rPr>
          <w:rFonts w:ascii="Times New Roman" w:hAnsi="Times New Roman"/>
          <w:color w:val="111827"/>
          <w:sz w:val="20"/>
        </w:rPr>
        <w:t>An alternative macro-level explanation posits that Arsenal’s turnover trajectory was primarily exogenous—driven by general Premier League broadcast rights inflation and broader commercial monetization across English football—rather than club-specific strategic initiatives. Furthermore, the sharp increase in net debt can be interpreted alternatively not as an intentional leverage choice, but as an unavoidable liquidity backstop necessitated by accumulated operational losses during the four-year absence from Europe’s premier club competition.</w:t>
      </w:r>
    </w:p>
    <w:p>
      <w:pPr>
        <w:keepNext/>
        <w:spacing w:before="220" w:after="60"/>
      </w:pPr>
      <w:r>
        <w:rPr>
          <w:rFonts w:ascii="Times New Roman" w:hAnsi="Times New Roman"/>
          <w:b/>
          <w:color w:val="1E3A8A"/>
          <w:sz w:val="22"/>
        </w:rPr>
        <w:t>Robustness &amp; Limitations</w:t>
      </w:r>
    </w:p>
    <w:p>
      <w:pPr>
        <w:spacing w:before="0" w:after="100" w:line="276" w:lineRule="auto"/>
        <w:jc w:val="both"/>
      </w:pPr>
      <w:r>
        <w:rPr>
          <w:rFonts w:ascii="Times New Roman" w:hAnsi="Times New Roman"/>
          <w:color w:val="111827"/>
          <w:sz w:val="20"/>
        </w:rPr>
        <w:t xml:space="preserve">The financial series comprises </w:t>
      </w:r>
      <w:r>
        <w:rPr>
          <w:rFonts w:ascii="Times New Roman" w:hAnsi="Times New Roman"/>
          <w:i/>
          <w:color w:val="111827"/>
          <w:sz w:val="20"/>
        </w:rPr>
        <w:t>N=10</w:t>
      </w:r>
      <w:r>
        <w:rPr>
          <w:rFonts w:ascii="Times New Roman" w:hAnsi="Times New Roman"/>
          <w:color w:val="111827"/>
          <w:sz w:val="20"/>
        </w:rPr>
        <w:t xml:space="preserve"> completed annual reporting periods. The 2019/20 and 2020/21 pandemic shock represents an extreme external distortion that depresses mid-decade turnover and profitability averages. Net debt definitions capture both commercial and shareholder obligations; variations in debt structure reflect ownership refinancing rather than purely market-driven credit access.</w:t>
      </w:r>
    </w:p>
    <w:p>
      <w:pPr>
        <w:keepNext/>
        <w:spacing w:before="220" w:after="60"/>
      </w:pPr>
      <w:r>
        <w:rPr>
          <w:rFonts w:ascii="Times New Roman" w:hAnsi="Times New Roman"/>
          <w:b/>
          <w:color w:val="1E3A8A"/>
          <w:sz w:val="22"/>
        </w:rPr>
        <w:t>Causal-Language Limitation</w:t>
      </w:r>
    </w:p>
    <w:p>
      <w:pPr>
        <w:spacing w:before="0" w:after="100" w:line="276" w:lineRule="auto"/>
        <w:jc w:val="both"/>
      </w:pPr>
      <w:r>
        <w:rPr>
          <w:rFonts w:ascii="Times New Roman" w:hAnsi="Times New Roman"/>
          <w:color w:val="111827"/>
          <w:sz w:val="20"/>
        </w:rPr>
        <w:t>These financial trajectories describe historical statutory accounting outcomes. Observational accounting movements do not establish unilateral causation; revenue expansion cannot be claimed to have directly caused debt restructuring, nor did debt expansion independently cause operational losses.</w:t>
      </w:r>
    </w:p>
    <w:p>
      <w:pPr>
        <w:keepNext/>
        <w:spacing w:before="300" w:after="100"/>
      </w:pPr>
      <w:r>
        <w:rPr>
          <w:rFonts w:ascii="Times New Roman" w:hAnsi="Times New Roman"/>
          <w:b/>
          <w:color w:val="0F254B"/>
          <w:sz w:val="26"/>
        </w:rPr>
        <w:t>5.2 SQ2 — Financial Resources and Transfer Investment</w:t>
      </w:r>
    </w:p>
    <w:p>
      <w:pPr>
        <w:keepNext/>
        <w:spacing w:before="220" w:after="60"/>
      </w:pPr>
      <w:r>
        <w:rPr>
          <w:rFonts w:ascii="Times New Roman" w:hAnsi="Times New Roman"/>
          <w:b/>
          <w:color w:val="1E3A8A"/>
          <w:sz w:val="22"/>
        </w:rPr>
        <w:t>Empirical Observations</w:t>
      </w:r>
    </w:p>
    <w:p>
      <w:pPr>
        <w:spacing w:before="0" w:after="100" w:line="276" w:lineRule="auto"/>
        <w:jc w:val="both"/>
      </w:pPr>
      <w:r>
        <w:rPr>
          <w:rFonts w:ascii="Times New Roman" w:hAnsi="Times New Roman"/>
          <w:color w:val="111827"/>
          <w:sz w:val="20"/>
        </w:rPr>
        <w:t>Evaluating contemporaneous co-movements across the ten completed seasons (</w:t>
      </w:r>
      <w:r>
        <w:rPr>
          <w:rFonts w:ascii="Times New Roman" w:hAnsi="Times New Roman"/>
          <w:i/>
          <w:color w:val="111827"/>
          <w:sz w:val="20"/>
        </w:rPr>
        <w:t>N=10</w:t>
      </w:r>
      <w:r>
        <w:rPr>
          <w:rFonts w:ascii="Times New Roman" w:hAnsi="Times New Roman"/>
          <w:color w:val="111827"/>
          <w:sz w:val="20"/>
        </w:rPr>
        <w:t>, including 2 pandemic-disrupted campaigns), financial resources exhibited consistent positive associations with permanent gross transfer expenditure (</w:t>
      </w:r>
      <w:r>
        <w:rPr>
          <w:rFonts w:ascii="Consolas" w:hAnsi="Consolas"/>
          <w:b/>
          <w:color w:val="1E293B"/>
          <w:sz w:val="19"/>
        </w:rPr>
        <w:t>permanent_gross_transfer_spend</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Turnover vs Gross Spend (`PRIMARY-SQ2-01`):</w:t>
      </w:r>
      <w:r>
        <w:rPr>
          <w:rFonts w:ascii="Times New Roman" w:hAnsi="Times New Roman"/>
          <w:color w:val="111827"/>
          <w:sz w:val="20"/>
        </w:rPr>
        <w:t xml:space="preserve"> Pearson </w:t>
      </w:r>
      <w:r>
        <w:rPr>
          <w:rFonts w:ascii="Times New Roman" w:hAnsi="Times New Roman"/>
          <w:i/>
          <w:color w:val="111827"/>
          <w:sz w:val="20"/>
        </w:rPr>
        <w:t>r = +0.3659</w:t>
      </w:r>
      <w:r>
        <w:rPr>
          <w:rFonts w:ascii="Times New Roman" w:hAnsi="Times New Roman"/>
          <w:color w:val="111827"/>
          <w:sz w:val="20"/>
        </w:rPr>
        <w:t xml:space="preserve"> (</w:t>
      </w:r>
      <w:r>
        <w:rPr>
          <w:rFonts w:ascii="Times New Roman" w:hAnsi="Times New Roman"/>
          <w:i/>
          <w:color w:val="111827"/>
          <w:sz w:val="20"/>
        </w:rPr>
        <w:t>p = 0.2984</w:t>
      </w:r>
      <w:r>
        <w:rPr>
          <w:rFonts w:ascii="Times New Roman" w:hAnsi="Times New Roman"/>
          <w:color w:val="111827"/>
          <w:sz w:val="20"/>
        </w:rPr>
        <w:t xml:space="preserve">); Spearman </w:t>
      </w:r>
      <w:r>
        <w:rPr>
          <w:rFonts w:ascii="Times New Roman" w:hAnsi="Times New Roman"/>
          <w:i/>
          <w:color w:val="111827"/>
          <w:sz w:val="20"/>
        </w:rPr>
        <w:t>ρ = +0.3455</w:t>
      </w:r>
      <w:r>
        <w:rPr>
          <w:rFonts w:ascii="Times New Roman" w:hAnsi="Times New Roman"/>
          <w:color w:val="111827"/>
          <w:sz w:val="20"/>
        </w:rPr>
        <w:t xml:space="preserve">; Kendall </w:t>
      </w:r>
      <w:r>
        <w:rPr>
          <w:rFonts w:ascii="Times New Roman" w:hAnsi="Times New Roman"/>
          <w:i/>
          <w:color w:val="111827"/>
          <w:sz w:val="20"/>
        </w:rPr>
        <w:t>τ = +0.2444</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Staff Costs vs Gross Spend (`PRIMARY-SQ2-02`):</w:t>
      </w:r>
      <w:r>
        <w:rPr>
          <w:rFonts w:ascii="Times New Roman" w:hAnsi="Times New Roman"/>
          <w:color w:val="111827"/>
          <w:sz w:val="20"/>
        </w:rPr>
        <w:t xml:space="preserve"> Pearson </w:t>
      </w:r>
      <w:r>
        <w:rPr>
          <w:rFonts w:ascii="Times New Roman" w:hAnsi="Times New Roman"/>
          <w:i/>
          <w:color w:val="111827"/>
          <w:sz w:val="20"/>
        </w:rPr>
        <w:t>r = +0.3894</w:t>
      </w:r>
      <w:r>
        <w:rPr>
          <w:rFonts w:ascii="Times New Roman" w:hAnsi="Times New Roman"/>
          <w:color w:val="111827"/>
          <w:sz w:val="20"/>
        </w:rPr>
        <w:t xml:space="preserve"> (</w:t>
      </w:r>
      <w:r>
        <w:rPr>
          <w:rFonts w:ascii="Times New Roman" w:hAnsi="Times New Roman"/>
          <w:i/>
          <w:color w:val="111827"/>
          <w:sz w:val="20"/>
        </w:rPr>
        <w:t>p = 0.2661</w:t>
      </w:r>
      <w:r>
        <w:rPr>
          <w:rFonts w:ascii="Times New Roman" w:hAnsi="Times New Roman"/>
          <w:color w:val="111827"/>
          <w:sz w:val="20"/>
        </w:rPr>
        <w:t xml:space="preserve">); Spearman </w:t>
      </w:r>
      <w:r>
        <w:rPr>
          <w:rFonts w:ascii="Times New Roman" w:hAnsi="Times New Roman"/>
          <w:i/>
          <w:color w:val="111827"/>
          <w:sz w:val="20"/>
        </w:rPr>
        <w:t>ρ = +0.3091</w:t>
      </w:r>
      <w:r>
        <w:rPr>
          <w:rFonts w:ascii="Times New Roman" w:hAnsi="Times New Roman"/>
          <w:color w:val="111827"/>
          <w:sz w:val="20"/>
        </w:rPr>
        <w:t xml:space="preserve">; Kendall </w:t>
      </w:r>
      <w:r>
        <w:rPr>
          <w:rFonts w:ascii="Times New Roman" w:hAnsi="Times New Roman"/>
          <w:i/>
          <w:color w:val="111827"/>
          <w:sz w:val="20"/>
        </w:rPr>
        <w:t>τ = +0.2889</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Net Debt vs Gross Spend (`PRIMARY-SQ2-03`):</w:t>
      </w:r>
      <w:r>
        <w:rPr>
          <w:rFonts w:ascii="Times New Roman" w:hAnsi="Times New Roman"/>
          <w:color w:val="111827"/>
          <w:sz w:val="20"/>
        </w:rPr>
        <w:t xml:space="preserve"> Pearson </w:t>
      </w:r>
      <w:r>
        <w:rPr>
          <w:rFonts w:ascii="Times New Roman" w:hAnsi="Times New Roman"/>
          <w:i/>
          <w:color w:val="111827"/>
          <w:sz w:val="20"/>
        </w:rPr>
        <w:t>r = +0.5906</w:t>
      </w:r>
      <w:r>
        <w:rPr>
          <w:rFonts w:ascii="Times New Roman" w:hAnsi="Times New Roman"/>
          <w:color w:val="111827"/>
          <w:sz w:val="20"/>
        </w:rPr>
        <w:t xml:space="preserve"> (</w:t>
      </w:r>
      <w:r>
        <w:rPr>
          <w:rFonts w:ascii="Times New Roman" w:hAnsi="Times New Roman"/>
          <w:i/>
          <w:color w:val="111827"/>
          <w:sz w:val="20"/>
        </w:rPr>
        <w:t>p = 0.0722</w:t>
      </w:r>
      <w:r>
        <w:rPr>
          <w:rFonts w:ascii="Times New Roman" w:hAnsi="Times New Roman"/>
          <w:color w:val="111827"/>
          <w:sz w:val="20"/>
        </w:rPr>
        <w:t xml:space="preserve">); Spearman </w:t>
      </w:r>
      <w:r>
        <w:rPr>
          <w:rFonts w:ascii="Times New Roman" w:hAnsi="Times New Roman"/>
          <w:i/>
          <w:color w:val="111827"/>
          <w:sz w:val="20"/>
        </w:rPr>
        <w:t>ρ = +0.4182</w:t>
      </w:r>
      <w:r>
        <w:rPr>
          <w:rFonts w:ascii="Times New Roman" w:hAnsi="Times New Roman"/>
          <w:color w:val="111827"/>
          <w:sz w:val="20"/>
        </w:rPr>
        <w:t xml:space="preserve">; Kendall </w:t>
      </w:r>
      <w:r>
        <w:rPr>
          <w:rFonts w:ascii="Times New Roman" w:hAnsi="Times New Roman"/>
          <w:i/>
          <w:color w:val="111827"/>
          <w:sz w:val="20"/>
        </w:rPr>
        <w:t>τ = +0.3333</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Under Leave-One-Season-Out (LOO) sensitivity (</w:t>
      </w:r>
      <w:r>
        <w:rPr>
          <w:rFonts w:ascii="Times New Roman" w:hAnsi="Times New Roman"/>
          <w:i/>
          <w:color w:val="111827"/>
          <w:sz w:val="20"/>
        </w:rPr>
        <w:t>N=9</w:t>
      </w:r>
      <w:r>
        <w:rPr>
          <w:rFonts w:ascii="Times New Roman" w:hAnsi="Times New Roman"/>
          <w:color w:val="111827"/>
          <w:sz w:val="20"/>
        </w:rPr>
        <w:t>), all three specifications maintained positive Pearson signs across all iterations. Omitting 2023/24 yielded the minimum coefficient across all specifications (</w:t>
      </w:r>
      <w:r>
        <w:rPr>
          <w:rFonts w:ascii="Times New Roman" w:hAnsi="Times New Roman"/>
          <w:i/>
          <w:color w:val="111827"/>
          <w:sz w:val="20"/>
        </w:rPr>
        <w:t>r = 0.0830</w:t>
      </w:r>
      <w:r>
        <w:rPr>
          <w:rFonts w:ascii="Times New Roman" w:hAnsi="Times New Roman"/>
          <w:color w:val="111827"/>
          <w:sz w:val="20"/>
        </w:rPr>
        <w:t xml:space="preserve">, </w:t>
      </w:r>
      <w:r>
        <w:rPr>
          <w:rFonts w:ascii="Times New Roman" w:hAnsi="Times New Roman"/>
          <w:i/>
          <w:color w:val="111827"/>
          <w:sz w:val="20"/>
        </w:rPr>
        <w:t>0.0751</w:t>
      </w:r>
      <w:r>
        <w:rPr>
          <w:rFonts w:ascii="Times New Roman" w:hAnsi="Times New Roman"/>
          <w:color w:val="111827"/>
          <w:sz w:val="20"/>
        </w:rPr>
        <w:t xml:space="preserve">, and </w:t>
      </w:r>
      <w:r>
        <w:rPr>
          <w:rFonts w:ascii="Times New Roman" w:hAnsi="Times New Roman"/>
          <w:i/>
          <w:color w:val="111827"/>
          <w:sz w:val="20"/>
        </w:rPr>
        <w:t>0.4643</w:t>
      </w:r>
      <w:r>
        <w:rPr>
          <w:rFonts w:ascii="Times New Roman" w:hAnsi="Times New Roman"/>
          <w:color w:val="111827"/>
          <w:sz w:val="20"/>
        </w:rPr>
        <w:t>), whereas omitting 2024/25 produced the maximum coefficient (</w:t>
      </w:r>
      <w:r>
        <w:rPr>
          <w:rFonts w:ascii="Times New Roman" w:hAnsi="Times New Roman"/>
          <w:i/>
          <w:color w:val="111827"/>
          <w:sz w:val="20"/>
        </w:rPr>
        <w:t>r = 0.6824</w:t>
      </w:r>
      <w:r>
        <w:rPr>
          <w:rFonts w:ascii="Times New Roman" w:hAnsi="Times New Roman"/>
          <w:color w:val="111827"/>
          <w:sz w:val="20"/>
        </w:rPr>
        <w:t xml:space="preserve">, </w:t>
      </w:r>
      <w:r>
        <w:rPr>
          <w:rFonts w:ascii="Times New Roman" w:hAnsi="Times New Roman"/>
          <w:i/>
          <w:color w:val="111827"/>
          <w:sz w:val="20"/>
        </w:rPr>
        <w:t>0.6768</w:t>
      </w:r>
      <w:r>
        <w:rPr>
          <w:rFonts w:ascii="Times New Roman" w:hAnsi="Times New Roman"/>
          <w:color w:val="111827"/>
          <w:sz w:val="20"/>
        </w:rPr>
        <w:t xml:space="preserve">, and </w:t>
      </w:r>
      <w:r>
        <w:rPr>
          <w:rFonts w:ascii="Times New Roman" w:hAnsi="Times New Roman"/>
          <w:i/>
          <w:color w:val="111827"/>
          <w:sz w:val="20"/>
        </w:rPr>
        <w:t>0.7246</w:t>
      </w:r>
      <w:r>
        <w:rPr>
          <w:rFonts w:ascii="Times New Roman" w:hAnsi="Times New Roman"/>
          <w:color w:val="111827"/>
          <w:sz w:val="20"/>
        </w:rPr>
        <w:t>). Excluding the two COVID-affected seasons (</w:t>
      </w:r>
      <w:r>
        <w:rPr>
          <w:rFonts w:ascii="Times New Roman" w:hAnsi="Times New Roman"/>
          <w:i/>
          <w:color w:val="111827"/>
          <w:sz w:val="20"/>
        </w:rPr>
        <w:t>N=8</w:t>
      </w:r>
      <w:r>
        <w:rPr>
          <w:rFonts w:ascii="Times New Roman" w:hAnsi="Times New Roman"/>
          <w:color w:val="111827"/>
          <w:sz w:val="20"/>
        </w:rPr>
        <w:t>) moderately elevated all correlations: turnover (</w:t>
      </w:r>
      <w:r>
        <w:rPr>
          <w:rFonts w:ascii="Times New Roman" w:hAnsi="Times New Roman"/>
          <w:i/>
          <w:color w:val="111827"/>
          <w:sz w:val="20"/>
        </w:rPr>
        <w:t>r = +0.4064</w:t>
      </w:r>
      <w:r>
        <w:rPr>
          <w:rFonts w:ascii="Times New Roman" w:hAnsi="Times New Roman"/>
          <w:color w:val="111827"/>
          <w:sz w:val="20"/>
        </w:rPr>
        <w:t>), staff costs (</w:t>
      </w:r>
      <w:r>
        <w:rPr>
          <w:rFonts w:ascii="Times New Roman" w:hAnsi="Times New Roman"/>
          <w:i/>
          <w:color w:val="111827"/>
          <w:sz w:val="20"/>
        </w:rPr>
        <w:t>r = +0.4179</w:t>
      </w:r>
      <w:r>
        <w:rPr>
          <w:rFonts w:ascii="Times New Roman" w:hAnsi="Times New Roman"/>
          <w:color w:val="111827"/>
          <w:sz w:val="20"/>
        </w:rPr>
        <w:t>), and net debt (</w:t>
      </w:r>
      <w:r>
        <w:rPr>
          <w:rFonts w:ascii="Times New Roman" w:hAnsi="Times New Roman"/>
          <w:i/>
          <w:color w:val="111827"/>
          <w:sz w:val="20"/>
        </w:rPr>
        <w:t>r = +0.6791</w:t>
      </w:r>
      <w:r>
        <w:rPr>
          <w:rFonts w:ascii="Times New Roman" w:hAnsi="Times New Roman"/>
          <w:color w:val="111827"/>
          <w:sz w:val="20"/>
        </w:rPr>
        <w:t>). Parametric and non-parametric rank metrics demonstrated 100% directional agreement (</w:t>
      </w:r>
      <w:r>
        <w:rPr>
          <w:rFonts w:ascii="Consolas" w:hAnsi="Consolas"/>
          <w:b/>
          <w:color w:val="1E293B"/>
          <w:sz w:val="19"/>
        </w:rPr>
        <w:t>ALL_AGREE</w:t>
      </w:r>
      <w:r>
        <w:rPr>
          <w:rFonts w:ascii="Times New Roman" w:hAnsi="Times New Roman"/>
          <w:color w:val="111827"/>
          <w:sz w:val="20"/>
        </w:rPr>
        <w:t>).</w:t>
      </w:r>
    </w:p>
    <w:p>
      <w:pPr>
        <w:keepNext/>
        <w:spacing w:before="220" w:after="60"/>
      </w:pPr>
      <w:r>
        <w:rPr>
          <w:rFonts w:ascii="Times New Roman" w:hAnsi="Times New Roman"/>
          <w:b/>
          <w:color w:val="1E3A8A"/>
          <w:sz w:val="22"/>
        </w:rPr>
        <w:t>Author Interpretation</w:t>
      </w:r>
    </w:p>
    <w:p>
      <w:pPr>
        <w:spacing w:before="0" w:after="100" w:line="276" w:lineRule="auto"/>
        <w:jc w:val="both"/>
      </w:pPr>
      <w:r>
        <w:rPr>
          <w:rFonts w:ascii="Times New Roman" w:hAnsi="Times New Roman"/>
          <w:color w:val="111827"/>
          <w:sz w:val="20"/>
        </w:rPr>
        <w:t>The author interprets these contemporaneous associations as evidence that financial scale and balance sheet borrowing tolerance act as permissive enablers of transfer investment (Principles 2 and 4). Elevated turnover expands operating headroom, but the markedly stronger association between net debt and transfer outlay (</w:t>
      </w:r>
      <w:r>
        <w:rPr>
          <w:rFonts w:ascii="Times New Roman" w:hAnsi="Times New Roman"/>
          <w:i/>
          <w:color w:val="111827"/>
          <w:sz w:val="20"/>
        </w:rPr>
        <w:t>r = +0.5906</w:t>
      </w:r>
      <w:r>
        <w:rPr>
          <w:rFonts w:ascii="Times New Roman" w:hAnsi="Times New Roman"/>
          <w:color w:val="111827"/>
          <w:sz w:val="20"/>
        </w:rPr>
        <w:t xml:space="preserve">, strengthening to </w:t>
      </w:r>
      <w:r>
        <w:rPr>
          <w:rFonts w:ascii="Times New Roman" w:hAnsi="Times New Roman"/>
          <w:i/>
          <w:color w:val="111827"/>
          <w:sz w:val="20"/>
        </w:rPr>
        <w:t>+0.6791</w:t>
      </w:r>
      <w:r>
        <w:rPr>
          <w:rFonts w:ascii="Times New Roman" w:hAnsi="Times New Roman"/>
          <w:color w:val="111827"/>
          <w:sz w:val="20"/>
        </w:rPr>
        <w:t xml:space="preserve"> without COVID) is interpreted by the author as consistent with the reality that major squad acquisition campaigns were supported by external credit facilities and shareholder borrowing commitments rather than funded solely from contemporaneous operating cash flows (Principle 4).</w:t>
      </w:r>
    </w:p>
    <w:p>
      <w:pPr>
        <w:spacing w:before="0" w:after="100" w:line="276" w:lineRule="auto"/>
        <w:jc w:val="both"/>
      </w:pPr>
      <w:r>
        <w:rPr>
          <w:rFonts w:ascii="Times New Roman" w:hAnsi="Times New Roman"/>
          <w:color w:val="111827"/>
          <w:sz w:val="20"/>
        </w:rPr>
        <w:t>Crucially, the author emphasizes that financial capacity should be interpreted in terms of allocation quality rather than absolute spending volume (Principle 13). While financial flexibility allows the club to participate in the transfer market, the moderate size of the turnover-to-spend association (</w:t>
      </w:r>
      <w:r>
        <w:rPr>
          <w:rFonts w:ascii="Times New Roman" w:hAnsi="Times New Roman"/>
          <w:i/>
          <w:color w:val="111827"/>
          <w:sz w:val="20"/>
        </w:rPr>
        <w:t>r = +0.3659</w:t>
      </w:r>
      <w:r>
        <w:rPr>
          <w:rFonts w:ascii="Times New Roman" w:hAnsi="Times New Roman"/>
          <w:color w:val="111827"/>
          <w:sz w:val="20"/>
        </w:rPr>
        <w:t>) highlights that transfer investment decisions were not strictly tied to current-year revenue generation, reflecting multi-year squad planning horizons.</w:t>
      </w:r>
    </w:p>
    <w:p>
      <w:pPr>
        <w:keepNext/>
        <w:spacing w:before="220" w:after="60"/>
      </w:pPr>
      <w:r>
        <w:rPr>
          <w:rFonts w:ascii="Times New Roman" w:hAnsi="Times New Roman"/>
          <w:b/>
          <w:color w:val="1E3A8A"/>
          <w:sz w:val="22"/>
        </w:rPr>
        <w:t>Alternative Explanations</w:t>
      </w:r>
    </w:p>
    <w:p>
      <w:pPr>
        <w:spacing w:before="0" w:after="100" w:line="276" w:lineRule="auto"/>
        <w:jc w:val="both"/>
      </w:pPr>
      <w:r>
        <w:rPr>
          <w:rFonts w:ascii="Times New Roman" w:hAnsi="Times New Roman"/>
          <w:color w:val="111827"/>
          <w:sz w:val="20"/>
        </w:rPr>
        <w:t>An alternative perspective suggests that transfer expenditure cycles may have been dictated primarily by perceived tactical squad deficiencies and managerial transitions rather than balance sheet capacity, with transfer commitments occurring independently of contemporaneous revenue generation.</w:t>
      </w:r>
    </w:p>
    <w:p>
      <w:pPr>
        <w:keepNext/>
        <w:spacing w:before="220" w:after="60"/>
      </w:pPr>
      <w:r>
        <w:rPr>
          <w:rFonts w:ascii="Times New Roman" w:hAnsi="Times New Roman"/>
          <w:b/>
          <w:color w:val="1E3A8A"/>
          <w:sz w:val="22"/>
        </w:rPr>
        <w:t>Robustness &amp; Limitations</w:t>
      </w:r>
    </w:p>
    <w:p>
      <w:pPr>
        <w:spacing w:before="0" w:after="100" w:line="276" w:lineRule="auto"/>
        <w:jc w:val="both"/>
      </w:pPr>
      <w:r>
        <w:rPr>
          <w:rFonts w:ascii="Times New Roman" w:hAnsi="Times New Roman"/>
          <w:color w:val="111827"/>
          <w:sz w:val="20"/>
        </w:rPr>
        <w:t xml:space="preserve">Sample size is strictly bounded at </w:t>
      </w:r>
      <w:r>
        <w:rPr>
          <w:rFonts w:ascii="Times New Roman" w:hAnsi="Times New Roman"/>
          <w:i/>
          <w:color w:val="111827"/>
          <w:sz w:val="20"/>
        </w:rPr>
        <w:t>N=10</w:t>
      </w:r>
      <w:r>
        <w:rPr>
          <w:rFonts w:ascii="Times New Roman" w:hAnsi="Times New Roman"/>
          <w:color w:val="111827"/>
          <w:sz w:val="20"/>
        </w:rPr>
        <w:t xml:space="preserve"> annual observations. The presence of multi-installment transfer structures means that cash outlays for player acquisitions are spread across multiple financial periods, whereas </w:t>
      </w:r>
      <w:r>
        <w:rPr>
          <w:rFonts w:ascii="Consolas" w:hAnsi="Consolas"/>
          <w:b/>
          <w:color w:val="1E293B"/>
          <w:sz w:val="19"/>
        </w:rPr>
        <w:t>permanent_gross_transfer_spend</w:t>
      </w:r>
      <w:r>
        <w:rPr>
          <w:rFonts w:ascii="Times New Roman" w:hAnsi="Times New Roman"/>
          <w:color w:val="111827"/>
          <w:sz w:val="20"/>
        </w:rPr>
        <w:t xml:space="preserve"> records the full initial fixed commitment in the transaction season.</w:t>
      </w:r>
    </w:p>
    <w:p>
      <w:pPr>
        <w:keepNext/>
        <w:spacing w:before="220" w:after="60"/>
      </w:pPr>
      <w:r>
        <w:rPr>
          <w:rFonts w:ascii="Times New Roman" w:hAnsi="Times New Roman"/>
          <w:b/>
          <w:color w:val="1E3A8A"/>
          <w:sz w:val="22"/>
        </w:rPr>
        <w:t>Causal-Language Limitation</w:t>
      </w:r>
    </w:p>
    <w:p>
      <w:pPr>
        <w:spacing w:before="0" w:after="100" w:line="276" w:lineRule="auto"/>
        <w:jc w:val="both"/>
      </w:pPr>
      <w:r>
        <w:rPr>
          <w:rFonts w:ascii="Times New Roman" w:hAnsi="Times New Roman"/>
          <w:color w:val="111827"/>
          <w:sz w:val="20"/>
        </w:rPr>
        <w:t>Contemporaneous correlations evaluate co-occurrence in the same fiscal year. They do not demonstrate whether revenue growth caused transfer investment, whether transfer commitments forced debt issuance, or whether third factors (such as ownership governance changes in 2018) simultaneously influenced both.</w:t>
      </w:r>
    </w:p>
    <w:p>
      <w:pPr>
        <w:keepNext/>
        <w:spacing w:before="300" w:after="100"/>
      </w:pPr>
      <w:r>
        <w:rPr>
          <w:rFonts w:ascii="Times New Roman" w:hAnsi="Times New Roman"/>
          <w:b/>
          <w:color w:val="0F254B"/>
          <w:sz w:val="26"/>
        </w:rPr>
        <w:t>5.3 SQ3 — Transfer Investment and Subsequent Sporting Performance</w:t>
      </w:r>
    </w:p>
    <w:p>
      <w:pPr>
        <w:keepNext/>
        <w:spacing w:before="220" w:after="60"/>
      </w:pPr>
      <w:r>
        <w:rPr>
          <w:rFonts w:ascii="Times New Roman" w:hAnsi="Times New Roman"/>
          <w:b/>
          <w:color w:val="1E3A8A"/>
          <w:sz w:val="22"/>
        </w:rPr>
        <w:t>Empirical Observations</w:t>
      </w:r>
    </w:p>
    <w:p>
      <w:pPr>
        <w:spacing w:before="0" w:after="100" w:line="276" w:lineRule="auto"/>
        <w:jc w:val="both"/>
      </w:pPr>
      <w:r>
        <w:rPr>
          <w:rFonts w:ascii="Times New Roman" w:hAnsi="Times New Roman"/>
          <w:color w:val="111827"/>
          <w:sz w:val="20"/>
        </w:rPr>
        <w:t>Testing lagged associations across nine completed seasonal transitions (</w:t>
      </w:r>
      <w:r>
        <w:rPr>
          <w:rFonts w:ascii="Times New Roman" w:hAnsi="Times New Roman"/>
          <w:i/>
          <w:color w:val="111827"/>
          <w:sz w:val="20"/>
        </w:rPr>
        <w:t>N=9</w:t>
      </w:r>
      <w:r>
        <w:rPr>
          <w:rFonts w:ascii="Times New Roman" w:hAnsi="Times New Roman"/>
          <w:color w:val="111827"/>
          <w:sz w:val="20"/>
        </w:rPr>
        <w:t xml:space="preserve"> lagged pairs, </w:t>
      </w:r>
      <w:r>
        <w:rPr>
          <w:rFonts w:ascii="Times New Roman" w:hAnsi="Times New Roman"/>
          <w:i/>
          <w:color w:val="111827"/>
          <w:sz w:val="20"/>
        </w:rPr>
        <w:t>t → t+1</w:t>
      </w:r>
      <w:r>
        <w:rPr>
          <w:rFonts w:ascii="Times New Roman" w:hAnsi="Times New Roman"/>
          <w:color w:val="111827"/>
          <w:sz w:val="20"/>
        </w:rPr>
        <w:t xml:space="preserve">, with 3 pairs involving pandemic disruption), permanent gross transfer expenditure in year </w:t>
      </w:r>
      <w:r>
        <w:rPr>
          <w:rFonts w:ascii="Times New Roman" w:hAnsi="Times New Roman"/>
          <w:i/>
          <w:color w:val="111827"/>
          <w:sz w:val="20"/>
        </w:rPr>
        <w:t>t</w:t>
      </w:r>
      <w:r>
        <w:rPr>
          <w:rFonts w:ascii="Times New Roman" w:hAnsi="Times New Roman"/>
          <w:color w:val="111827"/>
          <w:sz w:val="20"/>
        </w:rPr>
        <w:t xml:space="preserve"> demonstrated positive associations with all pitch performance dimensions in year </w:t>
      </w:r>
      <w:r>
        <w:rPr>
          <w:rFonts w:ascii="Times New Roman" w:hAnsi="Times New Roman"/>
          <w:i/>
          <w:color w:val="111827"/>
          <w:sz w:val="20"/>
        </w:rPr>
        <w:t>t+1</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Gross Spend vs Subsequent PPG (`PRIMARY-SQ3-04`):</w:t>
      </w:r>
      <w:r>
        <w:rPr>
          <w:rFonts w:ascii="Times New Roman" w:hAnsi="Times New Roman"/>
          <w:color w:val="111827"/>
          <w:sz w:val="20"/>
        </w:rPr>
        <w:t xml:space="preserve"> Pearson </w:t>
      </w:r>
      <w:r>
        <w:rPr>
          <w:rFonts w:ascii="Times New Roman" w:hAnsi="Times New Roman"/>
          <w:i/>
          <w:color w:val="111827"/>
          <w:sz w:val="20"/>
        </w:rPr>
        <w:t>r = +0.3911</w:t>
      </w:r>
      <w:r>
        <w:rPr>
          <w:rFonts w:ascii="Times New Roman" w:hAnsi="Times New Roman"/>
          <w:color w:val="111827"/>
          <w:sz w:val="20"/>
        </w:rPr>
        <w:t xml:space="preserve"> (</w:t>
      </w:r>
      <w:r>
        <w:rPr>
          <w:rFonts w:ascii="Times New Roman" w:hAnsi="Times New Roman"/>
          <w:i/>
          <w:color w:val="111827"/>
          <w:sz w:val="20"/>
        </w:rPr>
        <w:t>p = 0.2980</w:t>
      </w:r>
      <w:r>
        <w:rPr>
          <w:rFonts w:ascii="Times New Roman" w:hAnsi="Times New Roman"/>
          <w:color w:val="111827"/>
          <w:sz w:val="20"/>
        </w:rPr>
        <w:t xml:space="preserve">); Spearman </w:t>
      </w:r>
      <w:r>
        <w:rPr>
          <w:rFonts w:ascii="Times New Roman" w:hAnsi="Times New Roman"/>
          <w:i/>
          <w:color w:val="111827"/>
          <w:sz w:val="20"/>
        </w:rPr>
        <w:t>ρ = +0.4500</w:t>
      </w:r>
      <w:r>
        <w:rPr>
          <w:rFonts w:ascii="Times New Roman" w:hAnsi="Times New Roman"/>
          <w:color w:val="111827"/>
          <w:sz w:val="20"/>
        </w:rPr>
        <w:t xml:space="preserve">; Kendall </w:t>
      </w:r>
      <w:r>
        <w:rPr>
          <w:rFonts w:ascii="Times New Roman" w:hAnsi="Times New Roman"/>
          <w:i/>
          <w:color w:val="111827"/>
          <w:sz w:val="20"/>
        </w:rPr>
        <w:t>τ = +0.3333</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Gross Spend vs Subsequent xGD (`PRIMARY-SQ3-05`):</w:t>
      </w:r>
      <w:r>
        <w:rPr>
          <w:rFonts w:ascii="Times New Roman" w:hAnsi="Times New Roman"/>
          <w:color w:val="111827"/>
          <w:sz w:val="20"/>
        </w:rPr>
        <w:t xml:space="preserve"> Pearson </w:t>
      </w:r>
      <w:r>
        <w:rPr>
          <w:rFonts w:ascii="Times New Roman" w:hAnsi="Times New Roman"/>
          <w:i/>
          <w:color w:val="111827"/>
          <w:sz w:val="20"/>
        </w:rPr>
        <w:t>r = +0.5982</w:t>
      </w:r>
      <w:r>
        <w:rPr>
          <w:rFonts w:ascii="Times New Roman" w:hAnsi="Times New Roman"/>
          <w:color w:val="111827"/>
          <w:sz w:val="20"/>
        </w:rPr>
        <w:t xml:space="preserve"> (</w:t>
      </w:r>
      <w:r>
        <w:rPr>
          <w:rFonts w:ascii="Times New Roman" w:hAnsi="Times New Roman"/>
          <w:i/>
          <w:color w:val="111827"/>
          <w:sz w:val="20"/>
        </w:rPr>
        <w:t>p = 0.0888</w:t>
      </w:r>
      <w:r>
        <w:rPr>
          <w:rFonts w:ascii="Times New Roman" w:hAnsi="Times New Roman"/>
          <w:color w:val="111827"/>
          <w:sz w:val="20"/>
        </w:rPr>
        <w:t xml:space="preserve">); Spearman </w:t>
      </w:r>
      <w:r>
        <w:rPr>
          <w:rFonts w:ascii="Times New Roman" w:hAnsi="Times New Roman"/>
          <w:i/>
          <w:color w:val="111827"/>
          <w:sz w:val="20"/>
        </w:rPr>
        <w:t>ρ = +0.6500</w:t>
      </w:r>
      <w:r>
        <w:rPr>
          <w:rFonts w:ascii="Times New Roman" w:hAnsi="Times New Roman"/>
          <w:color w:val="111827"/>
          <w:sz w:val="20"/>
        </w:rPr>
        <w:t xml:space="preserve">; Kendall </w:t>
      </w:r>
      <w:r>
        <w:rPr>
          <w:rFonts w:ascii="Times New Roman" w:hAnsi="Times New Roman"/>
          <w:i/>
          <w:color w:val="111827"/>
          <w:sz w:val="20"/>
        </w:rPr>
        <w:t>τ = +0.5000</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Gross Spend vs Subsequent xPTS (`PRIMARY-SQ3-06`):</w:t>
      </w:r>
      <w:r>
        <w:rPr>
          <w:rFonts w:ascii="Times New Roman" w:hAnsi="Times New Roman"/>
          <w:color w:val="111827"/>
          <w:sz w:val="20"/>
        </w:rPr>
        <w:t xml:space="preserve"> Pearson </w:t>
      </w:r>
      <w:r>
        <w:rPr>
          <w:rFonts w:ascii="Times New Roman" w:hAnsi="Times New Roman"/>
          <w:i/>
          <w:color w:val="111827"/>
          <w:sz w:val="20"/>
        </w:rPr>
        <w:t>r = +0.6189</w:t>
      </w:r>
      <w:r>
        <w:rPr>
          <w:rFonts w:ascii="Times New Roman" w:hAnsi="Times New Roman"/>
          <w:color w:val="111827"/>
          <w:sz w:val="20"/>
        </w:rPr>
        <w:t xml:space="preserve"> (</w:t>
      </w:r>
      <w:r>
        <w:rPr>
          <w:rFonts w:ascii="Times New Roman" w:hAnsi="Times New Roman"/>
          <w:i/>
          <w:color w:val="111827"/>
          <w:sz w:val="20"/>
        </w:rPr>
        <w:t>p = 0.0756</w:t>
      </w:r>
      <w:r>
        <w:rPr>
          <w:rFonts w:ascii="Times New Roman" w:hAnsi="Times New Roman"/>
          <w:color w:val="111827"/>
          <w:sz w:val="20"/>
        </w:rPr>
        <w:t xml:space="preserve">); Spearman </w:t>
      </w:r>
      <w:r>
        <w:rPr>
          <w:rFonts w:ascii="Times New Roman" w:hAnsi="Times New Roman"/>
          <w:i/>
          <w:color w:val="111827"/>
          <w:sz w:val="20"/>
        </w:rPr>
        <w:t>ρ = +0.6667</w:t>
      </w:r>
      <w:r>
        <w:rPr>
          <w:rFonts w:ascii="Times New Roman" w:hAnsi="Times New Roman"/>
          <w:color w:val="111827"/>
          <w:sz w:val="20"/>
        </w:rPr>
        <w:t xml:space="preserve">; Kendall </w:t>
      </w:r>
      <w:r>
        <w:rPr>
          <w:rFonts w:ascii="Times New Roman" w:hAnsi="Times New Roman"/>
          <w:i/>
          <w:color w:val="111827"/>
          <w:sz w:val="20"/>
        </w:rPr>
        <w:t>τ = +0.5000</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Supplementary sensitivity models demonstrated consistent directional patterns: net transfer spend was positively associated with subsequent xGD (</w:t>
      </w:r>
      <w:r>
        <w:rPr>
          <w:rFonts w:ascii="Times New Roman" w:hAnsi="Times New Roman"/>
          <w:i/>
          <w:color w:val="111827"/>
          <w:sz w:val="20"/>
        </w:rPr>
        <w:t>r = +0.7013</w:t>
      </w:r>
      <w:r>
        <w:rPr>
          <w:rFonts w:ascii="Times New Roman" w:hAnsi="Times New Roman"/>
          <w:color w:val="111827"/>
          <w:sz w:val="20"/>
        </w:rPr>
        <w:t>) and xPTS (</w:t>
      </w:r>
      <w:r>
        <w:rPr>
          <w:rFonts w:ascii="Times New Roman" w:hAnsi="Times New Roman"/>
          <w:i/>
          <w:color w:val="111827"/>
          <w:sz w:val="20"/>
        </w:rPr>
        <w:t>r = +0.6968</w:t>
      </w:r>
      <w:r>
        <w:rPr>
          <w:rFonts w:ascii="Times New Roman" w:hAnsi="Times New Roman"/>
          <w:color w:val="111827"/>
          <w:sz w:val="20"/>
        </w:rPr>
        <w:t>), while gross spend exhibited a negative correlation with subsequent league rank (</w:t>
      </w:r>
      <w:r>
        <w:rPr>
          <w:rFonts w:ascii="Times New Roman" w:hAnsi="Times New Roman"/>
          <w:i/>
          <w:color w:val="111827"/>
          <w:sz w:val="20"/>
        </w:rPr>
        <w:t>r = -0.5495</w:t>
      </w:r>
      <w:r>
        <w:rPr>
          <w:rFonts w:ascii="Times New Roman" w:hAnsi="Times New Roman"/>
          <w:color w:val="111827"/>
          <w:sz w:val="20"/>
        </w:rPr>
        <w:t>, indicating that higher spending preceded superior/lower numerical finishes on an inverted rank scale).</w:t>
      </w:r>
    </w:p>
    <w:p>
      <w:pPr>
        <w:spacing w:before="0" w:after="100" w:line="276" w:lineRule="auto"/>
        <w:jc w:val="both"/>
      </w:pPr>
      <w:r>
        <w:rPr>
          <w:rFonts w:ascii="Times New Roman" w:hAnsi="Times New Roman"/>
          <w:color w:val="111827"/>
          <w:sz w:val="20"/>
        </w:rPr>
        <w:t>Robustness testing across Leave-One-Season-Out iterations (</w:t>
      </w:r>
      <w:r>
        <w:rPr>
          <w:rFonts w:ascii="Times New Roman" w:hAnsi="Times New Roman"/>
          <w:i/>
          <w:color w:val="111827"/>
          <w:sz w:val="20"/>
        </w:rPr>
        <w:t>N=8</w:t>
      </w:r>
      <w:r>
        <w:rPr>
          <w:rFonts w:ascii="Times New Roman" w:hAnsi="Times New Roman"/>
          <w:color w:val="111827"/>
          <w:sz w:val="20"/>
        </w:rPr>
        <w:t xml:space="preserve">) confirmed complete sign invariance for all three primary specifications: Pearson </w:t>
      </w:r>
      <w:r>
        <w:rPr>
          <w:rFonts w:ascii="Times New Roman" w:hAnsi="Times New Roman"/>
          <w:i/>
          <w:color w:val="111827"/>
          <w:sz w:val="20"/>
        </w:rPr>
        <w:t>r</w:t>
      </w:r>
      <w:r>
        <w:rPr>
          <w:rFonts w:ascii="Times New Roman" w:hAnsi="Times New Roman"/>
          <w:color w:val="111827"/>
          <w:sz w:val="20"/>
        </w:rPr>
        <w:t xml:space="preserve"> remained strictly positive across all LOO iterations (</w:t>
      </w:r>
      <w:r>
        <w:rPr>
          <w:rFonts w:ascii="Times New Roman" w:hAnsi="Times New Roman"/>
          <w:i/>
          <w:color w:val="111827"/>
          <w:sz w:val="20"/>
        </w:rPr>
        <w:t>0.2411</w:t>
      </w:r>
      <w:r>
        <w:rPr>
          <w:rFonts w:ascii="Times New Roman" w:hAnsi="Times New Roman"/>
          <w:color w:val="111827"/>
          <w:sz w:val="20"/>
        </w:rPr>
        <w:t xml:space="preserve"> to </w:t>
      </w:r>
      <w:r>
        <w:rPr>
          <w:rFonts w:ascii="Times New Roman" w:hAnsi="Times New Roman"/>
          <w:i/>
          <w:color w:val="111827"/>
          <w:sz w:val="20"/>
        </w:rPr>
        <w:t>0.6244</w:t>
      </w:r>
      <w:r>
        <w:rPr>
          <w:rFonts w:ascii="Times New Roman" w:hAnsi="Times New Roman"/>
          <w:color w:val="111827"/>
          <w:sz w:val="20"/>
        </w:rPr>
        <w:t xml:space="preserve"> for PPG; </w:t>
      </w:r>
      <w:r>
        <w:rPr>
          <w:rFonts w:ascii="Times New Roman" w:hAnsi="Times New Roman"/>
          <w:i/>
          <w:color w:val="111827"/>
          <w:sz w:val="20"/>
        </w:rPr>
        <w:t>0.5334</w:t>
      </w:r>
      <w:r>
        <w:rPr>
          <w:rFonts w:ascii="Times New Roman" w:hAnsi="Times New Roman"/>
          <w:color w:val="111827"/>
          <w:sz w:val="20"/>
        </w:rPr>
        <w:t xml:space="preserve"> to </w:t>
      </w:r>
      <w:r>
        <w:rPr>
          <w:rFonts w:ascii="Times New Roman" w:hAnsi="Times New Roman"/>
          <w:i/>
          <w:color w:val="111827"/>
          <w:sz w:val="20"/>
        </w:rPr>
        <w:t>0.7157</w:t>
      </w:r>
      <w:r>
        <w:rPr>
          <w:rFonts w:ascii="Times New Roman" w:hAnsi="Times New Roman"/>
          <w:color w:val="111827"/>
          <w:sz w:val="20"/>
        </w:rPr>
        <w:t xml:space="preserve"> for xGD; </w:t>
      </w:r>
      <w:r>
        <w:rPr>
          <w:rFonts w:ascii="Times New Roman" w:hAnsi="Times New Roman"/>
          <w:i/>
          <w:color w:val="111827"/>
          <w:sz w:val="20"/>
        </w:rPr>
        <w:t>0.5560</w:t>
      </w:r>
      <w:r>
        <w:rPr>
          <w:rFonts w:ascii="Times New Roman" w:hAnsi="Times New Roman"/>
          <w:color w:val="111827"/>
          <w:sz w:val="20"/>
        </w:rPr>
        <w:t xml:space="preserve"> to </w:t>
      </w:r>
      <w:r>
        <w:rPr>
          <w:rFonts w:ascii="Times New Roman" w:hAnsi="Times New Roman"/>
          <w:i/>
          <w:color w:val="111827"/>
          <w:sz w:val="20"/>
        </w:rPr>
        <w:t>0.7073</w:t>
      </w:r>
      <w:r>
        <w:rPr>
          <w:rFonts w:ascii="Times New Roman" w:hAnsi="Times New Roman"/>
          <w:color w:val="111827"/>
          <w:sz w:val="20"/>
        </w:rPr>
        <w:t xml:space="preserve"> for xPTS). Omitting the baseline transition pair </w:t>
      </w:r>
      <w:r>
        <w:rPr>
          <w:rFonts w:ascii="Consolas" w:hAnsi="Consolas"/>
          <w:b/>
          <w:color w:val="1E293B"/>
          <w:sz w:val="19"/>
        </w:rPr>
        <w:t>2015/16 -&gt; 2016/17</w:t>
      </w:r>
      <w:r>
        <w:rPr>
          <w:rFonts w:ascii="Times New Roman" w:hAnsi="Times New Roman"/>
          <w:color w:val="111827"/>
          <w:sz w:val="20"/>
        </w:rPr>
        <w:t xml:space="preserve"> (low transfer spend of £15.0m followed by 75 points) produced the maximum correlation across all three specifications. Excluding pandemic-affected seasons (</w:t>
      </w:r>
      <w:r>
        <w:rPr>
          <w:rFonts w:ascii="Times New Roman" w:hAnsi="Times New Roman"/>
          <w:i/>
          <w:color w:val="111827"/>
          <w:sz w:val="20"/>
        </w:rPr>
        <w:t>N=6</w:t>
      </w:r>
      <w:r>
        <w:rPr>
          <w:rFonts w:ascii="Times New Roman" w:hAnsi="Times New Roman"/>
          <w:color w:val="111827"/>
          <w:sz w:val="20"/>
        </w:rPr>
        <w:t>) preserved the relationships (</w:t>
      </w:r>
      <w:r>
        <w:rPr>
          <w:rFonts w:ascii="Times New Roman" w:hAnsi="Times New Roman"/>
          <w:i/>
          <w:color w:val="111827"/>
          <w:sz w:val="20"/>
        </w:rPr>
        <w:t>r = +0.3818</w:t>
      </w:r>
      <w:r>
        <w:rPr>
          <w:rFonts w:ascii="Times New Roman" w:hAnsi="Times New Roman"/>
          <w:color w:val="111827"/>
          <w:sz w:val="20"/>
        </w:rPr>
        <w:t xml:space="preserve"> for PPG, </w:t>
      </w:r>
      <w:r>
        <w:rPr>
          <w:rFonts w:ascii="Times New Roman" w:hAnsi="Times New Roman"/>
          <w:i/>
          <w:color w:val="111827"/>
          <w:sz w:val="20"/>
        </w:rPr>
        <w:t>+0.6392</w:t>
      </w:r>
      <w:r>
        <w:rPr>
          <w:rFonts w:ascii="Times New Roman" w:hAnsi="Times New Roman"/>
          <w:color w:val="111827"/>
          <w:sz w:val="20"/>
        </w:rPr>
        <w:t xml:space="preserve"> for xGD, </w:t>
      </w:r>
      <w:r>
        <w:rPr>
          <w:rFonts w:ascii="Times New Roman" w:hAnsi="Times New Roman"/>
          <w:i/>
          <w:color w:val="111827"/>
          <w:sz w:val="20"/>
        </w:rPr>
        <w:t>+0.7061</w:t>
      </w:r>
      <w:r>
        <w:rPr>
          <w:rFonts w:ascii="Times New Roman" w:hAnsi="Times New Roman"/>
          <w:color w:val="111827"/>
          <w:sz w:val="20"/>
        </w:rPr>
        <w:t xml:space="preserve"> for xPTS).</w:t>
      </w:r>
    </w:p>
    <w:p>
      <w:pPr>
        <w:keepNext/>
        <w:spacing w:before="220" w:after="60"/>
      </w:pPr>
      <w:r>
        <w:rPr>
          <w:rFonts w:ascii="Times New Roman" w:hAnsi="Times New Roman"/>
          <w:b/>
          <w:color w:val="1E3A8A"/>
          <w:sz w:val="22"/>
        </w:rPr>
        <w:t>Author Interpretation</w:t>
      </w:r>
    </w:p>
    <w:p>
      <w:pPr>
        <w:spacing w:before="0" w:after="100" w:line="276" w:lineRule="auto"/>
        <w:jc w:val="both"/>
      </w:pPr>
      <w:r>
        <w:rPr>
          <w:rFonts w:ascii="Times New Roman" w:hAnsi="Times New Roman"/>
          <w:color w:val="111827"/>
          <w:sz w:val="20"/>
        </w:rPr>
        <w:t xml:space="preserve">The author interprets these empirical findings as indicating that transfer investments may contribute meaningfully to subsequent sporting performance when allocated within a planned, cohesive strategy (Principle 7). However, high transfer expenditure does not automatically guarantee sporting success (Principle 8). The author underscores a central empirical nuance: transfer investment exhibits substantially stronger co-movement with underlying process metrics (xGD and xPTS, </w:t>
      </w:r>
      <w:r>
        <w:rPr>
          <w:rFonts w:ascii="Times New Roman" w:hAnsi="Times New Roman"/>
          <w:i/>
          <w:color w:val="111827"/>
          <w:sz w:val="20"/>
        </w:rPr>
        <w:t>r ≈ +0.60</w:t>
      </w:r>
      <w:r>
        <w:rPr>
          <w:rFonts w:ascii="Times New Roman" w:hAnsi="Times New Roman"/>
          <w:color w:val="111827"/>
          <w:sz w:val="20"/>
        </w:rPr>
        <w:t xml:space="preserve"> to </w:t>
      </w:r>
      <w:r>
        <w:rPr>
          <w:rFonts w:ascii="Times New Roman" w:hAnsi="Times New Roman"/>
          <w:i/>
          <w:color w:val="111827"/>
          <w:sz w:val="20"/>
        </w:rPr>
        <w:t>+0.62</w:t>
      </w:r>
      <w:r>
        <w:rPr>
          <w:rFonts w:ascii="Times New Roman" w:hAnsi="Times New Roman"/>
          <w:color w:val="111827"/>
          <w:sz w:val="20"/>
        </w:rPr>
        <w:t>) than with realized points per game (</w:t>
      </w:r>
      <w:r>
        <w:rPr>
          <w:rFonts w:ascii="Times New Roman" w:hAnsi="Times New Roman"/>
          <w:i/>
          <w:color w:val="111827"/>
          <w:sz w:val="20"/>
        </w:rPr>
        <w:t>r = +0.3911</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This discrepancy leads the author to conclude that capital additions are more consistently reflected in underlying tactical chance creation and defensive suppression across a 38-game league campaign than in final match outcome variance, which is subject to short-term match-level volatility. Furthermore, the author asserts that recruitment quality, tactical fit, managerial stability, squad integration, and team cohesion represent vital conditioning factors that determine whether expenditure translates into points (Principle 9).</w:t>
      </w:r>
    </w:p>
    <w:p>
      <w:pPr>
        <w:keepNext/>
        <w:spacing w:before="220" w:after="60"/>
      </w:pPr>
      <w:r>
        <w:rPr>
          <w:rFonts w:ascii="Times New Roman" w:hAnsi="Times New Roman"/>
          <w:b/>
          <w:color w:val="1E3A8A"/>
          <w:sz w:val="22"/>
        </w:rPr>
        <w:t>Alternative Explanations</w:t>
      </w:r>
    </w:p>
    <w:p>
      <w:pPr>
        <w:spacing w:before="0" w:after="100" w:line="276" w:lineRule="auto"/>
        <w:jc w:val="both"/>
      </w:pPr>
      <w:r>
        <w:rPr>
          <w:rFonts w:ascii="Times New Roman" w:hAnsi="Times New Roman"/>
          <w:color w:val="111827"/>
          <w:sz w:val="20"/>
        </w:rPr>
        <w:t>Alternative explanations suggest that subsequent sporting improvements may have stemmed from managerial tactical coaching, squad continuity, player maturation, or favorable fixture scheduling rather than capital expenditures alone.</w:t>
      </w:r>
    </w:p>
    <w:p>
      <w:pPr>
        <w:keepNext/>
        <w:spacing w:before="220" w:after="60"/>
      </w:pPr>
      <w:r>
        <w:rPr>
          <w:rFonts w:ascii="Times New Roman" w:hAnsi="Times New Roman"/>
          <w:b/>
          <w:color w:val="1E3A8A"/>
          <w:sz w:val="22"/>
        </w:rPr>
        <w:t>Robustness &amp; Limitations</w:t>
      </w:r>
    </w:p>
    <w:p>
      <w:pPr>
        <w:spacing w:before="0" w:after="100" w:line="276" w:lineRule="auto"/>
        <w:jc w:val="both"/>
      </w:pPr>
      <w:r>
        <w:rPr>
          <w:rFonts w:ascii="Times New Roman" w:hAnsi="Times New Roman"/>
          <w:color w:val="111827"/>
          <w:sz w:val="20"/>
        </w:rPr>
        <w:t xml:space="preserve">The analysis relies on </w:t>
      </w:r>
      <w:r>
        <w:rPr>
          <w:rFonts w:ascii="Times New Roman" w:hAnsi="Times New Roman"/>
          <w:i/>
          <w:color w:val="111827"/>
          <w:sz w:val="20"/>
        </w:rPr>
        <w:t>N=9</w:t>
      </w:r>
      <w:r>
        <w:rPr>
          <w:rFonts w:ascii="Times New Roman" w:hAnsi="Times New Roman"/>
          <w:color w:val="111827"/>
          <w:sz w:val="20"/>
        </w:rPr>
        <w:t xml:space="preserve"> lagged observations (</w:t>
      </w:r>
      <w:r>
        <w:rPr>
          <w:rFonts w:ascii="Times New Roman" w:hAnsi="Times New Roman"/>
          <w:i/>
          <w:color w:val="111827"/>
          <w:sz w:val="20"/>
        </w:rPr>
        <w:t>N=6</w:t>
      </w:r>
      <w:r>
        <w:rPr>
          <w:rFonts w:ascii="Times New Roman" w:hAnsi="Times New Roman"/>
          <w:color w:val="111827"/>
          <w:sz w:val="20"/>
        </w:rPr>
        <w:t xml:space="preserve"> without COVID). Transfer fee measurement is subject to estimation uncertainty, with 77.8% of total ten-season consideration derived from secondary consensus reporting rather than statutory regulatory disclosure (only 9/128 transactions disclosed primary regulatory fees).</w:t>
      </w:r>
    </w:p>
    <w:p>
      <w:pPr>
        <w:keepNext/>
        <w:spacing w:before="220" w:after="60"/>
      </w:pPr>
      <w:r>
        <w:rPr>
          <w:rFonts w:ascii="Times New Roman" w:hAnsi="Times New Roman"/>
          <w:b/>
          <w:color w:val="1E3A8A"/>
          <w:sz w:val="22"/>
        </w:rPr>
        <w:t>Causal-Language Limitation</w:t>
      </w:r>
    </w:p>
    <w:p>
      <w:pPr>
        <w:spacing w:before="0" w:after="100" w:line="276" w:lineRule="auto"/>
        <w:jc w:val="both"/>
      </w:pPr>
      <w:r>
        <w:rPr>
          <w:rFonts w:ascii="Times New Roman" w:hAnsi="Times New Roman"/>
          <w:color w:val="111827"/>
          <w:sz w:val="20"/>
        </w:rPr>
        <w:t>Temporal precedence (</w:t>
      </w:r>
      <w:r>
        <w:rPr>
          <w:rFonts w:ascii="Times New Roman" w:hAnsi="Times New Roman"/>
          <w:i/>
          <w:color w:val="111827"/>
          <w:sz w:val="20"/>
        </w:rPr>
        <w:t>t → t+1</w:t>
      </w:r>
      <w:r>
        <w:rPr>
          <w:rFonts w:ascii="Times New Roman" w:hAnsi="Times New Roman"/>
          <w:color w:val="111827"/>
          <w:sz w:val="20"/>
        </w:rPr>
        <w:t>) does not establish causal identification. The bivariate association cannot control for simultaneous investments in coaching, analytical infrastructure, medical support, or competitor spending. Transfer outlays cannot be described as having "caused" or "produced" points or expected goals.</w:t>
      </w:r>
    </w:p>
    <w:p>
      <w:pPr>
        <w:keepNext/>
        <w:spacing w:before="300" w:after="100"/>
      </w:pPr>
      <w:r>
        <w:rPr>
          <w:rFonts w:ascii="Times New Roman" w:hAnsi="Times New Roman"/>
          <w:b/>
          <w:color w:val="0F254B"/>
          <w:sz w:val="26"/>
        </w:rPr>
        <w:t>5.4 SQ4 — Staff Costs / Employee Compensation and Subsequent Performance</w:t>
      </w:r>
    </w:p>
    <w:p>
      <w:pPr>
        <w:keepNext/>
        <w:spacing w:before="220" w:after="60"/>
      </w:pPr>
      <w:r>
        <w:rPr>
          <w:rFonts w:ascii="Times New Roman" w:hAnsi="Times New Roman"/>
          <w:b/>
          <w:color w:val="1E3A8A"/>
          <w:sz w:val="22"/>
        </w:rPr>
        <w:t>Empirical Observations</w:t>
      </w:r>
    </w:p>
    <w:p>
      <w:pPr>
        <w:spacing w:before="0" w:after="100" w:line="276" w:lineRule="auto"/>
        <w:jc w:val="both"/>
      </w:pPr>
      <w:r>
        <w:rPr>
          <w:rFonts w:ascii="Times New Roman" w:hAnsi="Times New Roman"/>
          <w:color w:val="111827"/>
          <w:sz w:val="20"/>
        </w:rPr>
        <w:t xml:space="preserve">Lagged bivariate evaluations between statutory staff costs in year </w:t>
      </w:r>
      <w:r>
        <w:rPr>
          <w:rFonts w:ascii="Times New Roman" w:hAnsi="Times New Roman"/>
          <w:i/>
          <w:color w:val="111827"/>
          <w:sz w:val="20"/>
        </w:rPr>
        <w:t>t</w:t>
      </w:r>
      <w:r>
        <w:rPr>
          <w:rFonts w:ascii="Times New Roman" w:hAnsi="Times New Roman"/>
          <w:color w:val="111827"/>
          <w:sz w:val="20"/>
        </w:rPr>
        <w:t xml:space="preserve"> and sporting performance in year </w:t>
      </w:r>
      <w:r>
        <w:rPr>
          <w:rFonts w:ascii="Times New Roman" w:hAnsi="Times New Roman"/>
          <w:i/>
          <w:color w:val="111827"/>
          <w:sz w:val="20"/>
        </w:rPr>
        <w:t>t+1</w:t>
      </w:r>
      <w:r>
        <w:rPr>
          <w:rFonts w:ascii="Times New Roman" w:hAnsi="Times New Roman"/>
          <w:color w:val="111827"/>
          <w:sz w:val="20"/>
        </w:rPr>
        <w:t xml:space="preserve"> (</w:t>
      </w:r>
      <w:r>
        <w:rPr>
          <w:rFonts w:ascii="Times New Roman" w:hAnsi="Times New Roman"/>
          <w:i/>
          <w:color w:val="111827"/>
          <w:sz w:val="20"/>
        </w:rPr>
        <w:t>N=9</w:t>
      </w:r>
      <w:r>
        <w:rPr>
          <w:rFonts w:ascii="Times New Roman" w:hAnsi="Times New Roman"/>
          <w:color w:val="111827"/>
          <w:sz w:val="20"/>
        </w:rPr>
        <w:t>) yielded markedly weaker and directionally divergent associations:</w:t>
      </w:r>
    </w:p>
    <w:p>
      <w:pPr>
        <w:pStyle w:val="ListBullet"/>
        <w:spacing w:before="30" w:after="30" w:line="276" w:lineRule="auto"/>
      </w:pPr>
      <w:r>
        <w:rPr>
          <w:rFonts w:ascii="Times New Roman" w:hAnsi="Times New Roman"/>
          <w:b/>
          <w:color w:val="111827"/>
          <w:sz w:val="20"/>
        </w:rPr>
        <w:t>Staff Costs vs Subsequent PPG (`PRIMARY-SQ4-07`):</w:t>
      </w:r>
      <w:r>
        <w:rPr>
          <w:rFonts w:ascii="Times New Roman" w:hAnsi="Times New Roman"/>
          <w:color w:val="111827"/>
          <w:sz w:val="20"/>
        </w:rPr>
        <w:t xml:space="preserve"> Pearson </w:t>
      </w:r>
      <w:r>
        <w:rPr>
          <w:rFonts w:ascii="Times New Roman" w:hAnsi="Times New Roman"/>
          <w:i/>
          <w:color w:val="111827"/>
          <w:sz w:val="20"/>
        </w:rPr>
        <w:t>r = +0.0516</w:t>
      </w:r>
      <w:r>
        <w:rPr>
          <w:rFonts w:ascii="Times New Roman" w:hAnsi="Times New Roman"/>
          <w:color w:val="111827"/>
          <w:sz w:val="20"/>
        </w:rPr>
        <w:t xml:space="preserve"> (</w:t>
      </w:r>
      <w:r>
        <w:rPr>
          <w:rFonts w:ascii="Times New Roman" w:hAnsi="Times New Roman"/>
          <w:i/>
          <w:color w:val="111827"/>
          <w:sz w:val="20"/>
        </w:rPr>
        <w:t>p = 0.8951</w:t>
      </w:r>
      <w:r>
        <w:rPr>
          <w:rFonts w:ascii="Times New Roman" w:hAnsi="Times New Roman"/>
          <w:color w:val="111827"/>
          <w:sz w:val="20"/>
        </w:rPr>
        <w:t xml:space="preserve">); Spearman </w:t>
      </w:r>
      <w:r>
        <w:rPr>
          <w:rFonts w:ascii="Times New Roman" w:hAnsi="Times New Roman"/>
          <w:i/>
          <w:color w:val="111827"/>
          <w:sz w:val="20"/>
        </w:rPr>
        <w:t>ρ = -0.0333</w:t>
      </w:r>
      <w:r>
        <w:rPr>
          <w:rFonts w:ascii="Times New Roman" w:hAnsi="Times New Roman"/>
          <w:color w:val="111827"/>
          <w:sz w:val="20"/>
        </w:rPr>
        <w:t xml:space="preserve"> (</w:t>
      </w:r>
      <w:r>
        <w:rPr>
          <w:rFonts w:ascii="Times New Roman" w:hAnsi="Times New Roman"/>
          <w:i/>
          <w:color w:val="111827"/>
          <w:sz w:val="20"/>
        </w:rPr>
        <w:t>p = 0.9322</w:t>
      </w:r>
      <w:r>
        <w:rPr>
          <w:rFonts w:ascii="Times New Roman" w:hAnsi="Times New Roman"/>
          <w:color w:val="111827"/>
          <w:sz w:val="20"/>
        </w:rPr>
        <w:t xml:space="preserve">); Kendall </w:t>
      </w:r>
      <w:r>
        <w:rPr>
          <w:rFonts w:ascii="Times New Roman" w:hAnsi="Times New Roman"/>
          <w:i/>
          <w:color w:val="111827"/>
          <w:sz w:val="20"/>
        </w:rPr>
        <w:t>τ = 0.0000</w:t>
      </w:r>
      <w:r>
        <w:rPr>
          <w:rFonts w:ascii="Times New Roman" w:hAnsi="Times New Roman"/>
          <w:color w:val="111827"/>
          <w:sz w:val="20"/>
        </w:rPr>
        <w:t xml:space="preserve"> (</w:t>
      </w:r>
      <w:r>
        <w:rPr>
          <w:rFonts w:ascii="Times New Roman" w:hAnsi="Times New Roman"/>
          <w:i/>
          <w:color w:val="111827"/>
          <w:sz w:val="20"/>
        </w:rPr>
        <w:t>p = 1.0000</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Staff Costs vs Subsequent xGD (`PRIMARY-SQ4-08`):</w:t>
      </w:r>
      <w:r>
        <w:rPr>
          <w:rFonts w:ascii="Times New Roman" w:hAnsi="Times New Roman"/>
          <w:color w:val="111827"/>
          <w:sz w:val="20"/>
        </w:rPr>
        <w:t xml:space="preserve"> Pearson </w:t>
      </w:r>
      <w:r>
        <w:rPr>
          <w:rFonts w:ascii="Times New Roman" w:hAnsi="Times New Roman"/>
          <w:i/>
          <w:color w:val="111827"/>
          <w:sz w:val="20"/>
        </w:rPr>
        <w:t>r = +0.2229</w:t>
      </w:r>
      <w:r>
        <w:rPr>
          <w:rFonts w:ascii="Times New Roman" w:hAnsi="Times New Roman"/>
          <w:color w:val="111827"/>
          <w:sz w:val="20"/>
        </w:rPr>
        <w:t xml:space="preserve"> (</w:t>
      </w:r>
      <w:r>
        <w:rPr>
          <w:rFonts w:ascii="Times New Roman" w:hAnsi="Times New Roman"/>
          <w:i/>
          <w:color w:val="111827"/>
          <w:sz w:val="20"/>
        </w:rPr>
        <w:t>p = 0.5643</w:t>
      </w:r>
      <w:r>
        <w:rPr>
          <w:rFonts w:ascii="Times New Roman" w:hAnsi="Times New Roman"/>
          <w:color w:val="111827"/>
          <w:sz w:val="20"/>
        </w:rPr>
        <w:t xml:space="preserve">); Spearman </w:t>
      </w:r>
      <w:r>
        <w:rPr>
          <w:rFonts w:ascii="Times New Roman" w:hAnsi="Times New Roman"/>
          <w:i/>
          <w:color w:val="111827"/>
          <w:sz w:val="20"/>
        </w:rPr>
        <w:t>ρ = +0.1833</w:t>
      </w:r>
      <w:r>
        <w:rPr>
          <w:rFonts w:ascii="Times New Roman" w:hAnsi="Times New Roman"/>
          <w:color w:val="111827"/>
          <w:sz w:val="20"/>
        </w:rPr>
        <w:t xml:space="preserve">; Kendall </w:t>
      </w:r>
      <w:r>
        <w:rPr>
          <w:rFonts w:ascii="Times New Roman" w:hAnsi="Times New Roman"/>
          <w:i/>
          <w:color w:val="111827"/>
          <w:sz w:val="20"/>
        </w:rPr>
        <w:t>τ = +0.1667</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Staff Costs vs Subsequent xPTS (`PRIMARY-SQ4-09`):</w:t>
      </w:r>
      <w:r>
        <w:rPr>
          <w:rFonts w:ascii="Times New Roman" w:hAnsi="Times New Roman"/>
          <w:color w:val="111827"/>
          <w:sz w:val="20"/>
        </w:rPr>
        <w:t xml:space="preserve"> Pearson </w:t>
      </w:r>
      <w:r>
        <w:rPr>
          <w:rFonts w:ascii="Times New Roman" w:hAnsi="Times New Roman"/>
          <w:i/>
          <w:color w:val="111827"/>
          <w:sz w:val="20"/>
        </w:rPr>
        <w:t>r = +0.2618</w:t>
      </w:r>
      <w:r>
        <w:rPr>
          <w:rFonts w:ascii="Times New Roman" w:hAnsi="Times New Roman"/>
          <w:color w:val="111827"/>
          <w:sz w:val="20"/>
        </w:rPr>
        <w:t xml:space="preserve"> (</w:t>
      </w:r>
      <w:r>
        <w:rPr>
          <w:rFonts w:ascii="Times New Roman" w:hAnsi="Times New Roman"/>
          <w:i/>
          <w:color w:val="111827"/>
          <w:sz w:val="20"/>
        </w:rPr>
        <w:t>p = 0.4962</w:t>
      </w:r>
      <w:r>
        <w:rPr>
          <w:rFonts w:ascii="Times New Roman" w:hAnsi="Times New Roman"/>
          <w:color w:val="111827"/>
          <w:sz w:val="20"/>
        </w:rPr>
        <w:t xml:space="preserve">); Spearman </w:t>
      </w:r>
      <w:r>
        <w:rPr>
          <w:rFonts w:ascii="Times New Roman" w:hAnsi="Times New Roman"/>
          <w:i/>
          <w:color w:val="111827"/>
          <w:sz w:val="20"/>
        </w:rPr>
        <w:t>ρ = +0.2667</w:t>
      </w:r>
      <w:r>
        <w:rPr>
          <w:rFonts w:ascii="Times New Roman" w:hAnsi="Times New Roman"/>
          <w:color w:val="111827"/>
          <w:sz w:val="20"/>
        </w:rPr>
        <w:t xml:space="preserve">; Kendall </w:t>
      </w:r>
      <w:r>
        <w:rPr>
          <w:rFonts w:ascii="Times New Roman" w:hAnsi="Times New Roman"/>
          <w:i/>
          <w:color w:val="111827"/>
          <w:sz w:val="20"/>
        </w:rPr>
        <w:t>τ = +0.1667</w:t>
      </w:r>
      <w:r>
        <w:rPr>
          <w:rFonts w:ascii="Times New Roman" w:hAnsi="Times New Roman"/>
          <w:color w:val="111827"/>
          <w:sz w:val="20"/>
        </w:rPr>
        <w:t>.</w:t>
      </w:r>
    </w:p>
    <w:p>
      <w:pPr>
        <w:spacing w:before="0" w:after="100" w:line="276" w:lineRule="auto"/>
        <w:jc w:val="both"/>
      </w:pPr>
      <w:r>
        <w:rPr>
          <w:rFonts w:ascii="Times New Roman" w:hAnsi="Times New Roman"/>
          <w:b/>
          <w:color w:val="111827"/>
          <w:sz w:val="20"/>
        </w:rPr>
        <w:t>Critical Robustness Invariant:</w:t>
      </w:r>
      <w:r>
        <w:rPr>
          <w:rFonts w:ascii="Times New Roman" w:hAnsi="Times New Roman"/>
          <w:color w:val="111827"/>
          <w:sz w:val="20"/>
        </w:rPr>
        <w:t xml:space="preserve"> Specification </w:t>
      </w:r>
      <w:r>
        <w:rPr>
          <w:rFonts w:ascii="Consolas" w:hAnsi="Consolas"/>
          <w:b/>
          <w:color w:val="1E293B"/>
          <w:sz w:val="19"/>
        </w:rPr>
        <w:t>PRIMARY-SQ4-07</w:t>
      </w:r>
      <w:r>
        <w:rPr>
          <w:rFonts w:ascii="Times New Roman" w:hAnsi="Times New Roman"/>
          <w:color w:val="111827"/>
          <w:sz w:val="20"/>
        </w:rPr>
        <w:t xml:space="preserve"> is the </w:t>
      </w:r>
      <w:r>
        <w:rPr>
          <w:rFonts w:ascii="Times New Roman" w:hAnsi="Times New Roman"/>
          <w:b/>
          <w:color w:val="111827"/>
          <w:sz w:val="20"/>
        </w:rPr>
        <w:t>ONLY</w:t>
      </w:r>
      <w:r>
        <w:rPr>
          <w:rFonts w:ascii="Times New Roman" w:hAnsi="Times New Roman"/>
          <w:color w:val="111827"/>
          <w:sz w:val="20"/>
        </w:rPr>
        <w:t xml:space="preserve"> specification among all 17 primary specifications in the study that exhibits a directional divergence across correlation methods (</w:t>
      </w:r>
      <w:r>
        <w:rPr>
          <w:rFonts w:ascii="Consolas" w:hAnsi="Consolas"/>
          <w:b/>
          <w:color w:val="1E293B"/>
          <w:sz w:val="19"/>
        </w:rPr>
        <w:t>SIGN_REVERSAL</w:t>
      </w:r>
      <w:r>
        <w:rPr>
          <w:rFonts w:ascii="Times New Roman" w:hAnsi="Times New Roman"/>
          <w:color w:val="111827"/>
          <w:sz w:val="20"/>
        </w:rPr>
        <w:t xml:space="preserve">, with parametric Pearson </w:t>
      </w:r>
      <w:r>
        <w:rPr>
          <w:rFonts w:ascii="Times New Roman" w:hAnsi="Times New Roman"/>
          <w:i/>
          <w:color w:val="111827"/>
          <w:sz w:val="20"/>
        </w:rPr>
        <w:t>+0.0516</w:t>
      </w:r>
      <w:r>
        <w:rPr>
          <w:rFonts w:ascii="Times New Roman" w:hAnsi="Times New Roman"/>
          <w:color w:val="111827"/>
          <w:sz w:val="20"/>
        </w:rPr>
        <w:t xml:space="preserve"> contrasting with non-parametric Spearman </w:t>
      </w:r>
      <w:r>
        <w:rPr>
          <w:rFonts w:ascii="Times New Roman" w:hAnsi="Times New Roman"/>
          <w:i/>
          <w:color w:val="111827"/>
          <w:sz w:val="20"/>
        </w:rPr>
        <w:t>-0.0333</w:t>
      </w:r>
      <w:r>
        <w:rPr>
          <w:rFonts w:ascii="Times New Roman" w:hAnsi="Times New Roman"/>
          <w:color w:val="111827"/>
          <w:sz w:val="20"/>
        </w:rPr>
        <w:t xml:space="preserve"> and Kendall </w:t>
      </w:r>
      <w:r>
        <w:rPr>
          <w:rFonts w:ascii="Times New Roman" w:hAnsi="Times New Roman"/>
          <w:i/>
          <w:color w:val="111827"/>
          <w:sz w:val="20"/>
        </w:rPr>
        <w:t>0.0000</w:t>
      </w:r>
      <w:r>
        <w:rPr>
          <w:rFonts w:ascii="Times New Roman" w:hAnsi="Times New Roman"/>
          <w:color w:val="111827"/>
          <w:sz w:val="20"/>
        </w:rPr>
        <w:t>). Furthermore, under Leave-One-Season-Out analysis (</w:t>
      </w:r>
      <w:r>
        <w:rPr>
          <w:rFonts w:ascii="Times New Roman" w:hAnsi="Times New Roman"/>
          <w:i/>
          <w:color w:val="111827"/>
          <w:sz w:val="20"/>
        </w:rPr>
        <w:t>N=8</w:t>
      </w:r>
      <w:r>
        <w:rPr>
          <w:rFonts w:ascii="Times New Roman" w:hAnsi="Times New Roman"/>
          <w:color w:val="111827"/>
          <w:sz w:val="20"/>
        </w:rPr>
        <w:t xml:space="preserve">), all three SQ4 specifications crossed zero and became negative when omitting the single observation pair </w:t>
      </w:r>
      <w:r>
        <w:rPr>
          <w:rFonts w:ascii="Consolas" w:hAnsi="Consolas"/>
          <w:b/>
          <w:color w:val="1E293B"/>
          <w:sz w:val="19"/>
        </w:rPr>
        <w:t>2023/24 -&gt; 2024/25</w:t>
      </w:r>
      <w:r>
        <w:rPr>
          <w:rFonts w:ascii="Times New Roman" w:hAnsi="Times New Roman"/>
          <w:color w:val="111827"/>
          <w:sz w:val="20"/>
        </w:rPr>
        <w:t xml:space="preserve"> (where peak staff costs of £327.90m was followed by 74 points / 1.95 PPG):</w:t>
      </w:r>
    </w:p>
    <w:p>
      <w:pPr>
        <w:pStyle w:val="ListBullet"/>
        <w:spacing w:before="30" w:after="30" w:line="276" w:lineRule="auto"/>
      </w:pPr>
      <w:r>
        <w:rPr>
          <w:rFonts w:ascii="Consolas" w:hAnsi="Consolas"/>
          <w:b/>
          <w:color w:val="1E293B"/>
          <w:sz w:val="19"/>
        </w:rPr>
        <w:t>PRIMARY-SQ4-07</w:t>
      </w:r>
      <w:r>
        <w:rPr>
          <w:rFonts w:ascii="Times New Roman" w:hAnsi="Times New Roman"/>
          <w:color w:val="111827"/>
          <w:sz w:val="20"/>
        </w:rPr>
        <w:t xml:space="preserve"> LOO Pearson range: </w:t>
      </w:r>
      <w:r>
        <w:rPr>
          <w:rFonts w:ascii="Times New Roman" w:hAnsi="Times New Roman"/>
          <w:i/>
          <w:color w:val="111827"/>
          <w:sz w:val="20"/>
        </w:rPr>
        <w:t>-0.0936</w:t>
      </w:r>
      <w:r>
        <w:rPr>
          <w:rFonts w:ascii="Times New Roman" w:hAnsi="Times New Roman"/>
          <w:color w:val="111827"/>
          <w:sz w:val="20"/>
        </w:rPr>
        <w:t xml:space="preserve"> to </w:t>
      </w:r>
      <w:r>
        <w:rPr>
          <w:rFonts w:ascii="Times New Roman" w:hAnsi="Times New Roman"/>
          <w:i/>
          <w:color w:val="111827"/>
          <w:sz w:val="20"/>
        </w:rPr>
        <w:t>+0.1648</w:t>
      </w:r>
      <w:r>
        <w:rPr>
          <w:rFonts w:ascii="Times New Roman" w:hAnsi="Times New Roman"/>
          <w:color w:val="111827"/>
          <w:sz w:val="20"/>
        </w:rPr>
        <w:t xml:space="preserve"> (Sign change: Yes).</w:t>
      </w:r>
    </w:p>
    <w:p>
      <w:pPr>
        <w:pStyle w:val="ListBullet"/>
        <w:spacing w:before="30" w:after="30" w:line="276" w:lineRule="auto"/>
      </w:pPr>
      <w:r>
        <w:rPr>
          <w:rFonts w:ascii="Consolas" w:hAnsi="Consolas"/>
          <w:b/>
          <w:color w:val="1E293B"/>
          <w:sz w:val="19"/>
        </w:rPr>
        <w:t>PRIMARY-SQ4-08</w:t>
      </w:r>
      <w:r>
        <w:rPr>
          <w:rFonts w:ascii="Times New Roman" w:hAnsi="Times New Roman"/>
          <w:color w:val="111827"/>
          <w:sz w:val="20"/>
        </w:rPr>
        <w:t xml:space="preserve"> LOO Pearson range: </w:t>
      </w:r>
      <w:r>
        <w:rPr>
          <w:rFonts w:ascii="Times New Roman" w:hAnsi="Times New Roman"/>
          <w:i/>
          <w:color w:val="111827"/>
          <w:sz w:val="20"/>
        </w:rPr>
        <w:t>-0.0909</w:t>
      </w:r>
      <w:r>
        <w:rPr>
          <w:rFonts w:ascii="Times New Roman" w:hAnsi="Times New Roman"/>
          <w:color w:val="111827"/>
          <w:sz w:val="20"/>
        </w:rPr>
        <w:t xml:space="preserve"> to </w:t>
      </w:r>
      <w:r>
        <w:rPr>
          <w:rFonts w:ascii="Times New Roman" w:hAnsi="Times New Roman"/>
          <w:i/>
          <w:color w:val="111827"/>
          <w:sz w:val="20"/>
        </w:rPr>
        <w:t>+0.3020</w:t>
      </w:r>
      <w:r>
        <w:rPr>
          <w:rFonts w:ascii="Times New Roman" w:hAnsi="Times New Roman"/>
          <w:color w:val="111827"/>
          <w:sz w:val="20"/>
        </w:rPr>
        <w:t xml:space="preserve"> (Sign change: Yes).</w:t>
      </w:r>
    </w:p>
    <w:p>
      <w:pPr>
        <w:pStyle w:val="ListBullet"/>
        <w:spacing w:before="30" w:after="30" w:line="276" w:lineRule="auto"/>
      </w:pPr>
      <w:r>
        <w:rPr>
          <w:rFonts w:ascii="Consolas" w:hAnsi="Consolas"/>
          <w:b/>
          <w:color w:val="1E293B"/>
          <w:sz w:val="19"/>
        </w:rPr>
        <w:t>PRIMARY-SQ4-09</w:t>
      </w:r>
      <w:r>
        <w:rPr>
          <w:rFonts w:ascii="Times New Roman" w:hAnsi="Times New Roman"/>
          <w:color w:val="111827"/>
          <w:sz w:val="20"/>
        </w:rPr>
        <w:t xml:space="preserve"> LOO Pearson range: </w:t>
      </w:r>
      <w:r>
        <w:rPr>
          <w:rFonts w:ascii="Times New Roman" w:hAnsi="Times New Roman"/>
          <w:i/>
          <w:color w:val="111827"/>
          <w:sz w:val="20"/>
        </w:rPr>
        <w:t>-0.0298</w:t>
      </w:r>
      <w:r>
        <w:rPr>
          <w:rFonts w:ascii="Times New Roman" w:hAnsi="Times New Roman"/>
          <w:color w:val="111827"/>
          <w:sz w:val="20"/>
        </w:rPr>
        <w:t xml:space="preserve"> to </w:t>
      </w:r>
      <w:r>
        <w:rPr>
          <w:rFonts w:ascii="Times New Roman" w:hAnsi="Times New Roman"/>
          <w:i/>
          <w:color w:val="111827"/>
          <w:sz w:val="20"/>
        </w:rPr>
        <w:t>+0.3420</w:t>
      </w:r>
      <w:r>
        <w:rPr>
          <w:rFonts w:ascii="Times New Roman" w:hAnsi="Times New Roman"/>
          <w:color w:val="111827"/>
          <w:sz w:val="20"/>
        </w:rPr>
        <w:t xml:space="preserve"> (Sign change: Yes).</w:t>
      </w:r>
    </w:p>
    <w:p>
      <w:pPr>
        <w:spacing w:before="0" w:after="100" w:line="276" w:lineRule="auto"/>
        <w:jc w:val="both"/>
      </w:pPr>
      <w:r>
        <w:rPr>
          <w:rFonts w:ascii="Times New Roman" w:hAnsi="Times New Roman"/>
          <w:color w:val="111827"/>
          <w:sz w:val="20"/>
        </w:rPr>
        <w:t>Under COVID exclusion (</w:t>
      </w:r>
      <w:r>
        <w:rPr>
          <w:rFonts w:ascii="Times New Roman" w:hAnsi="Times New Roman"/>
          <w:i/>
          <w:color w:val="111827"/>
          <w:sz w:val="20"/>
        </w:rPr>
        <w:t>N=6</w:t>
      </w:r>
      <w:r>
        <w:rPr>
          <w:rFonts w:ascii="Times New Roman" w:hAnsi="Times New Roman"/>
          <w:color w:val="111827"/>
          <w:sz w:val="20"/>
        </w:rPr>
        <w:t>), coefficients were slightly higher (</w:t>
      </w:r>
      <w:r>
        <w:rPr>
          <w:rFonts w:ascii="Times New Roman" w:hAnsi="Times New Roman"/>
          <w:i/>
          <w:color w:val="111827"/>
          <w:sz w:val="20"/>
        </w:rPr>
        <w:t>r = +0.0924</w:t>
      </w:r>
      <w:r>
        <w:rPr>
          <w:rFonts w:ascii="Times New Roman" w:hAnsi="Times New Roman"/>
          <w:color w:val="111827"/>
          <w:sz w:val="20"/>
        </w:rPr>
        <w:t xml:space="preserve"> for PPG, </w:t>
      </w:r>
      <w:r>
        <w:rPr>
          <w:rFonts w:ascii="Times New Roman" w:hAnsi="Times New Roman"/>
          <w:i/>
          <w:color w:val="111827"/>
          <w:sz w:val="20"/>
        </w:rPr>
        <w:t>+0.3348</w:t>
      </w:r>
      <w:r>
        <w:rPr>
          <w:rFonts w:ascii="Times New Roman" w:hAnsi="Times New Roman"/>
          <w:color w:val="111827"/>
          <w:sz w:val="20"/>
        </w:rPr>
        <w:t xml:space="preserve"> for xGD, </w:t>
      </w:r>
      <w:r>
        <w:rPr>
          <w:rFonts w:ascii="Times New Roman" w:hAnsi="Times New Roman"/>
          <w:i/>
          <w:color w:val="111827"/>
          <w:sz w:val="20"/>
        </w:rPr>
        <w:t>+0.3810</w:t>
      </w:r>
      <w:r>
        <w:rPr>
          <w:rFonts w:ascii="Times New Roman" w:hAnsi="Times New Roman"/>
          <w:color w:val="111827"/>
          <w:sz w:val="20"/>
        </w:rPr>
        <w:t xml:space="preserve"> for xPTS).</w:t>
      </w:r>
    </w:p>
    <w:p>
      <w:pPr>
        <w:keepNext/>
        <w:spacing w:before="220" w:after="60"/>
      </w:pPr>
      <w:r>
        <w:rPr>
          <w:rFonts w:ascii="Times New Roman" w:hAnsi="Times New Roman"/>
          <w:b/>
          <w:color w:val="1E3A8A"/>
          <w:sz w:val="22"/>
        </w:rPr>
        <w:t>Author Interpretation</w:t>
      </w:r>
    </w:p>
    <w:p>
      <w:pPr>
        <w:spacing w:before="0" w:after="100" w:line="276" w:lineRule="auto"/>
        <w:jc w:val="both"/>
      </w:pPr>
      <w:r>
        <w:rPr>
          <w:rFonts w:ascii="Times New Roman" w:hAnsi="Times New Roman"/>
          <w:color w:val="111827"/>
          <w:sz w:val="20"/>
        </w:rPr>
        <w:t>The author highlights these empirical findings as a critical departure from conventional sports economics literature (e.g. Szymanski, 2015), which established wage dominance in predicting league performance across multi-club cross-sectional panels. In this single-club longitudinal study, staff costs do not automatically translate into stronger sporting performance (Principle 10).</w:t>
      </w:r>
    </w:p>
    <w:p>
      <w:pPr>
        <w:spacing w:before="0" w:after="100" w:line="276" w:lineRule="auto"/>
        <w:jc w:val="both"/>
      </w:pPr>
      <w:r>
        <w:rPr>
          <w:rFonts w:ascii="Times New Roman" w:hAnsi="Times New Roman"/>
          <w:color w:val="111827"/>
          <w:sz w:val="20"/>
        </w:rPr>
        <w:t>The author provides two crucial structural explanations for this divergence:</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Measurement Composition (Principle 11):</w:t>
      </w:r>
      <w:r>
        <w:rPr>
          <w:rFonts w:ascii="Times New Roman" w:hAnsi="Times New Roman"/>
          <w:color w:val="111827"/>
          <w:sz w:val="20"/>
        </w:rPr>
        <w:t xml:space="preserve"> Statutory </w:t>
      </w:r>
      <w:r>
        <w:rPr>
          <w:rFonts w:ascii="Consolas" w:hAnsi="Consolas"/>
          <w:b/>
          <w:color w:val="1E293B"/>
          <w:sz w:val="19"/>
        </w:rPr>
        <w:t>staff_costs</w:t>
      </w:r>
      <w:r>
        <w:rPr>
          <w:rFonts w:ascii="Times New Roman" w:hAnsi="Times New Roman"/>
          <w:color w:val="111827"/>
          <w:sz w:val="20"/>
        </w:rPr>
        <w:t xml:space="preserve"> in Arsenal Holdings Limited accounts represents aggregate group employee compensation across all club personnel—including first-team playing squad, coaching staff, academy personnel, medical teams, administrative staff, commercial departments, and statutory social security/pension charges. It is </w:t>
      </w:r>
      <w:r>
        <w:rPr>
          <w:rFonts w:ascii="Times New Roman" w:hAnsi="Times New Roman"/>
          <w:b/>
          <w:color w:val="111827"/>
          <w:sz w:val="20"/>
        </w:rPr>
        <w:t>not</w:t>
      </w:r>
      <w:r>
        <w:rPr>
          <w:rFonts w:ascii="Times New Roman" w:hAnsi="Times New Roman"/>
          <w:color w:val="111827"/>
          <w:sz w:val="20"/>
        </w:rPr>
        <w:t xml:space="preserve"> a player-only wage variable. Growth in organizational overhead and administrative headcount can expand statutory staff costs without altering on-pitch playing talent.</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Contractual Inertia &amp; Squad Restructuring:</w:t>
      </w:r>
      <w:r>
        <w:rPr>
          <w:rFonts w:ascii="Times New Roman" w:hAnsi="Times New Roman"/>
          <w:color w:val="111827"/>
          <w:sz w:val="20"/>
        </w:rPr>
        <w:t xml:space="preserve"> Football player contracts are multi-year commitments. In a longitudinal single-club setting, high payroll expenditures frequently persist as legacy burdens during periods of tactical decline or managerial transition, uncoupling wage expenditure from pitch performance. The author notes that peak payrolls during the 2018/19–2020/21 seasons coincided with consecutive 8th-place league finishes, demonstrating that wage volume alone did not secure competitive advantage.</w:t>
      </w:r>
    </w:p>
    <w:p>
      <w:pPr>
        <w:keepNext/>
        <w:spacing w:before="220" w:after="60"/>
      </w:pPr>
      <w:r>
        <w:rPr>
          <w:rFonts w:ascii="Times New Roman" w:hAnsi="Times New Roman"/>
          <w:b/>
          <w:color w:val="1E3A8A"/>
          <w:sz w:val="22"/>
        </w:rPr>
        <w:t>Alternative Explanations</w:t>
      </w:r>
    </w:p>
    <w:p>
      <w:pPr>
        <w:spacing w:before="0" w:after="100" w:line="276" w:lineRule="auto"/>
        <w:jc w:val="both"/>
      </w:pPr>
      <w:r>
        <w:rPr>
          <w:rFonts w:ascii="Times New Roman" w:hAnsi="Times New Roman"/>
          <w:color w:val="111827"/>
          <w:sz w:val="20"/>
        </w:rPr>
        <w:t>An alternative explanation is econometric: cross-sectional studies capture vast wage differentials between elite and relegation-threatened clubs, whereas a longitudinal study of a single elite club examines a restricted range of talent expenditure, diminishing the observable wage-performance elasticity. Additionally, non-playing wage inflation, organizational restructuring, or contractual settlement obligations may expand statutory employee compensation without directly enhancing first-team pitch talent.</w:t>
      </w:r>
    </w:p>
    <w:p>
      <w:pPr>
        <w:keepNext/>
        <w:spacing w:before="220" w:after="60"/>
      </w:pPr>
      <w:r>
        <w:rPr>
          <w:rFonts w:ascii="Times New Roman" w:hAnsi="Times New Roman"/>
          <w:b/>
          <w:color w:val="1E3A8A"/>
          <w:sz w:val="22"/>
        </w:rPr>
        <w:t>Robustness &amp; Limitations</w:t>
      </w:r>
    </w:p>
    <w:p>
      <w:pPr>
        <w:spacing w:before="0" w:after="100" w:line="276" w:lineRule="auto"/>
        <w:jc w:val="both"/>
      </w:pPr>
      <w:r>
        <w:rPr>
          <w:rFonts w:ascii="Times New Roman" w:hAnsi="Times New Roman"/>
          <w:color w:val="111827"/>
          <w:sz w:val="20"/>
        </w:rPr>
        <w:t xml:space="preserve">The extreme sensitivity of SQ4 to the omission of </w:t>
      </w:r>
      <w:r>
        <w:rPr>
          <w:rFonts w:ascii="Consolas" w:hAnsi="Consolas"/>
          <w:b/>
          <w:color w:val="1E293B"/>
          <w:sz w:val="19"/>
        </w:rPr>
        <w:t>2023/24 -&gt; 2024/25</w:t>
      </w:r>
      <w:r>
        <w:rPr>
          <w:rFonts w:ascii="Times New Roman" w:hAnsi="Times New Roman"/>
          <w:color w:val="111827"/>
          <w:sz w:val="20"/>
        </w:rPr>
        <w:t xml:space="preserve"> emphasizes that the weak positive baseline correlation is heavily dependent on the final season transition. The inability of statutory accounts to isolate player-specific remuneration remains an unavoidable measurement limitation.</w:t>
      </w:r>
    </w:p>
    <w:p>
      <w:pPr>
        <w:keepNext/>
        <w:spacing w:before="220" w:after="60"/>
      </w:pPr>
      <w:r>
        <w:rPr>
          <w:rFonts w:ascii="Times New Roman" w:hAnsi="Times New Roman"/>
          <w:b/>
          <w:color w:val="1E3A8A"/>
          <w:sz w:val="22"/>
        </w:rPr>
        <w:t>Causal-Language Limitation</w:t>
      </w:r>
    </w:p>
    <w:p>
      <w:pPr>
        <w:spacing w:before="0" w:after="100" w:line="276" w:lineRule="auto"/>
        <w:jc w:val="both"/>
      </w:pPr>
      <w:r>
        <w:rPr>
          <w:rFonts w:ascii="Times New Roman" w:hAnsi="Times New Roman"/>
          <w:color w:val="111827"/>
          <w:sz w:val="20"/>
        </w:rPr>
        <w:t>The near-zero baseline correlation (</w:t>
      </w:r>
      <w:r>
        <w:rPr>
          <w:rFonts w:ascii="Times New Roman" w:hAnsi="Times New Roman"/>
          <w:i/>
          <w:color w:val="111827"/>
          <w:sz w:val="20"/>
        </w:rPr>
        <w:t>r = +0.0516</w:t>
      </w:r>
      <w:r>
        <w:rPr>
          <w:rFonts w:ascii="Times New Roman" w:hAnsi="Times New Roman"/>
          <w:color w:val="111827"/>
          <w:sz w:val="20"/>
        </w:rPr>
        <w:t>) and LOO sign instability cannot be interpreted as causal evidence that player remuneration has no impact on match outcomes. It demonstrates only that aggregate statutory staff costs exhibited no stable linear association with subsequent league points in this single-club setting.</w:t>
      </w:r>
    </w:p>
    <w:p>
      <w:pPr>
        <w:keepNext/>
        <w:spacing w:before="300" w:after="100"/>
      </w:pPr>
      <w:r>
        <w:rPr>
          <w:rFonts w:ascii="Times New Roman" w:hAnsi="Times New Roman"/>
          <w:b/>
          <w:color w:val="0F254B"/>
          <w:sz w:val="26"/>
        </w:rPr>
        <w:t>5.5 SQ5 — Financial Resources and Subsequent Performance</w:t>
      </w:r>
    </w:p>
    <w:p>
      <w:pPr>
        <w:keepNext/>
        <w:spacing w:before="220" w:after="60"/>
      </w:pPr>
      <w:r>
        <w:rPr>
          <w:rFonts w:ascii="Times New Roman" w:hAnsi="Times New Roman"/>
          <w:b/>
          <w:color w:val="1E3A8A"/>
          <w:sz w:val="22"/>
        </w:rPr>
        <w:t>Empirical Observations</w:t>
      </w:r>
    </w:p>
    <w:p>
      <w:pPr>
        <w:spacing w:before="0" w:after="100" w:line="276" w:lineRule="auto"/>
        <w:jc w:val="both"/>
      </w:pPr>
      <w:r>
        <w:rPr>
          <w:rFonts w:ascii="Times New Roman" w:hAnsi="Times New Roman"/>
          <w:color w:val="111827"/>
          <w:sz w:val="20"/>
        </w:rPr>
        <w:t xml:space="preserve">Lagged bivariate associations between financial resources in year </w:t>
      </w:r>
      <w:r>
        <w:rPr>
          <w:rFonts w:ascii="Times New Roman" w:hAnsi="Times New Roman"/>
          <w:i/>
          <w:color w:val="111827"/>
          <w:sz w:val="20"/>
        </w:rPr>
        <w:t>t</w:t>
      </w:r>
      <w:r>
        <w:rPr>
          <w:rFonts w:ascii="Times New Roman" w:hAnsi="Times New Roman"/>
          <w:color w:val="111827"/>
          <w:sz w:val="20"/>
        </w:rPr>
        <w:t xml:space="preserve"> and sporting performance in year </w:t>
      </w:r>
      <w:r>
        <w:rPr>
          <w:rFonts w:ascii="Times New Roman" w:hAnsi="Times New Roman"/>
          <w:i/>
          <w:color w:val="111827"/>
          <w:sz w:val="20"/>
        </w:rPr>
        <w:t>t+1</w:t>
      </w:r>
      <w:r>
        <w:rPr>
          <w:rFonts w:ascii="Times New Roman" w:hAnsi="Times New Roman"/>
          <w:color w:val="111827"/>
          <w:sz w:val="20"/>
        </w:rPr>
        <w:t xml:space="preserve"> (</w:t>
      </w:r>
      <w:r>
        <w:rPr>
          <w:rFonts w:ascii="Times New Roman" w:hAnsi="Times New Roman"/>
          <w:i/>
          <w:color w:val="111827"/>
          <w:sz w:val="20"/>
        </w:rPr>
        <w:t>N=9</w:t>
      </w:r>
      <w:r>
        <w:rPr>
          <w:rFonts w:ascii="Times New Roman" w:hAnsi="Times New Roman"/>
          <w:color w:val="111827"/>
          <w:sz w:val="20"/>
        </w:rPr>
        <w:t>) revealed divergent patterns between operational turnover and balance sheet debt:</w:t>
      </w:r>
    </w:p>
    <w:p>
      <w:pPr>
        <w:pStyle w:val="ListBullet"/>
        <w:spacing w:before="30" w:after="30" w:line="276" w:lineRule="auto"/>
      </w:pPr>
      <w:r>
        <w:rPr>
          <w:rFonts w:ascii="Times New Roman" w:hAnsi="Times New Roman"/>
          <w:b/>
          <w:color w:val="111827"/>
          <w:sz w:val="20"/>
        </w:rPr>
        <w:t>Turnover vs Subsequent Performance:</w:t>
      </w:r>
    </w:p>
    <w:p>
      <w:pPr>
        <w:spacing w:before="0" w:after="100" w:line="276" w:lineRule="auto"/>
        <w:jc w:val="both"/>
      </w:pPr>
      <w:r>
        <w:rPr>
          <w:rFonts w:ascii="Times New Roman" w:hAnsi="Times New Roman"/>
          <w:color w:val="111827"/>
          <w:sz w:val="20"/>
        </w:rPr>
        <w:t xml:space="preserve">  - vs PPG (</w:t>
      </w:r>
      <w:r>
        <w:rPr>
          <w:rFonts w:ascii="Consolas" w:hAnsi="Consolas"/>
          <w:b/>
          <w:color w:val="1E293B"/>
          <w:sz w:val="19"/>
        </w:rPr>
        <w:t>PRIMARY-SQ5-10</w:t>
      </w:r>
      <w:r>
        <w:rPr>
          <w:rFonts w:ascii="Times New Roman" w:hAnsi="Times New Roman"/>
          <w:color w:val="111827"/>
          <w:sz w:val="20"/>
        </w:rPr>
        <w:t xml:space="preserve">): Pearson </w:t>
      </w:r>
      <w:r>
        <w:rPr>
          <w:rFonts w:ascii="Times New Roman" w:hAnsi="Times New Roman"/>
          <w:i/>
          <w:color w:val="111827"/>
          <w:sz w:val="20"/>
        </w:rPr>
        <w:t>r = +0.2412</w:t>
      </w:r>
      <w:r>
        <w:rPr>
          <w:rFonts w:ascii="Times New Roman" w:hAnsi="Times New Roman"/>
          <w:color w:val="111827"/>
          <w:sz w:val="20"/>
        </w:rPr>
        <w:t xml:space="preserve"> (</w:t>
      </w:r>
      <w:r>
        <w:rPr>
          <w:rFonts w:ascii="Times New Roman" w:hAnsi="Times New Roman"/>
          <w:i/>
          <w:color w:val="111827"/>
          <w:sz w:val="20"/>
        </w:rPr>
        <w:t>p = 0.5318</w:t>
      </w:r>
      <w:r>
        <w:rPr>
          <w:rFonts w:ascii="Times New Roman" w:hAnsi="Times New Roman"/>
          <w:color w:val="111827"/>
          <w:sz w:val="20"/>
        </w:rPr>
        <w:t xml:space="preserve">); Spearman </w:t>
      </w:r>
      <w:r>
        <w:rPr>
          <w:rFonts w:ascii="Times New Roman" w:hAnsi="Times New Roman"/>
          <w:i/>
          <w:color w:val="111827"/>
          <w:sz w:val="20"/>
        </w:rPr>
        <w:t>ρ = +0.2333</w:t>
      </w:r>
      <w:r>
        <w:rPr>
          <w:rFonts w:ascii="Times New Roman" w:hAnsi="Times New Roman"/>
          <w:color w:val="111827"/>
          <w:sz w:val="20"/>
        </w:rPr>
        <w:t xml:space="preserve">; Kendall </w:t>
      </w:r>
      <w:r>
        <w:rPr>
          <w:rFonts w:ascii="Times New Roman" w:hAnsi="Times New Roman"/>
          <w:i/>
          <w:color w:val="111827"/>
          <w:sz w:val="20"/>
        </w:rPr>
        <w:t>τ = +0.1667</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 xml:space="preserve">  - vs xGD (</w:t>
      </w:r>
      <w:r>
        <w:rPr>
          <w:rFonts w:ascii="Consolas" w:hAnsi="Consolas"/>
          <w:b/>
          <w:color w:val="1E293B"/>
          <w:sz w:val="19"/>
        </w:rPr>
        <w:t>PRIMARY-SQ5-11</w:t>
      </w:r>
      <w:r>
        <w:rPr>
          <w:rFonts w:ascii="Times New Roman" w:hAnsi="Times New Roman"/>
          <w:color w:val="111827"/>
          <w:sz w:val="20"/>
        </w:rPr>
        <w:t xml:space="preserve">): Pearson </w:t>
      </w:r>
      <w:r>
        <w:rPr>
          <w:rFonts w:ascii="Times New Roman" w:hAnsi="Times New Roman"/>
          <w:i/>
          <w:color w:val="111827"/>
          <w:sz w:val="20"/>
        </w:rPr>
        <w:t>r = +0.5046</w:t>
      </w:r>
      <w:r>
        <w:rPr>
          <w:rFonts w:ascii="Times New Roman" w:hAnsi="Times New Roman"/>
          <w:color w:val="111827"/>
          <w:sz w:val="20"/>
        </w:rPr>
        <w:t xml:space="preserve"> (</w:t>
      </w:r>
      <w:r>
        <w:rPr>
          <w:rFonts w:ascii="Times New Roman" w:hAnsi="Times New Roman"/>
          <w:i/>
          <w:color w:val="111827"/>
          <w:sz w:val="20"/>
        </w:rPr>
        <w:t>p = 0.1659</w:t>
      </w:r>
      <w:r>
        <w:rPr>
          <w:rFonts w:ascii="Times New Roman" w:hAnsi="Times New Roman"/>
          <w:color w:val="111827"/>
          <w:sz w:val="20"/>
        </w:rPr>
        <w:t xml:space="preserve">); Spearman </w:t>
      </w:r>
      <w:r>
        <w:rPr>
          <w:rFonts w:ascii="Times New Roman" w:hAnsi="Times New Roman"/>
          <w:i/>
          <w:color w:val="111827"/>
          <w:sz w:val="20"/>
        </w:rPr>
        <w:t>ρ = +0.5000</w:t>
      </w:r>
      <w:r>
        <w:rPr>
          <w:rFonts w:ascii="Times New Roman" w:hAnsi="Times New Roman"/>
          <w:color w:val="111827"/>
          <w:sz w:val="20"/>
        </w:rPr>
        <w:t xml:space="preserve">; Kendall </w:t>
      </w:r>
      <w:r>
        <w:rPr>
          <w:rFonts w:ascii="Times New Roman" w:hAnsi="Times New Roman"/>
          <w:i/>
          <w:color w:val="111827"/>
          <w:sz w:val="20"/>
        </w:rPr>
        <w:t>τ = +0.3333</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 xml:space="preserve">  - vs xPTS (</w:t>
      </w:r>
      <w:r>
        <w:rPr>
          <w:rFonts w:ascii="Consolas" w:hAnsi="Consolas"/>
          <w:b/>
          <w:color w:val="1E293B"/>
          <w:sz w:val="19"/>
        </w:rPr>
        <w:t>PRIMARY-SQ5-12</w:t>
      </w:r>
      <w:r>
        <w:rPr>
          <w:rFonts w:ascii="Times New Roman" w:hAnsi="Times New Roman"/>
          <w:color w:val="111827"/>
          <w:sz w:val="20"/>
        </w:rPr>
        <w:t xml:space="preserve">): Pearson </w:t>
      </w:r>
      <w:r>
        <w:rPr>
          <w:rFonts w:ascii="Times New Roman" w:hAnsi="Times New Roman"/>
          <w:i/>
          <w:color w:val="111827"/>
          <w:sz w:val="20"/>
        </w:rPr>
        <w:t>r = +0.4851</w:t>
      </w:r>
      <w:r>
        <w:rPr>
          <w:rFonts w:ascii="Times New Roman" w:hAnsi="Times New Roman"/>
          <w:color w:val="111827"/>
          <w:sz w:val="20"/>
        </w:rPr>
        <w:t xml:space="preserve"> (</w:t>
      </w:r>
      <w:r>
        <w:rPr>
          <w:rFonts w:ascii="Times New Roman" w:hAnsi="Times New Roman"/>
          <w:i/>
          <w:color w:val="111827"/>
          <w:sz w:val="20"/>
        </w:rPr>
        <w:t>p = 0.1856</w:t>
      </w:r>
      <w:r>
        <w:rPr>
          <w:rFonts w:ascii="Times New Roman" w:hAnsi="Times New Roman"/>
          <w:color w:val="111827"/>
          <w:sz w:val="20"/>
        </w:rPr>
        <w:t xml:space="preserve">); Spearman </w:t>
      </w:r>
      <w:r>
        <w:rPr>
          <w:rFonts w:ascii="Times New Roman" w:hAnsi="Times New Roman"/>
          <w:i/>
          <w:color w:val="111827"/>
          <w:sz w:val="20"/>
        </w:rPr>
        <w:t>ρ = +0.5167</w:t>
      </w:r>
      <w:r>
        <w:rPr>
          <w:rFonts w:ascii="Times New Roman" w:hAnsi="Times New Roman"/>
          <w:color w:val="111827"/>
          <w:sz w:val="20"/>
        </w:rPr>
        <w:t xml:space="preserve">; Kendall </w:t>
      </w:r>
      <w:r>
        <w:rPr>
          <w:rFonts w:ascii="Times New Roman" w:hAnsi="Times New Roman"/>
          <w:i/>
          <w:color w:val="111827"/>
          <w:sz w:val="20"/>
        </w:rPr>
        <w:t>τ = +0.3333</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Net Debt vs Subsequent Performance:</w:t>
      </w:r>
    </w:p>
    <w:p>
      <w:pPr>
        <w:spacing w:before="0" w:after="100" w:line="276" w:lineRule="auto"/>
        <w:jc w:val="both"/>
      </w:pPr>
      <w:r>
        <w:rPr>
          <w:rFonts w:ascii="Times New Roman" w:hAnsi="Times New Roman"/>
          <w:color w:val="111827"/>
          <w:sz w:val="20"/>
        </w:rPr>
        <w:t xml:space="preserve">  - vs PPG (</w:t>
      </w:r>
      <w:r>
        <w:rPr>
          <w:rFonts w:ascii="Consolas" w:hAnsi="Consolas"/>
          <w:b/>
          <w:color w:val="1E293B"/>
          <w:sz w:val="19"/>
        </w:rPr>
        <w:t>PRIMARY-SQ5-13</w:t>
      </w:r>
      <w:r>
        <w:rPr>
          <w:rFonts w:ascii="Times New Roman" w:hAnsi="Times New Roman"/>
          <w:color w:val="111827"/>
          <w:sz w:val="20"/>
        </w:rPr>
        <w:t xml:space="preserve">): Pearson </w:t>
      </w:r>
      <w:r>
        <w:rPr>
          <w:rFonts w:ascii="Times New Roman" w:hAnsi="Times New Roman"/>
          <w:i/>
          <w:color w:val="111827"/>
          <w:sz w:val="20"/>
        </w:rPr>
        <w:t>r = +0.5663</w:t>
      </w:r>
      <w:r>
        <w:rPr>
          <w:rFonts w:ascii="Times New Roman" w:hAnsi="Times New Roman"/>
          <w:color w:val="111827"/>
          <w:sz w:val="20"/>
        </w:rPr>
        <w:t xml:space="preserve"> (</w:t>
      </w:r>
      <w:r>
        <w:rPr>
          <w:rFonts w:ascii="Times New Roman" w:hAnsi="Times New Roman"/>
          <w:i/>
          <w:color w:val="111827"/>
          <w:sz w:val="20"/>
        </w:rPr>
        <w:t>p = 0.1119</w:t>
      </w:r>
      <w:r>
        <w:rPr>
          <w:rFonts w:ascii="Times New Roman" w:hAnsi="Times New Roman"/>
          <w:color w:val="111827"/>
          <w:sz w:val="20"/>
        </w:rPr>
        <w:t xml:space="preserve">); Spearman </w:t>
      </w:r>
      <w:r>
        <w:rPr>
          <w:rFonts w:ascii="Times New Roman" w:hAnsi="Times New Roman"/>
          <w:i/>
          <w:color w:val="111827"/>
          <w:sz w:val="20"/>
        </w:rPr>
        <w:t>ρ = +0.4333</w:t>
      </w:r>
      <w:r>
        <w:rPr>
          <w:rFonts w:ascii="Times New Roman" w:hAnsi="Times New Roman"/>
          <w:color w:val="111827"/>
          <w:sz w:val="20"/>
        </w:rPr>
        <w:t xml:space="preserve">; Kendall </w:t>
      </w:r>
      <w:r>
        <w:rPr>
          <w:rFonts w:ascii="Times New Roman" w:hAnsi="Times New Roman"/>
          <w:i/>
          <w:color w:val="111827"/>
          <w:sz w:val="20"/>
        </w:rPr>
        <w:t>τ = +0.2778</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 xml:space="preserve">  - vs xGD (</w:t>
      </w:r>
      <w:r>
        <w:rPr>
          <w:rFonts w:ascii="Consolas" w:hAnsi="Consolas"/>
          <w:b/>
          <w:color w:val="1E293B"/>
          <w:sz w:val="19"/>
        </w:rPr>
        <w:t>PRIMARY-SQ5-14</w:t>
      </w:r>
      <w:r>
        <w:rPr>
          <w:rFonts w:ascii="Times New Roman" w:hAnsi="Times New Roman"/>
          <w:color w:val="111827"/>
          <w:sz w:val="20"/>
        </w:rPr>
        <w:t xml:space="preserve">): Pearson </w:t>
      </w:r>
      <w:r>
        <w:rPr>
          <w:rFonts w:ascii="Times New Roman" w:hAnsi="Times New Roman"/>
          <w:i/>
          <w:color w:val="111827"/>
          <w:sz w:val="20"/>
        </w:rPr>
        <w:t>r = +0.6320</w:t>
      </w:r>
      <w:r>
        <w:rPr>
          <w:rFonts w:ascii="Times New Roman" w:hAnsi="Times New Roman"/>
          <w:color w:val="111827"/>
          <w:sz w:val="20"/>
        </w:rPr>
        <w:t xml:space="preserve"> (</w:t>
      </w:r>
      <w:r>
        <w:rPr>
          <w:rFonts w:ascii="Times New Roman" w:hAnsi="Times New Roman"/>
          <w:i/>
          <w:color w:val="111827"/>
          <w:sz w:val="20"/>
        </w:rPr>
        <w:t>p = 0.0678</w:t>
      </w:r>
      <w:r>
        <w:rPr>
          <w:rFonts w:ascii="Times New Roman" w:hAnsi="Times New Roman"/>
          <w:color w:val="111827"/>
          <w:sz w:val="20"/>
        </w:rPr>
        <w:t xml:space="preserve">); Spearman </w:t>
      </w:r>
      <w:r>
        <w:rPr>
          <w:rFonts w:ascii="Times New Roman" w:hAnsi="Times New Roman"/>
          <w:i/>
          <w:color w:val="111827"/>
          <w:sz w:val="20"/>
        </w:rPr>
        <w:t>ρ = +0.6333</w:t>
      </w:r>
      <w:r>
        <w:rPr>
          <w:rFonts w:ascii="Times New Roman" w:hAnsi="Times New Roman"/>
          <w:color w:val="111827"/>
          <w:sz w:val="20"/>
        </w:rPr>
        <w:t xml:space="preserve">; Kendall </w:t>
      </w:r>
      <w:r>
        <w:rPr>
          <w:rFonts w:ascii="Times New Roman" w:hAnsi="Times New Roman"/>
          <w:i/>
          <w:color w:val="111827"/>
          <w:sz w:val="20"/>
        </w:rPr>
        <w:t>τ = +0.4444</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 xml:space="preserve">  - vs xPTS (</w:t>
      </w:r>
      <w:r>
        <w:rPr>
          <w:rFonts w:ascii="Consolas" w:hAnsi="Consolas"/>
          <w:b/>
          <w:color w:val="1E293B"/>
          <w:sz w:val="19"/>
        </w:rPr>
        <w:t>PRIMARY-SQ5-15</w:t>
      </w:r>
      <w:r>
        <w:rPr>
          <w:rFonts w:ascii="Times New Roman" w:hAnsi="Times New Roman"/>
          <w:color w:val="111827"/>
          <w:sz w:val="20"/>
        </w:rPr>
        <w:t xml:space="preserve">): Pearson </w:t>
      </w:r>
      <w:r>
        <w:rPr>
          <w:rFonts w:ascii="Times New Roman" w:hAnsi="Times New Roman"/>
          <w:i/>
          <w:color w:val="111827"/>
          <w:sz w:val="20"/>
        </w:rPr>
        <w:t>r = +0.6937</w:t>
      </w:r>
      <w:r>
        <w:rPr>
          <w:rFonts w:ascii="Times New Roman" w:hAnsi="Times New Roman"/>
          <w:color w:val="111827"/>
          <w:sz w:val="20"/>
        </w:rPr>
        <w:t xml:space="preserve"> (</w:t>
      </w:r>
      <w:r>
        <w:rPr>
          <w:rFonts w:ascii="Times New Roman" w:hAnsi="Times New Roman"/>
          <w:i/>
          <w:color w:val="111827"/>
          <w:sz w:val="20"/>
        </w:rPr>
        <w:t>p = 0.0382</w:t>
      </w:r>
      <w:r>
        <w:rPr>
          <w:rFonts w:ascii="Times New Roman" w:hAnsi="Times New Roman"/>
          <w:color w:val="111827"/>
          <w:sz w:val="20"/>
        </w:rPr>
        <w:t xml:space="preserve">); Spearman </w:t>
      </w:r>
      <w:r>
        <w:rPr>
          <w:rFonts w:ascii="Times New Roman" w:hAnsi="Times New Roman"/>
          <w:i/>
          <w:color w:val="111827"/>
          <w:sz w:val="20"/>
        </w:rPr>
        <w:t>ρ = +0.6167</w:t>
      </w:r>
      <w:r>
        <w:rPr>
          <w:rFonts w:ascii="Times New Roman" w:hAnsi="Times New Roman"/>
          <w:color w:val="111827"/>
          <w:sz w:val="20"/>
        </w:rPr>
        <w:t xml:space="preserve">; Kendall </w:t>
      </w:r>
      <w:r>
        <w:rPr>
          <w:rFonts w:ascii="Times New Roman" w:hAnsi="Times New Roman"/>
          <w:i/>
          <w:color w:val="111827"/>
          <w:sz w:val="20"/>
        </w:rPr>
        <w:t>τ = +0.4444</w:t>
      </w:r>
      <w:r>
        <w:rPr>
          <w:rFonts w:ascii="Times New Roman" w:hAnsi="Times New Roman"/>
          <w:color w:val="111827"/>
          <w:sz w:val="20"/>
        </w:rPr>
        <w:t>.</w:t>
      </w:r>
    </w:p>
    <w:p>
      <w:pPr>
        <w:spacing w:before="0" w:after="100" w:line="276" w:lineRule="auto"/>
        <w:jc w:val="both"/>
      </w:pPr>
      <w:r>
        <w:rPr>
          <w:rFonts w:ascii="Times New Roman" w:hAnsi="Times New Roman"/>
          <w:color w:val="111827"/>
          <w:sz w:val="20"/>
        </w:rPr>
        <w:t>Under LOO analysis (</w:t>
      </w:r>
      <w:r>
        <w:rPr>
          <w:rFonts w:ascii="Times New Roman" w:hAnsi="Times New Roman"/>
          <w:i/>
          <w:color w:val="111827"/>
          <w:sz w:val="20"/>
        </w:rPr>
        <w:t>N=8</w:t>
      </w:r>
      <w:r>
        <w:rPr>
          <w:rFonts w:ascii="Times New Roman" w:hAnsi="Times New Roman"/>
          <w:color w:val="111827"/>
          <w:sz w:val="20"/>
        </w:rPr>
        <w:t>), all six specifications preserved positive signs across all iterations. However, under COVID exclusion (</w:t>
      </w:r>
      <w:r>
        <w:rPr>
          <w:rFonts w:ascii="Times New Roman" w:hAnsi="Times New Roman"/>
          <w:i/>
          <w:color w:val="111827"/>
          <w:sz w:val="20"/>
        </w:rPr>
        <w:t>N=6</w:t>
      </w:r>
      <w:r>
        <w:rPr>
          <w:rFonts w:ascii="Times New Roman" w:hAnsi="Times New Roman"/>
          <w:color w:val="111827"/>
          <w:sz w:val="20"/>
        </w:rPr>
        <w:t xml:space="preserve">), specification </w:t>
      </w:r>
      <w:r>
        <w:rPr>
          <w:rFonts w:ascii="Consolas" w:hAnsi="Consolas"/>
          <w:b/>
          <w:color w:val="1E293B"/>
          <w:sz w:val="19"/>
        </w:rPr>
        <w:t>PRIMARY-SQ5-10</w:t>
      </w:r>
      <w:r>
        <w:rPr>
          <w:rFonts w:ascii="Times New Roman" w:hAnsi="Times New Roman"/>
          <w:color w:val="111827"/>
          <w:sz w:val="20"/>
        </w:rPr>
        <w:t xml:space="preserve"> (</w:t>
      </w:r>
      <w:r>
        <w:rPr>
          <w:rFonts w:ascii="Consolas" w:hAnsi="Consolas"/>
          <w:b/>
          <w:color w:val="1E293B"/>
          <w:sz w:val="19"/>
        </w:rPr>
        <w:t>football_turnover_t</w:t>
      </w:r>
      <w:r>
        <w:rPr>
          <w:rFonts w:ascii="Times New Roman" w:hAnsi="Times New Roman"/>
          <w:color w:val="111827"/>
          <w:sz w:val="20"/>
        </w:rPr>
        <w:t xml:space="preserve"> vs </w:t>
      </w:r>
      <w:r>
        <w:rPr>
          <w:rFonts w:ascii="Consolas" w:hAnsi="Consolas"/>
          <w:b/>
          <w:color w:val="1E293B"/>
          <w:sz w:val="19"/>
        </w:rPr>
        <w:t>ppg_t+1</w:t>
      </w:r>
      <w:r>
        <w:rPr>
          <w:rFonts w:ascii="Times New Roman" w:hAnsi="Times New Roman"/>
          <w:color w:val="111827"/>
          <w:sz w:val="20"/>
        </w:rPr>
        <w:t xml:space="preserve">) experienced a substantial magnitude contraction, collapsing from baseline </w:t>
      </w:r>
      <w:r>
        <w:rPr>
          <w:rFonts w:ascii="Times New Roman" w:hAnsi="Times New Roman"/>
          <w:i/>
          <w:color w:val="111827"/>
          <w:sz w:val="20"/>
        </w:rPr>
        <w:t>r = +0.2412</w:t>
      </w:r>
      <w:r>
        <w:rPr>
          <w:rFonts w:ascii="Times New Roman" w:hAnsi="Times New Roman"/>
          <w:color w:val="111827"/>
          <w:sz w:val="20"/>
        </w:rPr>
        <w:t xml:space="preserve"> to </w:t>
      </w:r>
      <w:r>
        <w:rPr>
          <w:rFonts w:ascii="Times New Roman" w:hAnsi="Times New Roman"/>
          <w:i/>
          <w:color w:val="111827"/>
          <w:sz w:val="20"/>
        </w:rPr>
        <w:t>r = +0.0112</w:t>
      </w:r>
      <w:r>
        <w:rPr>
          <w:rFonts w:ascii="Times New Roman" w:hAnsi="Times New Roman"/>
          <w:color w:val="111827"/>
          <w:sz w:val="20"/>
        </w:rPr>
        <w:t xml:space="preserve"> (</w:t>
      </w:r>
      <w:r>
        <w:rPr>
          <w:rFonts w:ascii="Times New Roman" w:hAnsi="Times New Roman"/>
          <w:i/>
          <w:color w:val="111827"/>
          <w:sz w:val="20"/>
        </w:rPr>
        <w:t>Δ = -0.2300</w:t>
      </w:r>
      <w:r>
        <w:rPr>
          <w:rFonts w:ascii="Times New Roman" w:hAnsi="Times New Roman"/>
          <w:color w:val="111827"/>
          <w:sz w:val="20"/>
        </w:rPr>
        <w:t>). Conversely, net debt associations strengthened under COVID exclusion (</w:t>
      </w:r>
      <w:r>
        <w:rPr>
          <w:rFonts w:ascii="Times New Roman" w:hAnsi="Times New Roman"/>
          <w:i/>
          <w:color w:val="111827"/>
          <w:sz w:val="20"/>
        </w:rPr>
        <w:t>r = +0.6839</w:t>
      </w:r>
      <w:r>
        <w:rPr>
          <w:rFonts w:ascii="Times New Roman" w:hAnsi="Times New Roman"/>
          <w:color w:val="111827"/>
          <w:sz w:val="20"/>
        </w:rPr>
        <w:t xml:space="preserve"> for PPG, </w:t>
      </w:r>
      <w:r>
        <w:rPr>
          <w:rFonts w:ascii="Times New Roman" w:hAnsi="Times New Roman"/>
          <w:i/>
          <w:color w:val="111827"/>
          <w:sz w:val="20"/>
        </w:rPr>
        <w:t>+0.7734</w:t>
      </w:r>
      <w:r>
        <w:rPr>
          <w:rFonts w:ascii="Times New Roman" w:hAnsi="Times New Roman"/>
          <w:color w:val="111827"/>
          <w:sz w:val="20"/>
        </w:rPr>
        <w:t xml:space="preserve"> for xGD, </w:t>
      </w:r>
      <w:r>
        <w:rPr>
          <w:rFonts w:ascii="Times New Roman" w:hAnsi="Times New Roman"/>
          <w:i/>
          <w:color w:val="111827"/>
          <w:sz w:val="20"/>
        </w:rPr>
        <w:t>+0.8335</w:t>
      </w:r>
      <w:r>
        <w:rPr>
          <w:rFonts w:ascii="Times New Roman" w:hAnsi="Times New Roman"/>
          <w:color w:val="111827"/>
          <w:sz w:val="20"/>
        </w:rPr>
        <w:t xml:space="preserve"> for xPTS).</w:t>
      </w:r>
    </w:p>
    <w:p>
      <w:pPr>
        <w:keepNext/>
        <w:spacing w:before="220" w:after="60"/>
      </w:pPr>
      <w:r>
        <w:rPr>
          <w:rFonts w:ascii="Times New Roman" w:hAnsi="Times New Roman"/>
          <w:b/>
          <w:color w:val="1E3A8A"/>
          <w:sz w:val="22"/>
        </w:rPr>
        <w:t>Author Interpretation</w:t>
      </w:r>
    </w:p>
    <w:p>
      <w:pPr>
        <w:spacing w:before="0" w:after="100" w:line="276" w:lineRule="auto"/>
        <w:jc w:val="both"/>
      </w:pPr>
      <w:r>
        <w:rPr>
          <w:rFonts w:ascii="Times New Roman" w:hAnsi="Times New Roman"/>
          <w:color w:val="111827"/>
          <w:sz w:val="20"/>
        </w:rPr>
        <w:t>The author interprets these findings as demonstrating that overall financial scale does not automatically create superior sporting outcomes (Principle 6). The dramatic collapse of the turnover-to-PPG correlation upon excluding pandemic seasons (</w:t>
      </w:r>
      <w:r>
        <w:rPr>
          <w:rFonts w:ascii="Times New Roman" w:hAnsi="Times New Roman"/>
          <w:i/>
          <w:color w:val="111827"/>
          <w:sz w:val="20"/>
        </w:rPr>
        <w:t>r = +0.0112</w:t>
      </w:r>
      <w:r>
        <w:rPr>
          <w:rFonts w:ascii="Times New Roman" w:hAnsi="Times New Roman"/>
          <w:color w:val="111827"/>
          <w:sz w:val="20"/>
        </w:rPr>
        <w:t>) reveals that the baseline positive relationship was heavily artifactual, driven by the simultaneous depression of revenue and performance during the 2019/20–2020/21 crisis.</w:t>
      </w:r>
    </w:p>
    <w:p>
      <w:pPr>
        <w:spacing w:before="0" w:after="100" w:line="276" w:lineRule="auto"/>
        <w:jc w:val="both"/>
      </w:pPr>
      <w:r>
        <w:rPr>
          <w:rFonts w:ascii="Times New Roman" w:hAnsi="Times New Roman"/>
          <w:color w:val="111827"/>
          <w:sz w:val="20"/>
        </w:rPr>
        <w:t>Conversely, the persistently high correlation between net debt and subsequent performance (</w:t>
      </w:r>
      <w:r>
        <w:rPr>
          <w:rFonts w:ascii="Times New Roman" w:hAnsi="Times New Roman"/>
          <w:i/>
          <w:color w:val="111827"/>
          <w:sz w:val="20"/>
        </w:rPr>
        <w:t>r = +0.5663</w:t>
      </w:r>
      <w:r>
        <w:rPr>
          <w:rFonts w:ascii="Times New Roman" w:hAnsi="Times New Roman"/>
          <w:color w:val="111827"/>
          <w:sz w:val="20"/>
        </w:rPr>
        <w:t xml:space="preserve"> to </w:t>
      </w:r>
      <w:r>
        <w:rPr>
          <w:rFonts w:ascii="Times New Roman" w:hAnsi="Times New Roman"/>
          <w:i/>
          <w:color w:val="111827"/>
          <w:sz w:val="20"/>
        </w:rPr>
        <w:t>+0.6937</w:t>
      </w:r>
      <w:r>
        <w:rPr>
          <w:rFonts w:ascii="Times New Roman" w:hAnsi="Times New Roman"/>
          <w:color w:val="111827"/>
          <w:sz w:val="20"/>
        </w:rPr>
        <w:t xml:space="preserve">) is interpreted by the author as reflecting the timing of capital-intensive squad investment cycles (Principle 4). The club assumed elevated debt obligations to finance squad rebuilding prior to the sporting recovery of 2022–2024. Most importantly, the author highlights the </w:t>
      </w:r>
      <w:r>
        <w:rPr>
          <w:rFonts w:ascii="Times New Roman" w:hAnsi="Times New Roman"/>
          <w:b/>
          <w:color w:val="111827"/>
          <w:sz w:val="20"/>
        </w:rPr>
        <w:t>bidirectional dynamic</w:t>
      </w:r>
      <w:r>
        <w:rPr>
          <w:rFonts w:ascii="Times New Roman" w:hAnsi="Times New Roman"/>
          <w:color w:val="111827"/>
          <w:sz w:val="20"/>
        </w:rPr>
        <w:t xml:space="preserve"> inherent in football finance (Principle 5): sporting success generates subsequent commercial and broadcast turnover, creating a mutual feedback loop rather than a one-way financial pipeline.</w:t>
      </w:r>
    </w:p>
    <w:p>
      <w:pPr>
        <w:keepNext/>
        <w:spacing w:before="220" w:after="60"/>
      </w:pPr>
      <w:r>
        <w:rPr>
          <w:rFonts w:ascii="Times New Roman" w:hAnsi="Times New Roman"/>
          <w:b/>
          <w:color w:val="1E3A8A"/>
          <w:sz w:val="22"/>
        </w:rPr>
        <w:t>Alternative Explanations</w:t>
      </w:r>
    </w:p>
    <w:p>
      <w:pPr>
        <w:spacing w:before="0" w:after="100" w:line="276" w:lineRule="auto"/>
        <w:jc w:val="both"/>
      </w:pPr>
      <w:r>
        <w:rPr>
          <w:rFonts w:ascii="Times New Roman" w:hAnsi="Times New Roman"/>
          <w:color w:val="111827"/>
          <w:sz w:val="20"/>
        </w:rPr>
        <w:t>An alternative explanation is that the co-movement between net debt and sporting performance may be non-causal or bidirectional: debt expansion coincided chronologically with multi-year squad restructuring, while top-line turnover and performance gains subsequently followed from on-pitch sporting recovery rather than borrowing itself conferring competitive advantage.</w:t>
      </w:r>
    </w:p>
    <w:p>
      <w:pPr>
        <w:keepNext/>
        <w:spacing w:before="220" w:after="60"/>
      </w:pPr>
      <w:r>
        <w:rPr>
          <w:rFonts w:ascii="Times New Roman" w:hAnsi="Times New Roman"/>
          <w:b/>
          <w:color w:val="1E3A8A"/>
          <w:sz w:val="22"/>
        </w:rPr>
        <w:t>Robustness &amp; Limitations</w:t>
      </w:r>
    </w:p>
    <w:p>
      <w:pPr>
        <w:spacing w:before="0" w:after="100" w:line="276" w:lineRule="auto"/>
        <w:jc w:val="both"/>
      </w:pPr>
      <w:r>
        <w:rPr>
          <w:rFonts w:ascii="Times New Roman" w:hAnsi="Times New Roman"/>
          <w:color w:val="111827"/>
          <w:sz w:val="20"/>
        </w:rPr>
        <w:t>The small sample size (</w:t>
      </w:r>
      <w:r>
        <w:rPr>
          <w:rFonts w:ascii="Times New Roman" w:hAnsi="Times New Roman"/>
          <w:i/>
          <w:color w:val="111827"/>
          <w:sz w:val="20"/>
        </w:rPr>
        <w:t>N=9</w:t>
      </w:r>
      <w:r>
        <w:rPr>
          <w:rFonts w:ascii="Times New Roman" w:hAnsi="Times New Roman"/>
          <w:color w:val="111827"/>
          <w:sz w:val="20"/>
        </w:rPr>
        <w:t xml:space="preserve"> lagged, </w:t>
      </w:r>
      <w:r>
        <w:rPr>
          <w:rFonts w:ascii="Times New Roman" w:hAnsi="Times New Roman"/>
          <w:i/>
          <w:color w:val="111827"/>
          <w:sz w:val="20"/>
        </w:rPr>
        <w:t>N=6</w:t>
      </w:r>
      <w:r>
        <w:rPr>
          <w:rFonts w:ascii="Times New Roman" w:hAnsi="Times New Roman"/>
          <w:color w:val="111827"/>
          <w:sz w:val="20"/>
        </w:rPr>
        <w:t xml:space="preserve"> without COVID) and the unique financial restructuring of KSE’s shareholder buyout in 2018 limit the external validity of these findings.</w:t>
      </w:r>
    </w:p>
    <w:p>
      <w:pPr>
        <w:keepNext/>
        <w:spacing w:before="220" w:after="60"/>
      </w:pPr>
      <w:r>
        <w:rPr>
          <w:rFonts w:ascii="Times New Roman" w:hAnsi="Times New Roman"/>
          <w:b/>
          <w:color w:val="1E3A8A"/>
          <w:sz w:val="22"/>
        </w:rPr>
        <w:t>Causal-Language Limitation</w:t>
      </w:r>
    </w:p>
    <w:p>
      <w:pPr>
        <w:spacing w:before="0" w:after="100" w:line="276" w:lineRule="auto"/>
        <w:jc w:val="both"/>
      </w:pPr>
      <w:r>
        <w:rPr>
          <w:rFonts w:ascii="Times New Roman" w:hAnsi="Times New Roman"/>
          <w:color w:val="111827"/>
          <w:sz w:val="20"/>
        </w:rPr>
        <w:t>Net debt cannot be interpreted as having "caused" on-pitch performance. Borrowing is an accounting mechanism that reflects funding choices; debt accumulation does not generate points.</w:t>
      </w:r>
    </w:p>
    <w:p>
      <w:pPr>
        <w:keepNext/>
        <w:spacing w:before="300" w:after="100"/>
      </w:pPr>
      <w:r>
        <w:rPr>
          <w:rFonts w:ascii="Times New Roman" w:hAnsi="Times New Roman"/>
          <w:b/>
          <w:color w:val="0F254B"/>
          <w:sz w:val="26"/>
        </w:rPr>
        <w:t>5.6 SQ6 — Investment Quality / Squad &amp; Team Performance</w:t>
      </w:r>
    </w:p>
    <w:p>
      <w:pPr>
        <w:keepNext/>
        <w:spacing w:before="220" w:after="60"/>
      </w:pPr>
      <w:r>
        <w:rPr>
          <w:rFonts w:ascii="Times New Roman" w:hAnsi="Times New Roman"/>
          <w:b/>
          <w:color w:val="1E3A8A"/>
          <w:sz w:val="22"/>
        </w:rPr>
        <w:t>Empirical Observations</w:t>
      </w:r>
    </w:p>
    <w:p>
      <w:pPr>
        <w:spacing w:before="0" w:after="100" w:line="276" w:lineRule="auto"/>
        <w:jc w:val="both"/>
      </w:pPr>
      <w:r>
        <w:rPr>
          <w:rFonts w:ascii="Times New Roman" w:hAnsi="Times New Roman"/>
          <w:color w:val="111827"/>
          <w:sz w:val="20"/>
        </w:rPr>
        <w:t>Evaluating the scale of transfer expenditure against underlying team tactical metrics (</w:t>
      </w:r>
      <w:r>
        <w:rPr>
          <w:rFonts w:ascii="Times New Roman" w:hAnsi="Times New Roman"/>
          <w:i/>
          <w:color w:val="111827"/>
          <w:sz w:val="20"/>
        </w:rPr>
        <w:t>N=9</w:t>
      </w:r>
      <w:r>
        <w:rPr>
          <w:rFonts w:ascii="Times New Roman" w:hAnsi="Times New Roman"/>
          <w:color w:val="111827"/>
          <w:sz w:val="20"/>
        </w:rPr>
        <w:t xml:space="preserve">), permanent gross transfer spend in year </w:t>
      </w:r>
      <w:r>
        <w:rPr>
          <w:rFonts w:ascii="Times New Roman" w:hAnsi="Times New Roman"/>
          <w:i/>
          <w:color w:val="111827"/>
          <w:sz w:val="20"/>
        </w:rPr>
        <w:t>t</w:t>
      </w:r>
      <w:r>
        <w:rPr>
          <w:rFonts w:ascii="Times New Roman" w:hAnsi="Times New Roman"/>
          <w:color w:val="111827"/>
          <w:sz w:val="20"/>
        </w:rPr>
        <w:t xml:space="preserve"> demonstrated positive associations with subsequent expected goal differential and expected points:</w:t>
      </w:r>
    </w:p>
    <w:p>
      <w:pPr>
        <w:pStyle w:val="ListBullet"/>
        <w:spacing w:before="30" w:after="30" w:line="276" w:lineRule="auto"/>
      </w:pPr>
      <w:r>
        <w:rPr>
          <w:rFonts w:ascii="Times New Roman" w:hAnsi="Times New Roman"/>
          <w:b/>
          <w:color w:val="111827"/>
          <w:sz w:val="20"/>
        </w:rPr>
        <w:t>Gross Spend vs Subsequent xGD (`PRIMARY-SQ6-16`):</w:t>
      </w:r>
      <w:r>
        <w:rPr>
          <w:rFonts w:ascii="Times New Roman" w:hAnsi="Times New Roman"/>
          <w:color w:val="111827"/>
          <w:sz w:val="20"/>
        </w:rPr>
        <w:t xml:space="preserve"> Pearson </w:t>
      </w:r>
      <w:r>
        <w:rPr>
          <w:rFonts w:ascii="Times New Roman" w:hAnsi="Times New Roman"/>
          <w:i/>
          <w:color w:val="111827"/>
          <w:sz w:val="20"/>
        </w:rPr>
        <w:t>r = +0.5982</w:t>
      </w:r>
      <w:r>
        <w:rPr>
          <w:rFonts w:ascii="Times New Roman" w:hAnsi="Times New Roman"/>
          <w:color w:val="111827"/>
          <w:sz w:val="20"/>
        </w:rPr>
        <w:t xml:space="preserve"> (</w:t>
      </w:r>
      <w:r>
        <w:rPr>
          <w:rFonts w:ascii="Times New Roman" w:hAnsi="Times New Roman"/>
          <w:i/>
          <w:color w:val="111827"/>
          <w:sz w:val="20"/>
        </w:rPr>
        <w:t>p = 0.0888</w:t>
      </w:r>
      <w:r>
        <w:rPr>
          <w:rFonts w:ascii="Times New Roman" w:hAnsi="Times New Roman"/>
          <w:color w:val="111827"/>
          <w:sz w:val="20"/>
        </w:rPr>
        <w:t xml:space="preserve">); Spearman </w:t>
      </w:r>
      <w:r>
        <w:rPr>
          <w:rFonts w:ascii="Times New Roman" w:hAnsi="Times New Roman"/>
          <w:i/>
          <w:color w:val="111827"/>
          <w:sz w:val="20"/>
        </w:rPr>
        <w:t>ρ = +0.6500</w:t>
      </w:r>
      <w:r>
        <w:rPr>
          <w:rFonts w:ascii="Times New Roman" w:hAnsi="Times New Roman"/>
          <w:color w:val="111827"/>
          <w:sz w:val="20"/>
        </w:rPr>
        <w:t xml:space="preserve">; Kendall </w:t>
      </w:r>
      <w:r>
        <w:rPr>
          <w:rFonts w:ascii="Times New Roman" w:hAnsi="Times New Roman"/>
          <w:i/>
          <w:color w:val="111827"/>
          <w:sz w:val="20"/>
        </w:rPr>
        <w:t>τ = +0.5000</w:t>
      </w:r>
      <w:r>
        <w:rPr>
          <w:rFonts w:ascii="Times New Roman" w:hAnsi="Times New Roman"/>
          <w:color w:val="111827"/>
          <w:sz w:val="20"/>
        </w:rPr>
        <w:t>.</w:t>
      </w:r>
    </w:p>
    <w:p>
      <w:pPr>
        <w:pStyle w:val="ListBullet"/>
        <w:spacing w:before="30" w:after="30" w:line="276" w:lineRule="auto"/>
      </w:pPr>
      <w:r>
        <w:rPr>
          <w:rFonts w:ascii="Times New Roman" w:hAnsi="Times New Roman"/>
          <w:b/>
          <w:color w:val="111827"/>
          <w:sz w:val="20"/>
        </w:rPr>
        <w:t>Gross Spend vs Subsequent xPTS (`PRIMARY-SQ6-17`):</w:t>
      </w:r>
      <w:r>
        <w:rPr>
          <w:rFonts w:ascii="Times New Roman" w:hAnsi="Times New Roman"/>
          <w:color w:val="111827"/>
          <w:sz w:val="20"/>
        </w:rPr>
        <w:t xml:space="preserve"> Pearson </w:t>
      </w:r>
      <w:r>
        <w:rPr>
          <w:rFonts w:ascii="Times New Roman" w:hAnsi="Times New Roman"/>
          <w:i/>
          <w:color w:val="111827"/>
          <w:sz w:val="20"/>
        </w:rPr>
        <w:t>r = +0.6189</w:t>
      </w:r>
      <w:r>
        <w:rPr>
          <w:rFonts w:ascii="Times New Roman" w:hAnsi="Times New Roman"/>
          <w:color w:val="111827"/>
          <w:sz w:val="20"/>
        </w:rPr>
        <w:t xml:space="preserve"> (</w:t>
      </w:r>
      <w:r>
        <w:rPr>
          <w:rFonts w:ascii="Times New Roman" w:hAnsi="Times New Roman"/>
          <w:i/>
          <w:color w:val="111827"/>
          <w:sz w:val="20"/>
        </w:rPr>
        <w:t>p = 0.0756</w:t>
      </w:r>
      <w:r>
        <w:rPr>
          <w:rFonts w:ascii="Times New Roman" w:hAnsi="Times New Roman"/>
          <w:color w:val="111827"/>
          <w:sz w:val="20"/>
        </w:rPr>
        <w:t xml:space="preserve">); Spearman </w:t>
      </w:r>
      <w:r>
        <w:rPr>
          <w:rFonts w:ascii="Times New Roman" w:hAnsi="Times New Roman"/>
          <w:i/>
          <w:color w:val="111827"/>
          <w:sz w:val="20"/>
        </w:rPr>
        <w:t>ρ = +0.6667</w:t>
      </w:r>
      <w:r>
        <w:rPr>
          <w:rFonts w:ascii="Times New Roman" w:hAnsi="Times New Roman"/>
          <w:color w:val="111827"/>
          <w:sz w:val="20"/>
        </w:rPr>
        <w:t xml:space="preserve">; Kendall </w:t>
      </w:r>
      <w:r>
        <w:rPr>
          <w:rFonts w:ascii="Times New Roman" w:hAnsi="Times New Roman"/>
          <w:i/>
          <w:color w:val="111827"/>
          <w:sz w:val="20"/>
        </w:rPr>
        <w:t>τ = +0.5000</w:t>
      </w:r>
      <w:r>
        <w:rPr>
          <w:rFonts w:ascii="Times New Roman" w:hAnsi="Times New Roman"/>
          <w:color w:val="111827"/>
          <w:sz w:val="20"/>
        </w:rPr>
        <w:t>.</w:t>
      </w:r>
    </w:p>
    <w:p>
      <w:pPr>
        <w:pStyle w:val="ListBullet"/>
        <w:spacing w:before="30" w:after="30" w:line="276" w:lineRule="auto"/>
      </w:pPr>
      <w:r>
        <w:t>Contextual Tactical Metrics: Passes Per Defensive Action (ppda) improved from a pressing-inefficient peak of 13.64 in 2020/21 to 8.80 in 2024/25, while xGD rose from a trough of -6.43 in 2019/20 to a peak of +52.61 in 2023/24.</w:t>
      </w:r>
    </w:p>
    <w:p>
      <w:pPr>
        <w:keepNext/>
        <w:spacing w:before="220" w:after="60"/>
      </w:pPr>
      <w:r>
        <w:rPr>
          <w:rFonts w:ascii="Times New Roman" w:hAnsi="Times New Roman"/>
          <w:b/>
          <w:color w:val="1E3A8A"/>
          <w:sz w:val="22"/>
        </w:rPr>
        <w:t>Important Duplicate-Evidence Protocol</w:t>
      </w:r>
    </w:p>
    <w:p>
      <w:pPr>
        <w:spacing w:before="0" w:after="100" w:line="276" w:lineRule="auto"/>
        <w:jc w:val="both"/>
      </w:pPr>
      <w:r>
        <w:rPr>
          <w:rFonts w:ascii="Times New Roman" w:hAnsi="Times New Roman"/>
          <w:color w:val="111827"/>
          <w:sz w:val="20"/>
        </w:rPr>
        <w:t>As mandated by the research protocol (</w:t>
      </w:r>
      <w:r>
        <w:rPr>
          <w:rFonts w:ascii="Consolas" w:hAnsi="Consolas"/>
          <w:b/>
          <w:color w:val="1E293B"/>
          <w:sz w:val="19"/>
        </w:rPr>
        <w:t>RESEARCH_DESIGN.md</w:t>
      </w:r>
      <w:r>
        <w:rPr>
          <w:rFonts w:ascii="Times New Roman" w:hAnsi="Times New Roman"/>
          <w:color w:val="111827"/>
          <w:sz w:val="20"/>
        </w:rPr>
        <w:t xml:space="preserve">), specifications </w:t>
      </w:r>
      <w:r>
        <w:rPr>
          <w:rFonts w:ascii="Consolas" w:hAnsi="Consolas"/>
          <w:b/>
          <w:color w:val="1E293B"/>
          <w:sz w:val="19"/>
        </w:rPr>
        <w:t>PRIMARY-SQ6-16</w:t>
      </w:r>
      <w:r>
        <w:rPr>
          <w:rFonts w:ascii="Times New Roman" w:hAnsi="Times New Roman"/>
          <w:color w:val="111827"/>
          <w:sz w:val="20"/>
        </w:rPr>
        <w:t xml:space="preserve"> and </w:t>
      </w:r>
      <w:r>
        <w:rPr>
          <w:rFonts w:ascii="Consolas" w:hAnsi="Consolas"/>
          <w:b/>
          <w:color w:val="1E293B"/>
          <w:sz w:val="19"/>
        </w:rPr>
        <w:t>PRIMARY-SQ6-17</w:t>
      </w:r>
      <w:r>
        <w:rPr>
          <w:rFonts w:ascii="Times New Roman" w:hAnsi="Times New Roman"/>
          <w:color w:val="111827"/>
          <w:sz w:val="20"/>
        </w:rPr>
        <w:t xml:space="preserve"> share </w:t>
      </w:r>
      <w:r>
        <w:rPr>
          <w:rFonts w:ascii="Times New Roman" w:hAnsi="Times New Roman"/>
          <w:b/>
          <w:color w:val="111827"/>
          <w:sz w:val="20"/>
        </w:rPr>
        <w:t>identical quantitative inputs and calculations</w:t>
      </w:r>
      <w:r>
        <w:rPr>
          <w:rFonts w:ascii="Times New Roman" w:hAnsi="Times New Roman"/>
          <w:color w:val="111827"/>
          <w:sz w:val="20"/>
        </w:rPr>
        <w:t xml:space="preserve"> with </w:t>
      </w:r>
      <w:r>
        <w:rPr>
          <w:rFonts w:ascii="Consolas" w:hAnsi="Consolas"/>
          <w:b/>
          <w:color w:val="1E293B"/>
          <w:sz w:val="19"/>
        </w:rPr>
        <w:t>PRIMARY-SQ3-05</w:t>
      </w:r>
      <w:r>
        <w:rPr>
          <w:rFonts w:ascii="Times New Roman" w:hAnsi="Times New Roman"/>
          <w:color w:val="111827"/>
          <w:sz w:val="20"/>
        </w:rPr>
        <w:t xml:space="preserve"> and </w:t>
      </w:r>
      <w:r>
        <w:rPr>
          <w:rFonts w:ascii="Consolas" w:hAnsi="Consolas"/>
          <w:b/>
          <w:color w:val="1E293B"/>
          <w:sz w:val="19"/>
        </w:rPr>
        <w:t>PRIMARY-SQ3-06</w:t>
      </w:r>
      <w:r>
        <w:rPr>
          <w:rFonts w:ascii="Times New Roman" w:hAnsi="Times New Roman"/>
          <w:color w:val="111827"/>
          <w:sz w:val="20"/>
        </w:rPr>
        <w:t>.</w:t>
      </w:r>
    </w:p>
    <w:p>
      <w:pPr>
        <w:spacing w:before="0" w:after="100" w:line="276" w:lineRule="auto"/>
        <w:jc w:val="both"/>
      </w:pPr>
      <w:r>
        <w:rPr>
          <w:rFonts w:ascii="Times New Roman" w:hAnsi="Times New Roman"/>
          <w:b/>
          <w:color w:val="111827"/>
          <w:sz w:val="20"/>
        </w:rPr>
        <w:t>The study strictly does NOT treat SQ3 and SQ6 as two independent pieces of confirmatory evidence.</w:t>
      </w:r>
      <w:r>
        <w:rPr>
          <w:rFonts w:ascii="Times New Roman" w:hAnsi="Times New Roman"/>
          <w:color w:val="111827"/>
          <w:sz w:val="20"/>
        </w:rPr>
        <w:t xml:space="preserve"> SQ3 evaluates transfer expenditure against subsequent pitch outcomes, whereas SQ6 evaluates that same empirical outlay through the conceptual lens of underlying process efficiency and squad tactical quality.</w:t>
      </w:r>
    </w:p>
    <w:p>
      <w:pPr>
        <w:keepNext/>
        <w:spacing w:before="220" w:after="60"/>
      </w:pPr>
      <w:r>
        <w:rPr>
          <w:rFonts w:ascii="Times New Roman" w:hAnsi="Times New Roman"/>
          <w:b/>
          <w:color w:val="1E3A8A"/>
          <w:sz w:val="22"/>
        </w:rPr>
        <w:t>Author Interpretation</w:t>
      </w:r>
    </w:p>
    <w:p>
      <w:pPr>
        <w:spacing w:before="0" w:after="100" w:line="276" w:lineRule="auto"/>
        <w:jc w:val="both"/>
      </w:pPr>
      <w:r>
        <w:rPr>
          <w:rFonts w:ascii="Times New Roman" w:hAnsi="Times New Roman"/>
          <w:color w:val="111827"/>
          <w:sz w:val="20"/>
        </w:rPr>
        <w:t>Interpreting these associations through the framework of investment quality (Principle 13), the author argues that the co-movement between capital outlays and expected goal metrics reflects the degree to which recruitment matched the tactical system implemented by the coaching staff. Rather than evaluating transfer spending merely as a gross financial figure, the author contends that recruitment quality, tactical fit, squad integration, and team cohesion condition whether capital outlays translate into improved underlying chance creation (Principle 9).</w:t>
      </w:r>
    </w:p>
    <w:p>
      <w:pPr>
        <w:spacing w:before="0" w:after="100" w:line="276" w:lineRule="auto"/>
        <w:jc w:val="both"/>
      </w:pPr>
      <w:r>
        <w:rPr>
          <w:rFonts w:ascii="Times New Roman" w:hAnsi="Times New Roman"/>
          <w:color w:val="111827"/>
          <w:sz w:val="20"/>
        </w:rPr>
        <w:t>The long-term improvement in xGD (+52.61 in 2023/24) and high-intensity pressing (PPDA 8.80) coincided with targeted transfer cycles, suggesting that investment supported tactical transformation. However, the author reiterates that football is a complex environment where tactical coaching, training methodology, and team cohesion interact with capital investments (Principle 12).</w:t>
      </w:r>
    </w:p>
    <w:p>
      <w:pPr>
        <w:keepNext/>
        <w:spacing w:before="220" w:after="60"/>
      </w:pPr>
      <w:r>
        <w:rPr>
          <w:rFonts w:ascii="Times New Roman" w:hAnsi="Times New Roman"/>
          <w:b/>
          <w:color w:val="1E3A8A"/>
          <w:sz w:val="22"/>
        </w:rPr>
        <w:t>Alternative Explanations</w:t>
      </w:r>
    </w:p>
    <w:p>
      <w:pPr>
        <w:spacing w:before="0" w:after="100" w:line="276" w:lineRule="auto"/>
        <w:jc w:val="both"/>
      </w:pPr>
      <w:r>
        <w:rPr>
          <w:rFonts w:ascii="Times New Roman" w:hAnsi="Times New Roman"/>
          <w:color w:val="111827"/>
          <w:sz w:val="20"/>
        </w:rPr>
        <w:t>Alternatively, improvements in underlying tactical metrics may reflect coaching longevity, tactical drilled structures, and team tactical maturity rather than expenditure volume, with newly acquired players functioning within an already established tactical framework.</w:t>
      </w:r>
    </w:p>
    <w:p>
      <w:pPr>
        <w:keepNext/>
        <w:spacing w:before="220" w:after="60"/>
      </w:pPr>
      <w:r>
        <w:rPr>
          <w:rFonts w:ascii="Times New Roman" w:hAnsi="Times New Roman"/>
          <w:b/>
          <w:color w:val="1E3A8A"/>
          <w:sz w:val="22"/>
        </w:rPr>
        <w:t>Robustness &amp; Limitations</w:t>
      </w:r>
    </w:p>
    <w:p>
      <w:pPr>
        <w:spacing w:before="0" w:after="100" w:line="276" w:lineRule="auto"/>
        <w:jc w:val="both"/>
      </w:pPr>
      <w:r>
        <w:rPr>
          <w:rFonts w:ascii="Times New Roman" w:hAnsi="Times New Roman"/>
          <w:color w:val="111827"/>
          <w:sz w:val="20"/>
        </w:rPr>
        <w:t>Granular player-level minutes played by new signings and squad demographic rejuvenation metrics (e.g. squad average age) do not exist in the master panel and were not measured. Consequently, the study cannot isolate the specific minutes or tactical contributions of newly acquired players from incumbent squad members.</w:t>
      </w:r>
    </w:p>
    <w:p>
      <w:pPr>
        <w:keepNext/>
        <w:spacing w:before="220" w:after="60"/>
      </w:pPr>
      <w:r>
        <w:rPr>
          <w:rFonts w:ascii="Times New Roman" w:hAnsi="Times New Roman"/>
          <w:b/>
          <w:color w:val="1E3A8A"/>
          <w:sz w:val="22"/>
        </w:rPr>
        <w:t>Causal-Language Limitation</w:t>
      </w:r>
    </w:p>
    <w:p>
      <w:pPr>
        <w:spacing w:before="0" w:after="100" w:line="276" w:lineRule="auto"/>
        <w:jc w:val="both"/>
      </w:pPr>
      <w:r>
        <w:rPr>
          <w:rFonts w:ascii="Times New Roman" w:hAnsi="Times New Roman"/>
          <w:color w:val="111827"/>
          <w:sz w:val="20"/>
        </w:rPr>
        <w:t>These findings reflect observational alignment between spending and team-level metrics. The analysis does not prove that transfer spending caused tactical efficiency improvements.</w:t>
      </w:r>
    </w:p>
    <w:p>
      <w:pPr>
        <w:keepNext/>
        <w:spacing w:before="300" w:after="100"/>
      </w:pPr>
      <w:r>
        <w:rPr>
          <w:rFonts w:ascii="Times New Roman" w:hAnsi="Times New Roman"/>
          <w:b/>
          <w:color w:val="0F254B"/>
          <w:sz w:val="26"/>
        </w:rPr>
        <w:t>5.7 Cross-SQ Synthesis: A Dynamic &amp; Bidirectional Conceptual Framework</w:t>
      </w:r>
    </w:p>
    <w:p>
      <w:pPr>
        <w:spacing w:before="0" w:after="100" w:line="276" w:lineRule="auto"/>
        <w:jc w:val="both"/>
      </w:pPr>
      <w:r>
        <w:rPr>
          <w:rFonts w:ascii="Times New Roman" w:hAnsi="Times New Roman"/>
          <w:color w:val="111827"/>
          <w:sz w:val="20"/>
        </w:rPr>
        <w:t xml:space="preserve">Integrating the findings across all six sub-research questions, the author rejects a simplistic, linear pipeline that assumes financial resources mechanically translate into sporting success. Instead, the author synthesizes the empirical evidence into a </w:t>
      </w:r>
      <w:r>
        <w:rPr>
          <w:rFonts w:ascii="Times New Roman" w:hAnsi="Times New Roman"/>
          <w:b/>
          <w:color w:val="111827"/>
          <w:sz w:val="20"/>
        </w:rPr>
        <w:t>dynamic, bidirectional feedback framework</w:t>
      </w:r>
      <w:r>
        <w:rPr>
          <w:rFonts w:ascii="Times New Roman" w:hAnsi="Times New Roman"/>
          <w:color w:val="111827"/>
          <w:sz w:val="20"/>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before="40" w:after="40" w:line="252" w:lineRule="auto"/>
            </w:pPr>
            <w:r>
              <w:rPr>
                <w:rFonts w:ascii="Consolas" w:hAnsi="Consolas"/>
                <w:color w:val="1E293B"/>
                <w:sz w:val="16"/>
              </w:rPr>
              <w:t xml:space="preserve">           +----------------------------------------+</w:t>
              <w:br/>
              <w:t xml:space="preserve">           v                                        |</w:t>
              <w:br/>
              <w:t xml:space="preserve">    FINANCIAL RESOURCES (SQ1)                       |</w:t>
              <w:br/>
              <w:t xml:space="preserve">    (Turnover, Operating Liquidity, Debt Capacity)  |</w:t>
              <w:br/>
              <w:t xml:space="preserve">           |                                        |</w:t>
              <w:br/>
              <w:t xml:space="preserve">           v                                        |</w:t>
              <w:br/>
              <w:t xml:space="preserve">    INVESTMENT DECISIONS (SQ2)                      |</w:t>
              <w:br/>
              <w:t xml:space="preserve">    (Transfer Outlays, Balance Sheet Financing)     |</w:t>
              <w:br/>
              <w:t xml:space="preserve">           |                                        | (Bidirectional</w:t>
              <w:br/>
              <w:t xml:space="preserve">           v                                        |  Feedback Loop:</w:t>
              <w:br/>
              <w:t xml:space="preserve">    SQUAD &amp; PROCESS INPUTS (SQ4, SQ6)               |  UEFA Prize Money,</w:t>
              <w:br/>
              <w:t xml:space="preserve">    (Staff Compensation, Tactical Quality)          |  Matchday Demand,</w:t>
              <w:br/>
              <w:t xml:space="preserve">           |                                        |  Commercial Scale)</w:t>
              <w:br/>
              <w:t xml:space="preserve">           v                                        |</w:t>
              <w:br/>
              <w:t xml:space="preserve">    SPORTING PERFORMANCE (SQ3, SQ5)                 |</w:t>
              <w:br/>
              <w:t xml:space="preserve">    (Realized Points, Underlying xGD / xPTS)        |</w:t>
              <w:br/>
              <w:t xml:space="preserve">           |                                        |</w:t>
              <w:br/>
              <w:t xml:space="preserve">           +----------------------------------------+</w:t>
            </w:r>
          </w:p>
        </w:tc>
      </w:tr>
    </w:tbl>
    <w:p>
      <w:pPr>
        <w:keepNext/>
        <w:spacing w:before="180" w:after="60"/>
      </w:pPr>
      <w:r>
        <w:rPr>
          <w:rFonts w:ascii="Times New Roman" w:hAnsi="Times New Roman"/>
          <w:b/>
          <w:color w:val="0F254B"/>
          <w:sz w:val="19"/>
        </w:rPr>
        <w:t>Figure 1:</w:t>
      </w:r>
      <w:r>
        <w:rPr>
          <w:rFonts w:ascii="Times New Roman" w:hAnsi="Times New Roman"/>
          <w:color w:val="0F254B"/>
          <w:sz w:val="19"/>
        </w:rPr>
        <w:t xml:space="preserve"> Conceptual Framework: Dynamic and Bidirectional Feedback Loop Between Financial Resources, Transfer Investment, Squad Inputs, and Sporting Performance.</w:t>
      </w:r>
    </w:p>
    <w:p>
      <w:pPr>
        <w:keepNext/>
        <w:spacing w:before="220" w:after="60"/>
      </w:pPr>
      <w:r>
        <w:rPr>
          <w:rFonts w:ascii="Times New Roman" w:hAnsi="Times New Roman"/>
          <w:b/>
          <w:color w:val="1E3A8A"/>
          <w:sz w:val="22"/>
        </w:rPr>
        <w:t>Key Dimensions of the Synthesis:</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Enabling vs Deterministic Resources:</w:t>
      </w:r>
      <w:r>
        <w:rPr>
          <w:rFonts w:ascii="Times New Roman" w:hAnsi="Times New Roman"/>
          <w:color w:val="111827"/>
          <w:sz w:val="20"/>
        </w:rPr>
        <w:t xml:space="preserve"> Financial resources (SQ1) and borrowing capacity (SQ2) provide the necessary liquidity to undertake squad investments, but they do not guarantee competitive dominance.</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Allocation Quality over Gross Volume:</w:t>
      </w:r>
      <w:r>
        <w:rPr>
          <w:rFonts w:ascii="Times New Roman" w:hAnsi="Times New Roman"/>
          <w:color w:val="111827"/>
          <w:sz w:val="20"/>
        </w:rPr>
        <w:t xml:space="preserve"> The weak association of statutory staff costs (SQ4) contrasted with the positive association of transfer spend with process metrics (SQ3/SQ6) supports the author’s interpretive framework: capital outlays are best evaluated through the lens of resource allocation quality—aligning squad acquisitions with tactical systems—rather than gross expenditure volume alone (Principle 13).</w:t>
      </w:r>
    </w:p>
    <w:p>
      <w:pPr>
        <w:spacing w:before="30" w:after="30" w:line="276" w:lineRule="auto"/>
        <w:ind w:left="360"/>
      </w:pPr>
      <w:r>
        <w:rPr>
          <w:rFonts w:ascii="Times New Roman" w:hAnsi="Times New Roman"/>
          <w:b/>
          <w:sz w:val="20"/>
        </w:rPr>
        <w:t xml:space="preserve">3. </w:t>
      </w:r>
      <w:r>
        <w:rPr>
          <w:rFonts w:ascii="Times New Roman" w:hAnsi="Times New Roman"/>
          <w:b/>
          <w:color w:val="111827"/>
          <w:sz w:val="20"/>
        </w:rPr>
        <w:t>Process Stability vs Outcome Variance:</w:t>
      </w:r>
      <w:r>
        <w:rPr>
          <w:rFonts w:ascii="Times New Roman" w:hAnsi="Times New Roman"/>
          <w:color w:val="111827"/>
          <w:sz w:val="20"/>
        </w:rPr>
        <w:t xml:space="preserve"> Transfer investments correlate more strongly with underlying expected metrics (</w:t>
      </w:r>
      <w:r>
        <w:rPr>
          <w:rFonts w:ascii="Times New Roman" w:hAnsi="Times New Roman"/>
          <w:i/>
          <w:color w:val="111827"/>
          <w:sz w:val="20"/>
        </w:rPr>
        <w:t>xGD, xPTS ≈ +0.60–+0.62</w:t>
      </w:r>
      <w:r>
        <w:rPr>
          <w:rFonts w:ascii="Times New Roman" w:hAnsi="Times New Roman"/>
          <w:color w:val="111827"/>
          <w:sz w:val="20"/>
        </w:rPr>
        <w:t>) than with realized points (</w:t>
      </w:r>
      <w:r>
        <w:rPr>
          <w:rFonts w:ascii="Times New Roman" w:hAnsi="Times New Roman"/>
          <w:i/>
          <w:color w:val="111827"/>
          <w:sz w:val="20"/>
        </w:rPr>
        <w:t>r = +0.39</w:t>
      </w:r>
      <w:r>
        <w:rPr>
          <w:rFonts w:ascii="Times New Roman" w:hAnsi="Times New Roman"/>
          <w:color w:val="111827"/>
          <w:sz w:val="20"/>
        </w:rPr>
        <w:t>), consistent with the author’s interpretation that capital additions are more closely aligned with underlying tactical process metrics, whereas match-level points remain subject to short-term stochastic variance.</w:t>
      </w:r>
    </w:p>
    <w:p>
      <w:pPr>
        <w:spacing w:before="30" w:after="30" w:line="276" w:lineRule="auto"/>
        <w:ind w:left="360"/>
      </w:pPr>
      <w:r>
        <w:rPr>
          <w:rFonts w:ascii="Times New Roman" w:hAnsi="Times New Roman"/>
          <w:b/>
          <w:sz w:val="20"/>
        </w:rPr>
        <w:t xml:space="preserve">4. </w:t>
      </w:r>
      <w:r>
        <w:rPr>
          <w:rFonts w:ascii="Times New Roman" w:hAnsi="Times New Roman"/>
          <w:b/>
          <w:color w:val="111827"/>
          <w:sz w:val="20"/>
        </w:rPr>
        <w:t>Endogenous Feedback:</w:t>
      </w:r>
      <w:r>
        <w:rPr>
          <w:rFonts w:ascii="Times New Roman" w:hAnsi="Times New Roman"/>
          <w:color w:val="111827"/>
          <w:sz w:val="20"/>
        </w:rPr>
        <w:t xml:space="preserve"> Sporting success (SQ3/SQ5) feeds directly back into financial turnover (SQ1) through UEFA Champions League distributions and commercial expansion, establishing that finance and sporting performance are mutually reinforcing across multi-year cycles.</w:t>
      </w:r>
    </w:p>
    <w:p>
      <w:pPr>
        <w:keepNext/>
        <w:spacing w:before="300" w:after="100"/>
      </w:pPr>
      <w:r>
        <w:rPr>
          <w:rFonts w:ascii="Times New Roman" w:hAnsi="Times New Roman"/>
          <w:b/>
          <w:color w:val="0F254B"/>
          <w:sz w:val="26"/>
        </w:rPr>
        <w:t>5.8 Limitations and Scope of Inference</w:t>
      </w:r>
    </w:p>
    <w:p>
      <w:pPr>
        <w:spacing w:before="0" w:after="100" w:line="276" w:lineRule="auto"/>
        <w:jc w:val="both"/>
      </w:pPr>
      <w:r>
        <w:rPr>
          <w:rFonts w:ascii="Times New Roman" w:hAnsi="Times New Roman"/>
          <w:color w:val="111827"/>
          <w:sz w:val="20"/>
        </w:rPr>
        <w:t>To maintain the highest standards of academic integrity, the conclusions of this study are bound by five explicit methodological constraints:</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Small-</w:t>
      </w:r>
      <w:r>
        <w:rPr>
          <w:rFonts w:ascii="Times New Roman" w:hAnsi="Times New Roman"/>
          <w:b/>
          <w:i/>
          <w:color w:val="111827"/>
          <w:sz w:val="20"/>
        </w:rPr>
        <w:t>N</w:t>
      </w:r>
      <w:r>
        <w:rPr>
          <w:rFonts w:ascii="Times New Roman" w:hAnsi="Times New Roman"/>
          <w:b/>
          <w:color w:val="111827"/>
          <w:sz w:val="20"/>
        </w:rPr>
        <w:t xml:space="preserve"> Observational Nature:</w:t>
      </w:r>
      <w:r>
        <w:rPr>
          <w:rFonts w:ascii="Times New Roman" w:hAnsi="Times New Roman"/>
          <w:color w:val="111827"/>
          <w:sz w:val="20"/>
        </w:rPr>
        <w:t xml:space="preserve"> With </w:t>
      </w:r>
      <w:r>
        <w:rPr>
          <w:rFonts w:ascii="Times New Roman" w:hAnsi="Times New Roman"/>
          <w:i/>
          <w:color w:val="111827"/>
          <w:sz w:val="20"/>
        </w:rPr>
        <w:t>N=10</w:t>
      </w:r>
      <w:r>
        <w:rPr>
          <w:rFonts w:ascii="Times New Roman" w:hAnsi="Times New Roman"/>
          <w:color w:val="111827"/>
          <w:sz w:val="20"/>
        </w:rPr>
        <w:t xml:space="preserve"> contemporaneous annual observations, </w:t>
      </w:r>
      <w:r>
        <w:rPr>
          <w:rFonts w:ascii="Times New Roman" w:hAnsi="Times New Roman"/>
          <w:i/>
          <w:color w:val="111827"/>
          <w:sz w:val="20"/>
        </w:rPr>
        <w:t>N=9</w:t>
      </w:r>
      <w:r>
        <w:rPr>
          <w:rFonts w:ascii="Times New Roman" w:hAnsi="Times New Roman"/>
          <w:color w:val="111827"/>
          <w:sz w:val="20"/>
        </w:rPr>
        <w:t xml:space="preserve"> lagged transitions, and </w:t>
      </w:r>
      <w:r>
        <w:rPr>
          <w:rFonts w:ascii="Times New Roman" w:hAnsi="Times New Roman"/>
          <w:i/>
          <w:color w:val="111827"/>
          <w:sz w:val="20"/>
        </w:rPr>
        <w:t>N=6</w:t>
      </w:r>
      <w:r>
        <w:rPr>
          <w:rFonts w:ascii="Times New Roman" w:hAnsi="Times New Roman"/>
          <w:color w:val="111827"/>
          <w:sz w:val="20"/>
        </w:rPr>
        <w:t xml:space="preserve"> COVID-excluded transitions, the study lacks the degrees of freedom necessary for multivariable regression, panel modeling, or formal causal identification. Findings represent longitudinal associations within a single club case study.</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Transfer Measurement Uncertainty:</w:t>
      </w:r>
      <w:r>
        <w:rPr>
          <w:rFonts w:ascii="Times New Roman" w:hAnsi="Times New Roman"/>
          <w:color w:val="111827"/>
          <w:sz w:val="20"/>
        </w:rPr>
        <w:t xml:space="preserve"> Out of 128 verified transfer transactions across the decade, only 9 transactions possessed primary statutory regulatory fee disclosures. Reputable secondary consensus estimates support 77.8% of total gross consideration (£845.50m out of £1,087.03m), introducing unavoidable measurement estimation variance.</w:t>
      </w:r>
    </w:p>
    <w:p>
      <w:pPr>
        <w:spacing w:before="30" w:after="30" w:line="276" w:lineRule="auto"/>
        <w:ind w:left="360"/>
      </w:pPr>
      <w:r>
        <w:rPr>
          <w:rFonts w:ascii="Times New Roman" w:hAnsi="Times New Roman"/>
          <w:b/>
          <w:sz w:val="20"/>
        </w:rPr>
        <w:t xml:space="preserve">3. </w:t>
      </w:r>
      <w:r>
        <w:rPr>
          <w:rFonts w:ascii="Times New Roman" w:hAnsi="Times New Roman"/>
          <w:b/>
          <w:color w:val="111827"/>
          <w:sz w:val="20"/>
        </w:rPr>
        <w:t>Staff Costs Aggregation:</w:t>
      </w:r>
      <w:r>
        <w:rPr>
          <w:rFonts w:ascii="Times New Roman" w:hAnsi="Times New Roman"/>
          <w:color w:val="111827"/>
          <w:sz w:val="20"/>
        </w:rPr>
        <w:t xml:space="preserve"> Statutory reporting under UK GAAP/IFRS bundles all club personnel costs into a single </w:t>
      </w:r>
      <w:r>
        <w:rPr>
          <w:rFonts w:ascii="Consolas" w:hAnsi="Consolas"/>
          <w:b/>
          <w:color w:val="1E293B"/>
          <w:sz w:val="19"/>
        </w:rPr>
        <w:t>staff_costs</w:t>
      </w:r>
      <w:r>
        <w:rPr>
          <w:rFonts w:ascii="Times New Roman" w:hAnsi="Times New Roman"/>
          <w:color w:val="111827"/>
          <w:sz w:val="20"/>
        </w:rPr>
        <w:t xml:space="preserve"> figure, preventing empirical separation of first-team player wages from executive, coaching, medical, and commercial administrative remuneration.</w:t>
      </w:r>
    </w:p>
    <w:p>
      <w:pPr>
        <w:spacing w:before="30" w:after="30" w:line="276" w:lineRule="auto"/>
        <w:ind w:left="360"/>
      </w:pPr>
      <w:r>
        <w:rPr>
          <w:rFonts w:ascii="Times New Roman" w:hAnsi="Times New Roman"/>
          <w:b/>
          <w:sz w:val="20"/>
        </w:rPr>
        <w:t xml:space="preserve">4. </w:t>
      </w:r>
      <w:r>
        <w:rPr>
          <w:rFonts w:ascii="Times New Roman" w:hAnsi="Times New Roman"/>
          <w:b/>
          <w:color w:val="111827"/>
          <w:sz w:val="20"/>
        </w:rPr>
        <w:t>Proprietary Advanced Analytics:</w:t>
      </w:r>
      <w:r>
        <w:rPr>
          <w:rFonts w:ascii="Times New Roman" w:hAnsi="Times New Roman"/>
          <w:color w:val="111827"/>
          <w:sz w:val="20"/>
        </w:rPr>
        <w:t xml:space="preserve"> Expected goals (</w:t>
      </w:r>
      <w:r>
        <w:rPr>
          <w:rFonts w:ascii="Times New Roman" w:hAnsi="Times New Roman"/>
          <w:i/>
          <w:color w:val="111827"/>
          <w:sz w:val="20"/>
        </w:rPr>
        <w:t>xG</w:t>
      </w:r>
      <w:r>
        <w:rPr>
          <w:rFonts w:ascii="Times New Roman" w:hAnsi="Times New Roman"/>
          <w:color w:val="111827"/>
          <w:sz w:val="20"/>
        </w:rPr>
        <w:t>), expected points (</w:t>
      </w:r>
      <w:r>
        <w:rPr>
          <w:rFonts w:ascii="Times New Roman" w:hAnsi="Times New Roman"/>
          <w:i/>
          <w:color w:val="111827"/>
          <w:sz w:val="20"/>
        </w:rPr>
        <w:t>xPTS</w:t>
      </w:r>
      <w:r>
        <w:rPr>
          <w:rFonts w:ascii="Times New Roman" w:hAnsi="Times New Roman"/>
          <w:color w:val="111827"/>
          <w:sz w:val="20"/>
        </w:rPr>
        <w:t>), and pressing metrics (</w:t>
      </w:r>
      <w:r>
        <w:rPr>
          <w:rFonts w:ascii="Times New Roman" w:hAnsi="Times New Roman"/>
          <w:i/>
          <w:color w:val="111827"/>
          <w:sz w:val="20"/>
        </w:rPr>
        <w:t>PPDA</w:t>
      </w:r>
      <w:r>
        <w:rPr>
          <w:rFonts w:ascii="Times New Roman" w:hAnsi="Times New Roman"/>
          <w:color w:val="111827"/>
          <w:sz w:val="20"/>
        </w:rPr>
        <w:t>) are derived from Understat. While widely utilized in contemporary sports research, they represent third-party analytical models rather than primary competition authority data.</w:t>
      </w:r>
    </w:p>
    <w:p>
      <w:pPr>
        <w:spacing w:before="30" w:after="30" w:line="276" w:lineRule="auto"/>
        <w:ind w:left="360"/>
      </w:pPr>
      <w:r>
        <w:rPr>
          <w:rFonts w:ascii="Times New Roman" w:hAnsi="Times New Roman"/>
          <w:b/>
          <w:sz w:val="20"/>
        </w:rPr>
        <w:t xml:space="preserve">5. </w:t>
      </w:r>
      <w:r>
        <w:rPr>
          <w:rFonts w:ascii="Times New Roman" w:hAnsi="Times New Roman"/>
          <w:b/>
          <w:color w:val="111827"/>
          <w:sz w:val="20"/>
        </w:rPr>
        <w:t>COVID-19 Structural Exogeneity:</w:t>
      </w:r>
      <w:r>
        <w:rPr>
          <w:rFonts w:ascii="Times New Roman" w:hAnsi="Times New Roman"/>
          <w:color w:val="111827"/>
          <w:sz w:val="20"/>
        </w:rPr>
        <w:t xml:space="preserve"> The 2019/20 and 2020/21 seasons represent severe exogenous shocks characterized by closed-door matchday revenue loss (-98%) and fixture compression, which heavily condition financial and sporting co-movements.</w:t>
      </w:r>
    </w:p>
    <w:p>
      <w:pPr>
        <w:keepNext/>
        <w:spacing w:before="300" w:after="100"/>
      </w:pPr>
      <w:r>
        <w:rPr>
          <w:rFonts w:ascii="Times New Roman" w:hAnsi="Times New Roman"/>
          <w:b/>
          <w:color w:val="0F254B"/>
          <w:sz w:val="26"/>
        </w:rPr>
        <w:t>6. Conclusion</w:t>
      </w:r>
    </w:p>
    <w:p>
      <w:pPr>
        <w:spacing w:before="0" w:after="100" w:line="276" w:lineRule="auto"/>
        <w:jc w:val="both"/>
      </w:pPr>
      <w:r>
        <w:rPr>
          <w:rFonts w:ascii="Times New Roman" w:hAnsi="Times New Roman"/>
          <w:color w:val="111827"/>
          <w:sz w:val="20"/>
        </w:rPr>
        <w:t>This study executed a comprehensive, forensic investigation of the longitudinal relationships linking financial resources, capital investment decisions, and sporting performance at Arsenal Football Club from 2015/16 through 2024/25. Utilizing an immutable master panel dataset (</w:t>
      </w:r>
      <w:r>
        <w:rPr>
          <w:rFonts w:ascii="Times New Roman" w:hAnsi="Times New Roman"/>
          <w:i/>
          <w:color w:val="111827"/>
          <w:sz w:val="20"/>
        </w:rPr>
        <w:t>N=10</w:t>
      </w:r>
      <w:r>
        <w:rPr>
          <w:rFonts w:ascii="Times New Roman" w:hAnsi="Times New Roman"/>
          <w:color w:val="111827"/>
          <w:sz w:val="20"/>
        </w:rPr>
        <w:t>) integrated across audited statutory financial statements, a complete 128-transaction transfer census, and third-party advanced analytics, the empirical findings demonstrate that:</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Transfer Investment Correlates with Tactical Stability:</w:t>
      </w:r>
      <w:r>
        <w:rPr>
          <w:rFonts w:ascii="Times New Roman" w:hAnsi="Times New Roman"/>
          <w:color w:val="111827"/>
          <w:sz w:val="20"/>
        </w:rPr>
        <w:t xml:space="preserve"> Permanent gross transfer expenditures exhibited consistent, positive lagged associations with underlying tactical chance creation (</w:t>
      </w:r>
      <w:r>
        <w:rPr>
          <w:rFonts w:ascii="Times New Roman" w:hAnsi="Times New Roman"/>
          <w:i/>
          <w:color w:val="111827"/>
          <w:sz w:val="20"/>
        </w:rPr>
        <w:t>xGD</w:t>
      </w:r>
      <w:r>
        <w:rPr>
          <w:rFonts w:ascii="Times New Roman" w:hAnsi="Times New Roman"/>
          <w:color w:val="111827"/>
          <w:sz w:val="20"/>
        </w:rPr>
        <w:t xml:space="preserve">, </w:t>
      </w:r>
      <w:r>
        <w:rPr>
          <w:rFonts w:ascii="Times New Roman" w:hAnsi="Times New Roman"/>
          <w:i/>
          <w:color w:val="111827"/>
          <w:sz w:val="20"/>
        </w:rPr>
        <w:t>r = +0.5982</w:t>
      </w:r>
      <w:r>
        <w:rPr>
          <w:rFonts w:ascii="Times New Roman" w:hAnsi="Times New Roman"/>
          <w:color w:val="111827"/>
          <w:sz w:val="20"/>
        </w:rPr>
        <w:t>) and expected points (</w:t>
      </w:r>
      <w:r>
        <w:rPr>
          <w:rFonts w:ascii="Times New Roman" w:hAnsi="Times New Roman"/>
          <w:i/>
          <w:color w:val="111827"/>
          <w:sz w:val="20"/>
        </w:rPr>
        <w:t>xPTS</w:t>
      </w:r>
      <w:r>
        <w:rPr>
          <w:rFonts w:ascii="Times New Roman" w:hAnsi="Times New Roman"/>
          <w:color w:val="111827"/>
          <w:sz w:val="20"/>
        </w:rPr>
        <w:t xml:space="preserve">, </w:t>
      </w:r>
      <w:r>
        <w:rPr>
          <w:rFonts w:ascii="Times New Roman" w:hAnsi="Times New Roman"/>
          <w:i/>
          <w:color w:val="111827"/>
          <w:sz w:val="20"/>
        </w:rPr>
        <w:t>r = +0.6189</w:t>
      </w:r>
      <w:r>
        <w:rPr>
          <w:rFonts w:ascii="Times New Roman" w:hAnsi="Times New Roman"/>
          <w:color w:val="111827"/>
          <w:sz w:val="20"/>
        </w:rPr>
        <w:t>), maintaining complete sign invariance across all Leave-One-Season-Out iterations. However, associations with realized match outcome points (</w:t>
      </w:r>
      <w:r>
        <w:rPr>
          <w:rFonts w:ascii="Times New Roman" w:hAnsi="Times New Roman"/>
          <w:i/>
          <w:color w:val="111827"/>
          <w:sz w:val="20"/>
        </w:rPr>
        <w:t>PPG</w:t>
      </w:r>
      <w:r>
        <w:rPr>
          <w:rFonts w:ascii="Times New Roman" w:hAnsi="Times New Roman"/>
          <w:color w:val="111827"/>
          <w:sz w:val="20"/>
        </w:rPr>
        <w:t xml:space="preserve">, </w:t>
      </w:r>
      <w:r>
        <w:rPr>
          <w:rFonts w:ascii="Times New Roman" w:hAnsi="Times New Roman"/>
          <w:i/>
          <w:color w:val="111827"/>
          <w:sz w:val="20"/>
        </w:rPr>
        <w:t>r = +0.3911</w:t>
      </w:r>
      <w:r>
        <w:rPr>
          <w:rFonts w:ascii="Times New Roman" w:hAnsi="Times New Roman"/>
          <w:color w:val="111827"/>
          <w:sz w:val="20"/>
        </w:rPr>
        <w:t>) were substantially lower, reflecting the inherent stochastic variance of single-season football outcomes.</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Absence of Wage Dominance in a Single Club:</w:t>
      </w:r>
      <w:r>
        <w:rPr>
          <w:rFonts w:ascii="Times New Roman" w:hAnsi="Times New Roman"/>
          <w:color w:val="111827"/>
          <w:sz w:val="20"/>
        </w:rPr>
        <w:t xml:space="preserve"> Contrary to cross-sectional multi-club literature, statutory staff costs exhibited no stable predictive relationship with subsequent points (</w:t>
      </w:r>
      <w:r>
        <w:rPr>
          <w:rFonts w:ascii="Times New Roman" w:hAnsi="Times New Roman"/>
          <w:i/>
          <w:color w:val="111827"/>
          <w:sz w:val="20"/>
        </w:rPr>
        <w:t>r = +0.0516</w:t>
      </w:r>
      <w:r>
        <w:rPr>
          <w:rFonts w:ascii="Times New Roman" w:hAnsi="Times New Roman"/>
          <w:color w:val="111827"/>
          <w:sz w:val="20"/>
        </w:rPr>
        <w:t xml:space="preserve">, Spearman </w:t>
      </w:r>
      <w:r>
        <w:rPr>
          <w:rFonts w:ascii="Times New Roman" w:hAnsi="Times New Roman"/>
          <w:i/>
          <w:color w:val="111827"/>
          <w:sz w:val="20"/>
        </w:rPr>
        <w:t>ρ = -0.0333</w:t>
      </w:r>
      <w:r>
        <w:rPr>
          <w:rFonts w:ascii="Times New Roman" w:hAnsi="Times New Roman"/>
          <w:color w:val="111827"/>
          <w:sz w:val="20"/>
        </w:rPr>
        <w:t>), reversing sign under LOO analysis, which the author interprets as reflecting the broad composition of statutory payroll (which bundles non-playing organizational overhead) and multi-year contractual inertia during periods of squad decline.</w:t>
      </w:r>
    </w:p>
    <w:p>
      <w:pPr>
        <w:spacing w:before="30" w:after="30" w:line="276" w:lineRule="auto"/>
        <w:ind w:left="360"/>
      </w:pPr>
      <w:r>
        <w:rPr>
          <w:rFonts w:ascii="Times New Roman" w:hAnsi="Times New Roman"/>
          <w:b/>
          <w:sz w:val="20"/>
        </w:rPr>
        <w:t xml:space="preserve">3. </w:t>
      </w:r>
      <w:r>
        <w:rPr>
          <w:rFonts w:ascii="Times New Roman" w:hAnsi="Times New Roman"/>
          <w:b/>
          <w:color w:val="111827"/>
          <w:sz w:val="20"/>
        </w:rPr>
        <w:t>Debt-Enabled Restructuring:</w:t>
      </w:r>
      <w:r>
        <w:rPr>
          <w:rFonts w:ascii="Times New Roman" w:hAnsi="Times New Roman"/>
          <w:color w:val="111827"/>
          <w:sz w:val="20"/>
        </w:rPr>
        <w:t xml:space="preserve"> Transfer investment cycles were more strongly associated with net balance sheet borrowing (</w:t>
      </w:r>
      <w:r>
        <w:rPr>
          <w:rFonts w:ascii="Times New Roman" w:hAnsi="Times New Roman"/>
          <w:i/>
          <w:color w:val="111827"/>
          <w:sz w:val="20"/>
        </w:rPr>
        <w:t>r = +0.5906</w:t>
      </w:r>
      <w:r>
        <w:rPr>
          <w:rFonts w:ascii="Times New Roman" w:hAnsi="Times New Roman"/>
          <w:color w:val="111827"/>
          <w:sz w:val="20"/>
        </w:rPr>
        <w:t>) than with contemporaneous turnover (</w:t>
      </w:r>
      <w:r>
        <w:rPr>
          <w:rFonts w:ascii="Times New Roman" w:hAnsi="Times New Roman"/>
          <w:i/>
          <w:color w:val="111827"/>
          <w:sz w:val="20"/>
        </w:rPr>
        <w:t>r = +0.3659</w:t>
      </w:r>
      <w:r>
        <w:rPr>
          <w:rFonts w:ascii="Times New Roman" w:hAnsi="Times New Roman"/>
          <w:color w:val="111827"/>
          <w:sz w:val="20"/>
        </w:rPr>
        <w:t>), which the author interprets as reflecting reliance on shareholder credit facilities during capital-intensive rebuilding cycles.</w:t>
      </w:r>
    </w:p>
    <w:p>
      <w:pPr>
        <w:spacing w:before="30" w:after="30" w:line="276" w:lineRule="auto"/>
        <w:ind w:left="360"/>
      </w:pPr>
      <w:r>
        <w:rPr>
          <w:rFonts w:ascii="Times New Roman" w:hAnsi="Times New Roman"/>
          <w:b/>
          <w:sz w:val="20"/>
        </w:rPr>
        <w:t xml:space="preserve">4. </w:t>
      </w:r>
      <w:r>
        <w:rPr>
          <w:rFonts w:ascii="Times New Roman" w:hAnsi="Times New Roman"/>
          <w:b/>
          <w:color w:val="111827"/>
          <w:sz w:val="20"/>
        </w:rPr>
        <w:t>Dynamic Bidirectionality:</w:t>
      </w:r>
      <w:r>
        <w:rPr>
          <w:rFonts w:ascii="Times New Roman" w:hAnsi="Times New Roman"/>
          <w:color w:val="111827"/>
          <w:sz w:val="20"/>
        </w:rPr>
        <w:t xml:space="preserve"> The relationship between finance and performance operates as a reciprocal feedback loop: financial capacity enables tactical recruitment, but on-pitch success is essential to sustain top-line revenue expansion.</w:t>
      </w:r>
    </w:p>
    <w:p>
      <w:pPr>
        <w:spacing w:before="0" w:after="100" w:line="276" w:lineRule="auto"/>
        <w:jc w:val="both"/>
      </w:pPr>
      <w:r>
        <w:rPr>
          <w:rFonts w:ascii="Times New Roman" w:hAnsi="Times New Roman"/>
          <w:color w:val="111827"/>
          <w:sz w:val="20"/>
        </w:rPr>
        <w:t>Ultimately, financial resources function as necessary enabling inputs rather than deterministic drivers of sporting success. In professional football, the translation of capital outlays into competitive performance is critically mediated by strategic allocation quality, tactical alignment, and organizational cohesion.</w:t>
      </w:r>
    </w:p>
    <w:p>
      <w:pPr>
        <w:keepNext/>
        <w:spacing w:before="300" w:after="100"/>
      </w:pPr>
      <w:r>
        <w:rPr>
          <w:rFonts w:ascii="Times New Roman" w:hAnsi="Times New Roman"/>
          <w:b/>
          <w:color w:val="0F254B"/>
          <w:sz w:val="26"/>
        </w:rPr>
        <w:t>7. Data Provenance &amp; Verification Register</w:t>
      </w:r>
    </w:p>
    <w:p>
      <w:pPr>
        <w:spacing w:before="30" w:after="30" w:line="276" w:lineRule="auto"/>
        <w:ind w:left="360"/>
      </w:pPr>
      <w:r>
        <w:rPr>
          <w:rFonts w:ascii="Times New Roman" w:hAnsi="Times New Roman"/>
          <w:b/>
          <w:sz w:val="20"/>
        </w:rPr>
        <w:t xml:space="preserve">1. </w:t>
      </w:r>
      <w:r>
        <w:rPr>
          <w:rFonts w:ascii="Times New Roman" w:hAnsi="Times New Roman"/>
          <w:b/>
          <w:color w:val="111827"/>
          <w:sz w:val="20"/>
        </w:rPr>
        <w:t>Master Panel Repository:</w:t>
      </w:r>
      <w:r>
        <w:rPr>
          <w:rFonts w:ascii="Times New Roman" w:hAnsi="Times New Roman"/>
          <w:color w:val="111827"/>
          <w:sz w:val="20"/>
        </w:rPr>
        <w:t xml:space="preserve"> </w:t>
      </w:r>
      <w:r>
        <w:rPr>
          <w:rFonts w:ascii="Consolas" w:hAnsi="Consolas"/>
          <w:b/>
          <w:color w:val="1E293B"/>
          <w:sz w:val="19"/>
        </w:rPr>
        <w:t>arsenal_master_panel.csv</w:t>
      </w:r>
      <w:r>
        <w:rPr>
          <w:rFonts w:ascii="Times New Roman" w:hAnsi="Times New Roman"/>
          <w:color w:val="111827"/>
          <w:sz w:val="20"/>
        </w:rPr>
        <w:t xml:space="preserve"> (10 rows </w:t>
      </w:r>
      <w:r>
        <w:rPr>
          <w:rFonts w:ascii="Times New Roman" w:hAnsi="Times New Roman"/>
          <w:i/>
          <w:color w:val="111827"/>
          <w:sz w:val="20"/>
        </w:rPr>
        <w:t>×</w:t>
      </w:r>
      <w:r>
        <w:rPr>
          <w:rFonts w:ascii="Times New Roman" w:hAnsi="Times New Roman"/>
          <w:color w:val="111827"/>
          <w:sz w:val="20"/>
        </w:rPr>
        <w:t xml:space="preserve"> 108 columns; SHA-256: </w:t>
      </w:r>
      <w:r>
        <w:rPr>
          <w:rFonts w:ascii="Consolas" w:hAnsi="Consolas"/>
          <w:b/>
          <w:color w:val="1E293B"/>
          <w:sz w:val="19"/>
        </w:rPr>
        <w:t>9b3f66070c87bb81892461c77ca9a7e5c5493e318a6310ad5a6c721d49697cd3</w:t>
      </w:r>
      <w:r>
        <w:rPr>
          <w:rFonts w:ascii="Times New Roman" w:hAnsi="Times New Roman"/>
          <w:color w:val="111827"/>
          <w:sz w:val="20"/>
        </w:rPr>
        <w:t>).</w:t>
      </w:r>
    </w:p>
    <w:p>
      <w:pPr>
        <w:spacing w:before="30" w:after="30" w:line="276" w:lineRule="auto"/>
        <w:ind w:left="360"/>
      </w:pPr>
      <w:r>
        <w:rPr>
          <w:rFonts w:ascii="Times New Roman" w:hAnsi="Times New Roman"/>
          <w:b/>
          <w:sz w:val="20"/>
        </w:rPr>
        <w:t xml:space="preserve">2. </w:t>
      </w:r>
      <w:r>
        <w:rPr>
          <w:rFonts w:ascii="Times New Roman" w:hAnsi="Times New Roman"/>
          <w:b/>
          <w:color w:val="111827"/>
          <w:sz w:val="20"/>
        </w:rPr>
        <w:t>Financial Sources:</w:t>
      </w:r>
      <w:r>
        <w:rPr>
          <w:rFonts w:ascii="Times New Roman" w:hAnsi="Times New Roman"/>
          <w:color w:val="111827"/>
          <w:sz w:val="20"/>
        </w:rPr>
        <w:t xml:space="preserve"> Arsenal Holdings Limited Annual Report and Accounts (Companies House UK, 2016–2025).</w:t>
      </w:r>
    </w:p>
    <w:p>
      <w:pPr>
        <w:spacing w:before="30" w:after="30" w:line="276" w:lineRule="auto"/>
        <w:ind w:left="360"/>
      </w:pPr>
      <w:r>
        <w:rPr>
          <w:rFonts w:ascii="Times New Roman" w:hAnsi="Times New Roman"/>
          <w:b/>
          <w:sz w:val="20"/>
        </w:rPr>
        <w:t xml:space="preserve">3. </w:t>
      </w:r>
      <w:r>
        <w:rPr>
          <w:rFonts w:ascii="Times New Roman" w:hAnsi="Times New Roman"/>
          <w:b/>
          <w:color w:val="111827"/>
          <w:sz w:val="20"/>
        </w:rPr>
        <w:t>Transfer Register:</w:t>
      </w:r>
      <w:r>
        <w:rPr>
          <w:rFonts w:ascii="Times New Roman" w:hAnsi="Times New Roman"/>
          <w:color w:val="111827"/>
          <w:sz w:val="20"/>
        </w:rPr>
        <w:t xml:space="preserve"> Project Arsenal Transfer Census (128 transactions; </w:t>
      </w:r>
      <w:r>
        <w:rPr>
          <w:rFonts w:ascii="Consolas" w:hAnsi="Consolas"/>
          <w:b/>
          <w:color w:val="1E293B"/>
          <w:sz w:val="19"/>
        </w:rPr>
        <w:t>transfer_provenance.csv</w:t>
      </w:r>
      <w:r>
        <w:rPr>
          <w:rFonts w:ascii="Times New Roman" w:hAnsi="Times New Roman"/>
          <w:color w:val="111827"/>
          <w:sz w:val="20"/>
        </w:rPr>
        <w:t>).</w:t>
      </w:r>
    </w:p>
    <w:p>
      <w:pPr>
        <w:spacing w:before="30" w:after="30" w:line="276" w:lineRule="auto"/>
        <w:ind w:left="360"/>
      </w:pPr>
      <w:r>
        <w:rPr>
          <w:rFonts w:ascii="Times New Roman" w:hAnsi="Times New Roman"/>
          <w:b/>
          <w:sz w:val="20"/>
        </w:rPr>
        <w:t xml:space="preserve">4. </w:t>
      </w:r>
      <w:r>
        <w:rPr>
          <w:rFonts w:ascii="Times New Roman" w:hAnsi="Times New Roman"/>
          <w:b/>
          <w:color w:val="111827"/>
          <w:sz w:val="20"/>
        </w:rPr>
        <w:t>Sporting Sources:</w:t>
      </w:r>
      <w:r>
        <w:rPr>
          <w:rFonts w:ascii="Times New Roman" w:hAnsi="Times New Roman"/>
          <w:color w:val="111827"/>
          <w:sz w:val="20"/>
        </w:rPr>
        <w:t xml:space="preserve"> The Football Association Premier League Official Records &amp; Understat Advanced Analytics (</w:t>
      </w:r>
      <w:r>
        <w:rPr>
          <w:rFonts w:ascii="Consolas" w:hAnsi="Consolas"/>
          <w:b/>
          <w:color w:val="1E293B"/>
          <w:sz w:val="19"/>
        </w:rPr>
        <w:t>sporting_provenance.csv</w:t>
      </w:r>
      <w:r>
        <w:rPr>
          <w:rFonts w:ascii="Times New Roman" w:hAnsi="Times New Roman"/>
          <w:color w:val="111827"/>
          <w:sz w:val="20"/>
        </w:rPr>
        <w:t>).</w:t>
      </w:r>
    </w:p>
    <w:p>
      <w:pPr>
        <w:spacing w:before="30" w:after="30" w:line="276" w:lineRule="auto"/>
        <w:ind w:left="360"/>
      </w:pPr>
      <w:r>
        <w:rPr>
          <w:rFonts w:ascii="Times New Roman" w:hAnsi="Times New Roman"/>
          <w:b/>
          <w:sz w:val="20"/>
        </w:rPr>
        <w:t xml:space="preserve">5. </w:t>
      </w:r>
      <w:r>
        <w:rPr>
          <w:rFonts w:ascii="Times New Roman" w:hAnsi="Times New Roman"/>
          <w:b/>
          <w:color w:val="111827"/>
          <w:sz w:val="20"/>
        </w:rPr>
        <w:t>Quality Assurance:</w:t>
      </w:r>
      <w:r>
        <w:rPr>
          <w:rFonts w:ascii="Times New Roman" w:hAnsi="Times New Roman"/>
          <w:color w:val="111827"/>
          <w:sz w:val="20"/>
        </w:rPr>
        <w:t xml:space="preserve"> Master QA Ledger (</w:t>
      </w:r>
      <w:r>
        <w:rPr>
          <w:rFonts w:ascii="Consolas" w:hAnsi="Consolas"/>
          <w:b/>
          <w:color w:val="1E293B"/>
          <w:sz w:val="19"/>
        </w:rPr>
        <w:t>MASTER_QA_RESULTS.csv</w:t>
      </w:r>
      <w:r>
        <w:rPr>
          <w:rFonts w:ascii="Times New Roman" w:hAnsi="Times New Roman"/>
          <w:color w:val="111827"/>
          <w:sz w:val="20"/>
        </w:rPr>
        <w:t>, 1,070 tests, 0 failures) and Provenance Fidelity Ledger (</w:t>
      </w:r>
      <w:r>
        <w:rPr>
          <w:rFonts w:ascii="Consolas" w:hAnsi="Consolas"/>
          <w:b/>
          <w:color w:val="1E293B"/>
          <w:sz w:val="19"/>
        </w:rPr>
        <w:t>MASTER_PROVENANCE_FIDELITY_RESULTS.csv</w:t>
      </w:r>
      <w:r>
        <w:rPr>
          <w:rFonts w:ascii="Times New Roman" w:hAnsi="Times New Roman"/>
          <w:color w:val="111827"/>
          <w:sz w:val="20"/>
        </w:rPr>
        <w:t>, 1,070 records, 0 defects).</w:t>
      </w:r>
    </w:p>
    <w:p>
      <w:pPr>
        <w:keepNext/>
        <w:spacing w:before="300" w:after="100"/>
      </w:pPr>
      <w:r>
        <w:rPr>
          <w:rFonts w:ascii="Times New Roman" w:hAnsi="Times New Roman"/>
          <w:b/>
          <w:color w:val="0F254B"/>
          <w:sz w:val="26"/>
        </w:rPr>
        <w:t>References</w:t>
      </w:r>
    </w:p>
    <w:p>
      <w:pPr>
        <w:spacing w:before="30" w:after="30" w:line="276" w:lineRule="auto"/>
        <w:ind w:left="360"/>
      </w:pPr>
      <w:r>
        <w:rPr>
          <w:rFonts w:ascii="Times New Roman" w:hAnsi="Times New Roman"/>
          <w:b/>
          <w:sz w:val="20"/>
        </w:rPr>
        <w:t xml:space="preserve">1. </w:t>
      </w:r>
      <w:r>
        <w:rPr>
          <w:rFonts w:ascii="Times New Roman" w:hAnsi="Times New Roman"/>
          <w:color w:val="111827"/>
          <w:sz w:val="20"/>
        </w:rPr>
        <w:t xml:space="preserve">Arsenal Holdings Limited. (2016–2025). </w:t>
      </w:r>
      <w:r>
        <w:rPr>
          <w:rFonts w:ascii="Times New Roman" w:hAnsi="Times New Roman"/>
          <w:i/>
          <w:color w:val="111827"/>
          <w:sz w:val="20"/>
        </w:rPr>
        <w:t>Annual Report and Financial Statements</w:t>
      </w:r>
      <w:r>
        <w:rPr>
          <w:rFonts w:ascii="Times New Roman" w:hAnsi="Times New Roman"/>
          <w:color w:val="111827"/>
          <w:sz w:val="20"/>
        </w:rPr>
        <w:t>. Companies House (UK).</w:t>
      </w:r>
    </w:p>
    <w:p>
      <w:pPr>
        <w:spacing w:before="30" w:after="30" w:line="276" w:lineRule="auto"/>
        <w:ind w:left="360"/>
      </w:pPr>
      <w:r>
        <w:rPr>
          <w:rFonts w:ascii="Times New Roman" w:hAnsi="Times New Roman"/>
          <w:b/>
          <w:sz w:val="20"/>
        </w:rPr>
        <w:t xml:space="preserve">2. </w:t>
      </w:r>
      <w:r>
        <w:rPr>
          <w:rFonts w:ascii="Times New Roman" w:hAnsi="Times New Roman"/>
          <w:color w:val="111827"/>
          <w:sz w:val="20"/>
        </w:rPr>
        <w:t xml:space="preserve">Dobson, S., &amp; Goddard, J. (2011). </w:t>
      </w:r>
      <w:r>
        <w:rPr>
          <w:rFonts w:ascii="Times New Roman" w:hAnsi="Times New Roman"/>
          <w:i/>
          <w:color w:val="111827"/>
          <w:sz w:val="20"/>
        </w:rPr>
        <w:t>The Economics of Football</w:t>
      </w:r>
      <w:r>
        <w:rPr>
          <w:rFonts w:ascii="Times New Roman" w:hAnsi="Times New Roman"/>
          <w:color w:val="111827"/>
          <w:sz w:val="20"/>
        </w:rPr>
        <w:t xml:space="preserve"> (2nd ed.). Cambridge University Press. https://doi.org/10.1017/CBO9780511973864</w:t>
      </w:r>
    </w:p>
    <w:p>
      <w:pPr>
        <w:spacing w:before="30" w:after="30" w:line="276" w:lineRule="auto"/>
        <w:ind w:left="360"/>
      </w:pPr>
      <w:r>
        <w:rPr>
          <w:rFonts w:ascii="Times New Roman" w:hAnsi="Times New Roman"/>
          <w:b/>
          <w:sz w:val="20"/>
        </w:rPr>
        <w:t xml:space="preserve">3. </w:t>
      </w:r>
      <w:r>
        <w:rPr>
          <w:rFonts w:ascii="Times New Roman" w:hAnsi="Times New Roman"/>
          <w:color w:val="111827"/>
          <w:sz w:val="20"/>
        </w:rPr>
        <w:t xml:space="preserve">Hall, S., Szymanski, S., &amp; Zimbalist, A. S. (2002). Testing causality between team performance and payroll: The cases of Major League Baseball and English soccer. </w:t>
      </w:r>
      <w:r>
        <w:rPr>
          <w:rFonts w:ascii="Times New Roman" w:hAnsi="Times New Roman"/>
          <w:i/>
          <w:color w:val="111827"/>
          <w:sz w:val="20"/>
        </w:rPr>
        <w:t>Journal of Sports Economics</w:t>
      </w:r>
      <w:r>
        <w:rPr>
          <w:rFonts w:ascii="Times New Roman" w:hAnsi="Times New Roman"/>
          <w:color w:val="111827"/>
          <w:sz w:val="20"/>
        </w:rPr>
        <w:t>, 3(2), 149–168. https://doi.org/10.1177/152700250200300204</w:t>
      </w:r>
    </w:p>
    <w:p>
      <w:pPr>
        <w:spacing w:before="30" w:after="30" w:line="276" w:lineRule="auto"/>
        <w:ind w:left="360"/>
      </w:pPr>
      <w:r>
        <w:rPr>
          <w:rFonts w:ascii="Times New Roman" w:hAnsi="Times New Roman"/>
          <w:b/>
          <w:sz w:val="20"/>
        </w:rPr>
        <w:t xml:space="preserve">4. </w:t>
      </w:r>
      <w:r>
        <w:rPr>
          <w:rFonts w:ascii="Times New Roman" w:hAnsi="Times New Roman"/>
          <w:color w:val="111827"/>
          <w:sz w:val="20"/>
        </w:rPr>
        <w:t xml:space="preserve">Szymanski, S. (2015). </w:t>
      </w:r>
      <w:r>
        <w:rPr>
          <w:rFonts w:ascii="Times New Roman" w:hAnsi="Times New Roman"/>
          <w:i/>
          <w:color w:val="111827"/>
          <w:sz w:val="20"/>
        </w:rPr>
        <w:t>Money and Football: A Soccernomics Guide</w:t>
      </w:r>
      <w:r>
        <w:rPr>
          <w:rFonts w:ascii="Times New Roman" w:hAnsi="Times New Roman"/>
          <w:color w:val="111827"/>
          <w:sz w:val="20"/>
        </w:rPr>
        <w:t>. Nation Books. ISBN: 978-1568585260.</w:t>
      </w:r>
    </w:p>
    <w:p>
      <w:pPr>
        <w:spacing w:before="30" w:after="30" w:line="276" w:lineRule="auto"/>
        <w:ind w:left="360"/>
      </w:pPr>
      <w:r>
        <w:rPr>
          <w:rFonts w:ascii="Times New Roman" w:hAnsi="Times New Roman"/>
          <w:b/>
          <w:sz w:val="20"/>
        </w:rPr>
        <w:t xml:space="preserve">5. </w:t>
      </w:r>
      <w:r>
        <w:rPr>
          <w:rFonts w:ascii="Times New Roman" w:hAnsi="Times New Roman"/>
          <w:color w:val="111827"/>
          <w:sz w:val="20"/>
        </w:rPr>
        <w:t xml:space="preserve">Szymanski, S., &amp; Smith, R. (1997). The English football industry: profit, performance and industrial structure. </w:t>
      </w:r>
      <w:r>
        <w:rPr>
          <w:rFonts w:ascii="Times New Roman" w:hAnsi="Times New Roman"/>
          <w:i/>
          <w:color w:val="111827"/>
          <w:sz w:val="20"/>
        </w:rPr>
        <w:t>International Review of Applied Economics</w:t>
      </w:r>
      <w:r>
        <w:rPr>
          <w:rFonts w:ascii="Times New Roman" w:hAnsi="Times New Roman"/>
          <w:color w:val="111827"/>
          <w:sz w:val="20"/>
        </w:rPr>
        <w:t>, 11(1), 135–153. https://doi.org/10.1080/02692179700000008</w:t>
      </w:r>
    </w:p>
    <w:p>
      <w:pPr>
        <w:spacing w:before="30" w:after="30" w:line="276" w:lineRule="auto"/>
        <w:ind w:left="360"/>
      </w:pPr>
      <w:r>
        <w:rPr>
          <w:rFonts w:ascii="Times New Roman" w:hAnsi="Times New Roman"/>
          <w:b/>
          <w:sz w:val="20"/>
        </w:rPr>
        <w:t xml:space="preserve">6. </w:t>
      </w:r>
      <w:r>
        <w:rPr>
          <w:rFonts w:ascii="Times New Roman" w:hAnsi="Times New Roman"/>
          <w:color w:val="111827"/>
          <w:sz w:val="20"/>
        </w:rPr>
        <w:t xml:space="preserve">Understat. (2025). </w:t>
      </w:r>
      <w:r>
        <w:rPr>
          <w:rFonts w:ascii="Times New Roman" w:hAnsi="Times New Roman"/>
          <w:i/>
          <w:color w:val="111827"/>
          <w:sz w:val="20"/>
        </w:rPr>
        <w:t>Expected Goals and Advanced Analytics Database</w:t>
      </w:r>
      <w:r>
        <w:rPr>
          <w:rFonts w:ascii="Times New Roman" w:hAnsi="Times New Roman"/>
          <w:color w:val="111827"/>
          <w:sz w:val="20"/>
        </w:rPr>
        <w:t>. https://understat.com</w:t>
      </w:r>
    </w:p>
    <w:p>
      <w:pPr>
        <w:spacing w:before="30" w:after="30" w:line="276" w:lineRule="auto"/>
        <w:ind w:left="360"/>
      </w:pPr>
      <w:r>
        <w:rPr>
          <w:rFonts w:ascii="Times New Roman" w:hAnsi="Times New Roman"/>
          <w:b/>
          <w:sz w:val="20"/>
        </w:rPr>
        <w:t xml:space="preserve">7. </w:t>
      </w:r>
      <w:r>
        <w:rPr>
          <w:rFonts w:ascii="Times New Roman" w:hAnsi="Times New Roman"/>
          <w:color w:val="111827"/>
          <w:sz w:val="20"/>
        </w:rPr>
        <w:t xml:space="preserve">Premier League. (2016–2025). </w:t>
      </w:r>
      <w:r>
        <w:rPr>
          <w:rFonts w:ascii="Times New Roman" w:hAnsi="Times New Roman"/>
          <w:i/>
          <w:color w:val="111827"/>
          <w:sz w:val="20"/>
        </w:rPr>
        <w:t>Official Premier League Handbook &amp; Season Records</w:t>
      </w:r>
      <w:r>
        <w:rPr>
          <w:rFonts w:ascii="Times New Roman" w:hAnsi="Times New Roman"/>
          <w:color w:val="111827"/>
          <w:sz w:val="20"/>
        </w:rPr>
        <w:t>. Football Association Premier League Ltd.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Arsenal Football Club Longitudinal Investigation (2015/16–2024/25)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