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Претензия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(досудебный порядок урегулирования спора)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25 марта 2026 г.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От: Истец, Адрес истца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Кому: Ответчик, Адрес ответчика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УВАЖАЕМЫЙ Ответчик!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На основании ст. 15, 307, 330, 395 Гражданского кодекса Российской Федерации требую: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Погасить основной долг по договору займа от «___» __________ 20__ г. в размере 100 000 (Сто тысяч) рублей, просроченный с 15 апреля 2024 г.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Уплатить проценты за пользование чужими денежными средствами (ст. 395 ГК РФ) в сумме 5 000 (Пять тысяч) рублей, начисленные по день фактического исполнения обязательства.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Уплатить неустойку (пеню) согласно ст. 330 ГК РФ в размере 2 000 (Две тысячи) рублей.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Возместить судебный сбор (госпошлину) 3 000 (Три тысячи) рублей и расходы на юридическое сопровождение 5 000 (Пять тысяч) рублей.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ИТОГО подлежит уплате: 115 000 (Сто пятнадцать тысяч) рублей.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5. Компенсировать моральный вред в сумме 10 000 (Десять тысяч) рублей.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ОБЩАЯ СУММА ТРЕБОВАНИЙ: 125 000 (Сто двадцать пять тысяч) рублей.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Срок ответа – 30 (тридцать) календарных дней со дня получения настоящей претензии (ст. 452 ГК РФ).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Возможные пути разрешения спора и их оценка: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Добровольное исполнение (15–25 % вероятность)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Плюсы: быстро, без суда, экономия 8 000 руб. судебных расходов.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Минусы: требует полной готовности Ответчика немедленно перевести 125 000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Срок: 1–7 дней после получения претензии.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Действия: перечислить полную сумму на расчётный счёт Истца и направить копию платёжки.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Рассрочка / отсрочка (30–40 % вероятность)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Плюсы: избегание исполнительного производства, возможность сохранить деловую репутацию.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Минусы: требуется обеспечение (поручитель, залог, банковская гарантия); риск новой просрочки.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Срок: согласование в течение 30 дней, затем ежемесячные платежи.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Действия: в письменном ответе приложить график платежей и документы обеспечения.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Мировое соглашение (50–60 % вероятность)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Плюсы: уменьшение общей суммы спора до 90–100 тыс. руб.; иск не будет опубликован в картотеке; срок вынесения судебного приказа – 5 дней.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Минусы: обязательство признать долг частично; при нарушении соглашения – иск сразу к исполнению.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Срок: подача в суд в течение 30 дней, рассмотрение – до 1 месяца.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Действия: направить проект соглашения одновременно с ответом на претензию.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Судебное взыскание (85–90 % вероятность)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Плюсы: решение обязательно к исполнению; взыскиваются дополнительные 7 % исполнительского сбора, пеня до дня погашения, ограничение на выезд за границу, арест счетов и имущества.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Минусы: расходы 8 000 руб. + оплата представителя минимум 15 000 руб.; срок рассмотрения – до 2 месяцев; публичность исполнительного производства.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Срок: подача искового заявления – с 25 апреля 2026 г.; рассмотрение – 1–2 месяца; получение исполнительного листа – ещё 5 дней; принудительное взыскание – до 2 лет.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ПРЕДУПРЕЖДЕНИЕ: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В случае отказа либо бездействия в течение 30 дней вопрос будет передан в Мировой суд для выдачи судебного приказа (ст. 122 ГПК РФ), после чего: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на Вас будет возложен исполнительский сбор 7 % от суммы долга;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начнётся ежедневное начисление пени и процентов;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возможен арест банковских счетов, запрет на регистрационные действия с автотранспортом и недвижимостью, временное ограничение на выезд из РФ (ст. 67 ФЗ «Об исполнительном производстве»).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Все претензионные переговоры фиксируются письменно. Оснований для отказа от досудебного урегулирования законом не предусмотрено.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Прошу в установленный законом срок письменно сообщить о выбранном способе урегулирования и приложить копии подтверждающих документов.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 уважением,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_________________ Истец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моб.: _____________ e-mail: _____________</w:t>
      </w:r>
    </w:p>
    <w:p/>
    <w:p>
      <w:pPr>
        <w:jc w:val="right"/>
      </w:pPr>
      <w:r>
        <w:rPr>
          <w:rFonts w:ascii="Times New Roman" w:hAnsi="Times New Roman" w:eastAsia="Times New Roman"/>
          <w:sz w:val="24"/>
        </w:rPr>
        <w:br/>
        <w:t>«___» ___________ 2026 г.</w:t>
        <w:br/>
        <w:br/>
        <w:t>_________________ / _________________ 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