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**Стратегия защиты в судебном процессе**</w:t>
      </w:r>
    </w:p>
    <w:p>
      <w:r>
        <w:t>**Мировой судья судебного участка № ___**</w:t>
      </w:r>
    </w:p>
    <w:p>
      <w:r>
        <w:t>**Анализ дела:**</w:t>
      </w:r>
    </w:p>
    <w:p>
      <w:r>
        <w:t>По сведениям истца, ответчик обязан погасить долг в размере 100 000 рублей, срок погашения которого истек 15 апреля 2024 года. Истец требует уплаты долга, процентов в размере 5 000 рублей, штрафа в размере 2 000 рублей, судебной сборы в размере 3 000 рублей, юридических услуг в размере 5 000 рублей, а также морального вреда в размере 10 000 рублей, что в сумме составляет 5 000 рублей (ст. 34 Гражданского кодекса Российской Федерации).</w:t>
      </w:r>
    </w:p>
    <w:p>
      <w:r>
        <w:t>**Правовое обоснование:**</w:t>
      </w:r>
    </w:p>
    <w:p>
      <w:r>
        <w:t>1. В случае несогласия с долговым обязательством, ответчик вправе предъявить иск на уплату долга с учетом ст. 329 ГК РФ.</w:t>
      </w:r>
    </w:p>
    <w:p>
      <w:r>
        <w:t>2. Относительно процентов и штрафа, ответчик может обосновать их неправомерность или неблагоприятность согласно ст. 401 и ст. 404 ГК РФ.</w:t>
      </w:r>
    </w:p>
    <w:p>
      <w:r>
        <w:t>3. С учетом ст. 34 ГК РФ, требование о возмещении морального вреда подлежит доказательству и оценке судом.</w:t>
      </w:r>
    </w:p>
    <w:p>
      <w:r>
        <w:t>4. С учетом ст. 41.1 ГК РФ, ответчик имеет право на защиту в суде и может предъявить контратенз, если есть основания.</w:t>
      </w:r>
    </w:p>
    <w:p>
      <w:r>
        <w:t>**Тактика защиты:**</w:t>
      </w:r>
    </w:p>
    <w:p>
      <w:r>
        <w:t>1. Провести тщательный анализ доказательств, представленных истцом, для выявления несоответствий и неправомерных требований.</w:t>
      </w:r>
    </w:p>
    <w:p>
      <w:r>
        <w:t>2. Оспорить размер процентов и штрафа, ссылаясь на ст. 401 и ст. 404 ГК РФ.</w:t>
      </w:r>
    </w:p>
    <w:p>
      <w:r>
        <w:t>3. В случае недостатка доказательств вины ответчика в просрочке погашения долга, обратить внимание на ст. 329 ГК РФ.</w:t>
      </w:r>
    </w:p>
    <w:p>
      <w:r>
        <w:t>4. В отношении требования о возмещении морального вреда, подготовить доказательства его необоснованности в соответствии с ст. 34 ГК РФ.</w:t>
      </w:r>
    </w:p>
    <w:p>
      <w:r>
        <w:t>5. Рассмотреть возможность предъявления контратенз в пользу ответчика на основании ст. 41.1 ГК РФ.</w:t>
      </w:r>
    </w:p>
    <w:p>
      <w:r>
        <w:t>**Календарный план:**</w:t>
      </w:r>
    </w:p>
    <w:p>
      <w:r>
        <w:t>1. В течение 10 дней с даты получения дела - изучение материалов дела и подготовка стратегии защиты.</w:t>
      </w:r>
    </w:p>
    <w:p>
      <w:r>
        <w:t>2. В течение 15 дней с даты получения дела - подготовка и представление ответного заявления в суд.</w:t>
      </w:r>
    </w:p>
    <w:p>
      <w:r>
        <w:t>3. В течение 20 дней с даты получения дела - сбор и анализ дополнительных документов и свидетельств.</w:t>
      </w:r>
    </w:p>
    <w:p>
      <w:r>
        <w:t>4. В день судебного заседания - защита ответчика, представление доказательств и аргументов.</w:t>
      </w:r>
    </w:p>
    <w:p>
      <w:r>
        <w:t>**Оценка рисков:**</w:t>
      </w:r>
    </w:p>
    <w:p>
      <w:r>
        <w:t>1. Неподготовленность к судебному процессу может привести к неблагоприятному решению.</w:t>
      </w:r>
    </w:p>
    <w:p>
      <w:r>
        <w:t>2. Недостаток доказательств может сделать возможным отсутствие удовлетворения интересов ответчика.</w:t>
      </w:r>
    </w:p>
    <w:p>
      <w:r>
        <w:t>3. Некорректная оценка размера долга и возмещения может привести к увеличению финансовых обязательств ответчика.</w:t>
      </w:r>
    </w:p>
    <w:p>
      <w:r>
        <w:t>**Заключение:**</w:t>
      </w:r>
    </w:p>
    <w:p>
      <w:r>
        <w:t>В соответствии с требованиями и анализом дела, стратегия защиты ответчика должна быть ориентирована на защиту его прав и законных интересов, соблюдение правового процесса и представление обоснованных аргументов в суде.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