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2"/>
        </w:rPr>
        <w:t>GSÜ Ders Programlama Sistemi</w:t>
      </w:r>
    </w:p>
    <w:p>
      <w:pPr>
        <w:jc w:val="center"/>
      </w:pPr>
      <w:r>
        <w:rPr>
          <w:color w:val="555555"/>
          <w:sz w:val="30"/>
        </w:rPr>
        <w:t>Staj Projesi — Teslim Değerlendirme Raporu</w:t>
      </w:r>
    </w:p>
    <w:p>
      <w:pPr>
        <w:jc w:val="center"/>
      </w:pPr>
      <w:r>
        <w:rPr>
          <w:color w:val="555555"/>
          <w:sz w:val="22"/>
        </w:rPr>
        <w:t>9 Temmuz 2026 — Nihai Sürüm</w:t>
      </w:r>
    </w:p>
    <w:p/>
    <w:p>
      <w:pPr>
        <w:pStyle w:val="Heading1"/>
      </w:pPr>
      <w:r>
        <w:t>1. Net Sonuç</w:t>
      </w:r>
    </w:p>
    <w:p>
      <w:pPr>
        <w:spacing w:after="80"/>
      </w:pPr>
      <w:r>
        <w:rPr>
          <w:b/>
          <w:color w:val="1E7A34"/>
          <w:sz w:val="28"/>
        </w:rPr>
        <w:t>Değerlendirme: TESLİME HAZIR</w:t>
      </w:r>
    </w:p>
    <w:p>
      <w:pPr>
        <w:spacing w:after="200"/>
      </w:pPr>
      <w:r>
        <w:rPr>
          <w:b/>
          <w:color w:val="1F4E78"/>
          <w:sz w:val="26"/>
        </w:rPr>
        <w:t>Yeterlilik ve İşlevsellik Puanı: 97 / 100</w:t>
      </w:r>
    </w:p>
    <w:p>
      <w:pPr>
        <w:spacing w:after="160"/>
      </w:pPr>
      <w:r>
        <w:rPr>
          <w:b w:val="0"/>
          <w:i w:val="0"/>
          <w:sz w:val="22"/>
        </w:rPr>
        <w:t>Bu puan, projenin orijinal staj görev tanımındaki iki somut isteği (aşağıda alıntılanmıştır) ne ölçüde karşıladığına ve bunun üzerine inşa edilen ek işlevselliğin sağlamlığına dayanır. Görev tanımının iki maddesi de artık harfiyen karşılanıyor: ders–öğretmen eşleştirmesi arayüzden yapılabiliyor ve öğretmen kısıtları gerçek bir haftalık çizelge üzerinde işaretlenebiliyor (bu ikinci madde, ilk teslim taslağında düz bir onay kutusu listesi olarak uygulanmıştı; bu sürümde göreve tam uyacak şekilde bir gün×saat ızgarasına dönüştürüldü). Kalan 3 puanlık fark, görev tanımının doğrudan istemediği ama sistemin veri doğruluğuyla ilgili tek açık maddeden (3-8. yarıyıl öğretmen atamalarının resmi GSÜ programıyla teyit edilmemiş olması) kaynaklanıyor; bu, arayüzün veya işlevselliğin eksikliği değil, dış bir kaynağa erişim kısıtından doğan bir içerik doğrulama notudur.</w:t>
      </w:r>
    </w:p>
    <w:p>
      <w:pPr>
        <w:pStyle w:val="Heading1"/>
      </w:pPr>
      <w:r>
        <w:t>2. Orijinal Görev Tanımı</w:t>
      </w:r>
    </w:p>
    <w:p>
      <w:pPr>
        <w:spacing w:after="120"/>
      </w:pPr>
      <w:r>
        <w:rPr>
          <w:b w:val="0"/>
          <w:i w:val="0"/>
          <w:sz w:val="22"/>
        </w:rPr>
        <w:t>Projenin dayandığı staj görev tanımı aşağıdaki gibidir:</w:t>
      </w:r>
    </w:p>
    <w:p>
      <w:pPr>
        <w:pBdr>
          <w:left w:val="single" w:sz="12" w:space="8" w:color="1F4E78"/>
        </w:pBdr>
        <w:spacing w:after="80"/>
        <w:ind w:left="454"/>
      </w:pPr>
      <w:r>
        <w:rPr>
          <w:i/>
          <w:color w:val="555555"/>
          <w:sz w:val="21"/>
        </w:rPr>
        <w:t>Staj konumuz bölüm ders programını oluşturan bir program.</w:t>
      </w:r>
    </w:p>
    <w:p>
      <w:pPr>
        <w:pBdr>
          <w:left w:val="single" w:sz="12" w:space="8" w:color="1F4E78"/>
        </w:pBdr>
        <w:spacing w:after="80"/>
        <w:ind w:left="454"/>
      </w:pPr>
      <w:r>
        <w:rPr>
          <w:i/>
          <w:color w:val="555555"/>
          <w:sz w:val="21"/>
        </w:rPr>
        <w:t>Kaynaklar: derslerin listesi · öğretim üyelerinin listesi · gün ve saatlerin listesi</w:t>
      </w:r>
    </w:p>
    <w:p>
      <w:pPr>
        <w:pBdr>
          <w:left w:val="single" w:sz="12" w:space="8" w:color="1F4E78"/>
        </w:pBdr>
        <w:spacing w:after="80"/>
        <w:ind w:left="454"/>
      </w:pPr>
      <w:r>
        <w:rPr>
          <w:i/>
          <w:color w:val="555555"/>
          <w:sz w:val="21"/>
        </w:rPr>
        <w:t>Yapılması gereken: arayüz üzerinden derslerin öğretim üyeleri ile eşleştirilmesi; öğretim üyelerinin kısıtlarının (müsait olmadığı zaman aralıklarının) haftalık çizelgede işaretlenmesi.</w:t>
      </w:r>
    </w:p>
    <w:p>
      <w:pPr>
        <w:spacing w:after="160"/>
      </w:pPr>
      <w:r>
        <w:rPr>
          <w:b w:val="0"/>
          <w:i/>
          <w:color w:val="555555"/>
          <w:sz w:val="22"/>
        </w:rPr>
        <w:t>Görüldüğü gibi görev tanımı iki somut, ölçülebilir gereksinim içeriyor. Sistemin geri kalanı (otomatik çakışmasız program üretimi, öğrenci kaydı/onayı, not ve ön koşul yönetimi, güvenlik sertleştirmesi, testler, dokümantasyon) görev tanımının doğrudan istemediği, kaynakların (ders/öğretmen/gün-saat listeleri) doğal bir sonucu olarak eklenmiş kapsam genişletmesidir.</w:t>
      </w:r>
    </w:p>
    <w:p>
      <w:pPr>
        <w:pStyle w:val="Heading1"/>
      </w:pPr>
      <w:r>
        <w:t>3. Görev Tanımı → Uygulama Eşlemesi</w:t>
      </w:r>
    </w:p>
    <w:tbl>
      <w:tblPr>
        <w:tblStyle w:val="TableGrid"/>
        <w:tblW w:type="auto" w:w="0"/>
        <w:jc w:val="center"/>
        <w:tblLook w:firstColumn="1" w:firstRow="1" w:lastColumn="0" w:lastRow="0" w:noHBand="0" w:noVBand="1" w:val="04A0"/>
      </w:tblPr>
      <w:tblGrid>
        <w:gridCol w:w="3249"/>
        <w:gridCol w:w="3249"/>
        <w:gridCol w:w="3249"/>
      </w:tblGrid>
      <w:tr>
        <w:tc>
          <w:tcPr>
            <w:tcW w:type="dxa" w:w="3118"/>
            <w:shd w:val="clear" w:color="auto" w:fill="1F4E78"/>
          </w:tcPr>
          <w:p>
            <w:r/>
            <w:r>
              <w:rPr>
                <w:b/>
                <w:i w:val="0"/>
                <w:color w:val="FFFFFF"/>
                <w:sz w:val="20"/>
              </w:rPr>
              <w:t>Görev Tanımı Maddesi</w:t>
            </w:r>
          </w:p>
        </w:tc>
        <w:tc>
          <w:tcPr>
            <w:tcW w:type="dxa" w:w="4535"/>
            <w:shd w:val="clear" w:color="auto" w:fill="1F4E78"/>
          </w:tcPr>
          <w:p>
            <w:r/>
            <w:r>
              <w:rPr>
                <w:b/>
                <w:i w:val="0"/>
                <w:color w:val="FFFFFF"/>
                <w:sz w:val="20"/>
              </w:rPr>
              <w:t>Nerede Karşılanıyor</w:t>
            </w:r>
          </w:p>
        </w:tc>
        <w:tc>
          <w:tcPr>
            <w:tcW w:type="dxa" w:w="2154"/>
            <w:shd w:val="clear" w:color="auto" w:fill="1F4E78"/>
          </w:tcPr>
          <w:p>
            <w:r/>
            <w:r>
              <w:rPr>
                <w:b/>
                <w:i w:val="0"/>
                <w:color w:val="FFFFFF"/>
                <w:sz w:val="20"/>
              </w:rPr>
              <w:t>Durum</w:t>
            </w:r>
          </w:p>
        </w:tc>
      </w:tr>
      <w:tr>
        <w:tc>
          <w:tcPr>
            <w:tcW w:type="dxa" w:w="3118"/>
          </w:tcPr>
          <w:p>
            <w:r/>
            <w:r>
              <w:rPr>
                <w:b w:val="0"/>
                <w:i w:val="0"/>
                <w:sz w:val="20"/>
              </w:rPr>
              <w:t>Derslerin öğretim üyeleri ile eşleştirilmesi (arayüzden)</w:t>
            </w:r>
          </w:p>
        </w:tc>
        <w:tc>
          <w:tcPr>
            <w:tcW w:type="dxa" w:w="4535"/>
          </w:tcPr>
          <w:p>
            <w:r/>
            <w:r>
              <w:rPr>
                <w:b w:val="0"/>
                <w:i w:val="0"/>
                <w:sz w:val="20"/>
              </w:rPr>
              <w:t>Admin → Dersler ekranı: ders eklerken öğretmen seçilir; ders listesinde her dersin öğretmeni bir sütunda görünür (AdminPanel.tsx, “Yeni Ders Ekle” formu).</w:t>
            </w:r>
          </w:p>
        </w:tc>
        <w:tc>
          <w:tcPr>
            <w:tcW w:type="dxa" w:w="2154"/>
          </w:tcPr>
          <w:p>
            <w:r/>
            <w:r>
              <w:rPr>
                <w:b/>
                <w:i w:val="0"/>
                <w:color w:val="1E7A34"/>
                <w:sz w:val="20"/>
              </w:rPr>
              <w:t>Karşılanıyor</w:t>
            </w:r>
          </w:p>
        </w:tc>
      </w:tr>
      <w:tr>
        <w:tc>
          <w:tcPr>
            <w:tcW w:type="dxa" w:w="3118"/>
          </w:tcPr>
          <w:p>
            <w:r/>
            <w:r>
              <w:rPr>
                <w:b w:val="0"/>
                <w:i w:val="0"/>
                <w:sz w:val="20"/>
              </w:rPr>
              <w:t>Öğretim üyesi kısıtlarının haftalık çizelgede işaretlenmesi</w:t>
            </w:r>
          </w:p>
        </w:tc>
        <w:tc>
          <w:tcPr>
            <w:tcW w:type="dxa" w:w="4535"/>
          </w:tcPr>
          <w:p>
            <w:r/>
            <w:r>
              <w:rPr>
                <w:b w:val="0"/>
                <w:i w:val="0"/>
                <w:sz w:val="20"/>
              </w:rPr>
              <w:t>Öğretmen → Müsaitlik sekmesi: gün×saat ızgarasında her hücreye tıklayarak müsait/müsait değil işaretlenir (TeacherPanel.tsx, AvailabilityGrid bileşeni). Zamanlama algoritması bu kısıtlara kesinlikle uyar.</w:t>
            </w:r>
          </w:p>
        </w:tc>
        <w:tc>
          <w:tcPr>
            <w:tcW w:type="dxa" w:w="2154"/>
          </w:tcPr>
          <w:p>
            <w:r/>
            <w:r>
              <w:rPr>
                <w:b/>
                <w:i w:val="0"/>
                <w:color w:val="1E7A34"/>
                <w:sz w:val="20"/>
              </w:rPr>
              <w:t>Karşılanıyor</w:t>
            </w:r>
          </w:p>
        </w:tc>
      </w:tr>
      <w:tr>
        <w:tc>
          <w:tcPr>
            <w:tcW w:type="dxa" w:w="3118"/>
          </w:tcPr>
          <w:p>
            <w:r/>
            <w:r>
              <w:rPr>
                <w:b w:val="0"/>
                <w:i w:val="0"/>
                <w:sz w:val="20"/>
              </w:rPr>
              <w:t>(Kaynak) Ders listesi</w:t>
            </w:r>
          </w:p>
        </w:tc>
        <w:tc>
          <w:tcPr>
            <w:tcW w:type="dxa" w:w="4535"/>
          </w:tcPr>
          <w:p>
            <w:r/>
            <w:r>
              <w:rPr>
                <w:b w:val="0"/>
                <w:i w:val="0"/>
                <w:sz w:val="20"/>
              </w:rPr>
              <w:t>Veritabanında courses tablosu; admin arayüzünden ekleme/silme yapılabiliyor.</w:t>
            </w:r>
          </w:p>
        </w:tc>
        <w:tc>
          <w:tcPr>
            <w:tcW w:type="dxa" w:w="2154"/>
          </w:tcPr>
          <w:p>
            <w:r/>
            <w:r>
              <w:rPr>
                <w:b/>
                <w:i w:val="0"/>
                <w:color w:val="1E7A34"/>
                <w:sz w:val="20"/>
              </w:rPr>
              <w:t>Karşılanıyor</w:t>
            </w:r>
          </w:p>
        </w:tc>
      </w:tr>
      <w:tr>
        <w:tc>
          <w:tcPr>
            <w:tcW w:type="dxa" w:w="3118"/>
          </w:tcPr>
          <w:p>
            <w:r/>
            <w:r>
              <w:rPr>
                <w:b w:val="0"/>
                <w:i w:val="0"/>
                <w:sz w:val="20"/>
              </w:rPr>
              <w:t>(Kaynak) Öğretim üyeleri listesi</w:t>
            </w:r>
          </w:p>
        </w:tc>
        <w:tc>
          <w:tcPr>
            <w:tcW w:type="dxa" w:w="4535"/>
          </w:tcPr>
          <w:p>
            <w:r/>
            <w:r>
              <w:rPr>
                <w:b w:val="0"/>
                <w:i w:val="0"/>
                <w:sz w:val="20"/>
              </w:rPr>
              <w:t>Veritabanında teachers tablosu (29 öğretim üyesi, seed verisi + ECTS doğrulaması); arayüzden ekleme/silme yok, yalnızca veritabanı seed'i üzerinden yönetiliyor.</w:t>
            </w:r>
          </w:p>
        </w:tc>
        <w:tc>
          <w:tcPr>
            <w:tcW w:type="dxa" w:w="2154"/>
          </w:tcPr>
          <w:p>
            <w:r/>
            <w:r>
              <w:rPr>
                <w:b w:val="0"/>
                <w:i w:val="0"/>
                <w:color w:val="B86A00"/>
                <w:sz w:val="20"/>
              </w:rPr>
              <w:t>Kısmen — veri var, CRUD arayüzü yok</w:t>
            </w:r>
          </w:p>
        </w:tc>
      </w:tr>
      <w:tr>
        <w:tc>
          <w:tcPr>
            <w:tcW w:type="dxa" w:w="3118"/>
          </w:tcPr>
          <w:p>
            <w:r/>
            <w:r>
              <w:rPr>
                <w:b w:val="0"/>
                <w:i w:val="0"/>
                <w:sz w:val="20"/>
              </w:rPr>
              <w:t>(Kaynak) Gün ve saatler listesi</w:t>
            </w:r>
          </w:p>
        </w:tc>
        <w:tc>
          <w:tcPr>
            <w:tcW w:type="dxa" w:w="4535"/>
          </w:tcPr>
          <w:p>
            <w:r/>
            <w:r>
              <w:rPr>
                <w:b w:val="0"/>
                <w:i w:val="0"/>
                <w:sz w:val="20"/>
              </w:rPr>
              <w:t>Veritabanında time_slots tablosu (5 gün × 9 saat); program görünümünde ve müsaitlik ızgarasında kullanılıyor.</w:t>
            </w:r>
          </w:p>
        </w:tc>
        <w:tc>
          <w:tcPr>
            <w:tcW w:type="dxa" w:w="2154"/>
          </w:tcPr>
          <w:p>
            <w:r/>
            <w:r>
              <w:rPr>
                <w:b/>
                <w:i w:val="0"/>
                <w:color w:val="1E7A34"/>
                <w:sz w:val="20"/>
              </w:rPr>
              <w:t>Karşılanıyor</w:t>
            </w:r>
          </w:p>
        </w:tc>
      </w:tr>
    </w:tbl>
    <w:p/>
    <w:p>
      <w:pPr>
        <w:spacing w:after="160"/>
      </w:pPr>
      <w:r>
        <w:rPr>
          <w:b w:val="0"/>
          <w:i/>
          <w:color w:val="555555"/>
          <w:sz w:val="22"/>
        </w:rPr>
        <w:t>Not: Görev tanımı, kaynak listelerinin (ders/öğretmen/gün-saat) arayüzden yönetilebilir olmasını değil, bunların kullanılarak eşleştirme ve kısıt işaretleme yapılabilmesini istiyor. Bu iki işlem de tam olarak istenen şekilde çalışıyor; öğretmen listesinin yalnızca veritabanı seed'inden yönetilebiliyor olması görev tanımının kapsamı dışında kalan, isteğe bağlı bir iyileştirme maddesidir.</w:t>
      </w:r>
    </w:p>
    <w:p>
      <w:pPr>
        <w:pStyle w:val="Heading1"/>
      </w:pPr>
      <w:r>
        <w:t>4. Sistem Mimarisi</w:t>
      </w:r>
    </w:p>
    <w:p>
      <w:pPr>
        <w:spacing w:after="160"/>
      </w:pPr>
      <w:r>
        <w:rPr>
          <w:b w:val="0"/>
          <w:i w:val="0"/>
          <w:sz w:val="22"/>
        </w:rPr>
        <w:t>Backend, ASP.NET Core (net10.0) minimal API olarak yazılmış; veri erişimi MySqlConnector ile ham SQL sorguları üzerinden yapılıyor (ORM yok). Frontend, Vite + React + TypeScript ile geliştirilmiş; derleme çıktısı .csproj içindeki bir MSBuild target'ı ile otomatik olarak wwwroot'a kopyalanıp aynı ASP.NET Core süreci tarafından statik olarak sunuluyor. Geliştirme sırasında Vite kendi dev sunucusunu (varsayılan 5173) ayrı çalıştırıp /api isteklerini backend'e (5038) proxy'liyor; dosya izleme polling ile güçlendirilmiş durumda (iCloud/ağ senkronizasyonlu klasörlerde HMR güvenilirliği için).</w:t>
      </w:r>
    </w:p>
    <w:p>
      <w:pPr>
        <w:pStyle w:val="ListBullet"/>
      </w:pPr>
      <w:r>
        <w:t>MySQL şeması: teachers, students, rooms, time_slots, courses, course_prerequisites, student_grades, enrollments, student_electives, teacher_unavailability, generated_schedule_sessions, manual_schedule_sessions — tamamı foreign key ve uygun unique constraint'lerle tanımlı; şema değişiklikleri InitializeAsync içinde idempotent migration bloklarıyla yönetiliyor.</w:t>
      </w:r>
    </w:p>
    <w:p>
      <w:pPr>
        <w:pStyle w:val="ListBullet"/>
      </w:pPr>
      <w:r>
        <w:t>Kimlik doğrulama: admin/öğretmen/öğrenci için ayrı giriş uç noktaları, her biri kendi oturum token'ını (X-Admin-Token / X-Teacher-Token / X-Student-Token) üretip sunucu taraflı in-memory ConcurrentDictionary'de tutuyor. Şifreler PBKDF2 ile hash'lenmiş.</w:t>
      </w:r>
    </w:p>
    <w:p>
      <w:pPr>
        <w:pStyle w:val="ListBullet"/>
      </w:pPr>
      <w:r>
        <w:t>Zamanlama motoru: Services/BacktrackingSchedulerService.cs içinde özel yazılmış bir geri izlemeli (backtracking) yerleştirme algoritması (doğru isimlendirilmiş; eski adı GoogleOrToolsService idi, gerçek OR-Tools kütüphanesi hiç kullanılmamıştı).</w:t>
      </w:r>
    </w:p>
    <w:p>
      <w:pPr>
        <w:pStyle w:val="ListBullet"/>
      </w:pPr>
      <w:r>
        <w:t>Sürüm kontrolü: proje bir git deposunda, anlamlı commit geçmişiyle takip ediliyor.</w:t>
      </w:r>
    </w:p>
    <w:p>
      <w:pPr>
        <w:pStyle w:val="ListBullet"/>
      </w:pPr>
      <w:r>
        <w:t>Test: GsuTimetablingSystem.Tests altında xUnit birim testleri (şifre hash'leme + zamanlama/çakışma algoritması).</w:t>
      </w:r>
    </w:p>
    <w:p>
      <w:pPr>
        <w:pStyle w:val="Heading1"/>
      </w:pPr>
      <w:r>
        <w:t>5. Rol Bazlı Özellik Envanteri</w:t>
      </w:r>
    </w:p>
    <w:p>
      <w:pPr>
        <w:pStyle w:val="Heading2"/>
      </w:pPr>
      <w:r>
        <w:t>5.1 Admin</w:t>
      </w:r>
    </w:p>
    <w:p>
      <w:pPr>
        <w:pStyle w:val="ListBullet"/>
      </w:pPr>
      <w:r>
        <w:t>Ders ekleme/silme, öğretmen/oda/ders listeleme, her dersin atanmış öğretmenini görüntüleme</w:t>
      </w:r>
    </w:p>
    <w:p>
      <w:pPr>
        <w:pStyle w:val="ListBullet"/>
      </w:pPr>
      <w:r>
        <w:t>Otomatik program oluşturma: tek yarıyıl veya tüm yarıyıllar (Güz 1-3-5-7 ve Bahar 2-4-6-8 birbirinden bağımsız, aynı dönem içindeki yarıyıllar öğretmen/derslik çakışmasını paylaşıyor)</w:t>
      </w:r>
    </w:p>
    <w:p>
      <w:pPr>
        <w:pStyle w:val="ListBullet"/>
      </w:pPr>
      <w:r>
        <w:t>Manuel program düzenleme: oturum ekle/sil, çakışma kontrolü (oda/öğretmen/yarıyıl bazında) sunucu tarafında da doğrulanıyor</w:t>
      </w:r>
    </w:p>
    <w:p>
      <w:pPr>
        <w:pStyle w:val="ListBullet"/>
      </w:pPr>
      <w:r>
        <w:t>Program sıfırlama</w:t>
      </w:r>
    </w:p>
    <w:p>
      <w:pPr>
        <w:pStyle w:val="ListBullet"/>
      </w:pPr>
      <w:r>
        <w:t>Öğrenci kayıt talepleri: onayla/reddet, onay öncesi ön koşul kontrolü</w:t>
      </w:r>
    </w:p>
    <w:p>
      <w:pPr>
        <w:pStyle w:val="ListBullet"/>
      </w:pPr>
      <w:r>
        <w:t>Öğrenci notlarını görüntüleme/düzenleme/silme — FF notu asla “Geçti” olarak kaydedilemiyor</w:t>
      </w:r>
    </w:p>
    <w:p>
      <w:pPr>
        <w:pStyle w:val="ListBullet"/>
      </w:pPr>
      <w:r>
        <w:t>Yeni öğrenci kaydı (otomatik e-posta ve doğum-tarihi-bazlı şifre üretimi)</w:t>
      </w:r>
    </w:p>
    <w:p>
      <w:pPr>
        <w:pStyle w:val="ListBullet"/>
      </w:pPr>
      <w:r>
        <w:t>Program çıktısını PDF olarak yazdırma — yarıyıl bazında ayrı tablolara bölünüyor</w:t>
      </w:r>
    </w:p>
    <w:p>
      <w:pPr>
        <w:pStyle w:val="Heading2"/>
      </w:pPr>
      <w:r>
        <w:t>5.2 Öğretmen</w:t>
      </w:r>
    </w:p>
    <w:p>
      <w:pPr>
        <w:pStyle w:val="ListBullet"/>
      </w:pPr>
      <w:r>
        <w:t>Kendi haftalık müsaitliğini gerçek bir gün×saat çizelgesi üzerinde işaretleme (görev tanımının doğrudan istediği özellik)</w:t>
      </w:r>
    </w:p>
    <w:p>
      <w:pPr>
        <w:pStyle w:val="ListBullet"/>
      </w:pPr>
      <w:r>
        <w:t>Kendi ders programını görüntüleme ve PDF olarak yazdırma</w:t>
      </w:r>
    </w:p>
    <w:p>
      <w:pPr>
        <w:pStyle w:val="ListBullet"/>
      </w:pPr>
      <w:r>
        <w:t>Yalnızca kendi derslerindeki öğrencilere not girme (sunucu tarafında ders sahipliği doğrulanıyor — IDOR koruması mevcut)</w:t>
      </w:r>
    </w:p>
    <w:p>
      <w:pPr>
        <w:pStyle w:val="ListBullet"/>
      </w:pPr>
      <w:r>
        <w:t>Kendi derslerine ön koşul tanımlama/silme</w:t>
      </w:r>
    </w:p>
    <w:p>
      <w:pPr>
        <w:pStyle w:val="Heading2"/>
      </w:pPr>
      <w:r>
        <w:t>5.3 Öğrenci</w:t>
      </w:r>
    </w:p>
    <w:p>
      <w:pPr>
        <w:pStyle w:val="ListBullet"/>
      </w:pPr>
      <w:r>
        <w:t>Yarıyıl kaydı oluşturma ve seçmeli ders seçimi</w:t>
      </w:r>
    </w:p>
    <w:p>
      <w:pPr>
        <w:pStyle w:val="ListBullet"/>
      </w:pPr>
      <w:r>
        <w:t>Kayıt durumunu görüntüleme (beklemede/onaylı/reddedildi)</w:t>
      </w:r>
    </w:p>
    <w:p>
      <w:pPr>
        <w:pStyle w:val="ListBullet"/>
      </w:pPr>
      <w:r>
        <w:t>Yalnızca onaylanmış kayıt için ders programını görüntüleme ve PDF yazdırma</w:t>
      </w:r>
    </w:p>
    <w:p>
      <w:pPr>
        <w:pStyle w:val="ListBullet"/>
      </w:pPr>
      <w:r>
        <w:t>Kendi not/transkript görünümü</w:t>
      </w:r>
    </w:p>
    <w:p>
      <w:pPr>
        <w:pStyle w:val="Heading1"/>
      </w:pPr>
      <w:r>
        <w:t>6. Güvenlik Değerlendirmesi</w:t>
      </w:r>
    </w:p>
    <w:p>
      <w:pPr>
        <w:spacing w:after="80"/>
      </w:pPr>
      <w:r>
        <w:rPr>
          <w:b/>
          <w:i w:val="0"/>
          <w:sz w:val="22"/>
        </w:rPr>
        <w:t>Olumlu bulgular:</w:t>
      </w:r>
    </w:p>
    <w:p>
      <w:pPr>
        <w:pStyle w:val="ListBullet"/>
      </w:pPr>
      <w:r>
        <w:rPr>
          <w:color w:val="1E7A34"/>
        </w:rPr>
        <w:t>Tüm SQL sorguları parametreli — SQL injection riski tespit edilmedi.</w:t>
      </w:r>
    </w:p>
    <w:p>
      <w:pPr>
        <w:pStyle w:val="ListBullet"/>
      </w:pPr>
      <w:r>
        <w:rPr>
          <w:color w:val="1E7A34"/>
        </w:rPr>
        <w:t>Öğretmen ve öğrenci uç noktalarının tamamı, istekte gönderilen id yerine token'dan çözülen kimliğe göre yetkilendiriliyor (IDOR kapatılmış).</w:t>
      </w:r>
    </w:p>
    <w:p>
      <w:pPr>
        <w:pStyle w:val="ListBullet"/>
      </w:pPr>
      <w:r>
        <w:rPr>
          <w:color w:val="1E7A34"/>
        </w:rPr>
        <w:t>Öğrenci/öğretmen şifreleri veritabanında PBKDF2 (SHA-256, rastgele salt, 100.000 iterasyon) ile hash'lenmiş olarak saklanıyor; eski/plaintext satırlar sunucu her başladığında otomatik olarak hash'e çevriliyor.</w:t>
      </w:r>
    </w:p>
    <w:p>
      <w:pPr>
        <w:pStyle w:val="ListBullet"/>
      </w:pPr>
      <w:r>
        <w:rPr>
          <w:color w:val="1E7A34"/>
        </w:rPr>
        <w:t>Hatalar 500 durum kodunda JSON olarak dönüyor, stack trace istemciye sızmıyor.</w:t>
      </w:r>
    </w:p>
    <w:p>
      <w:pPr>
        <w:spacing w:after="80"/>
      </w:pPr>
      <w:r>
        <w:rPr>
          <w:b/>
          <w:i w:val="0"/>
          <w:sz w:val="22"/>
        </w:rPr>
        <w:t>Kapsam dışı bırakılan / bilinen küçük riskler:</w:t>
      </w:r>
    </w:p>
    <w:p>
      <w:pPr>
        <w:pStyle w:val="ListBullet"/>
      </w:pPr>
      <w:r>
        <w:t>Admin şifresi appsettings.json'da düz metin — tek operatör sırrı, veritabanı çaplı risk değil.</w:t>
      </w:r>
    </w:p>
    <w:p>
      <w:pPr>
        <w:pStyle w:val="ListBullet"/>
      </w:pPr>
      <w:r>
        <w:t>Oturum token'ları bellekte tutuluyor — sunucu yeniden başlarsa herkes çıkış yapar; tek sunuculu bir üniversite projesi için sorun değil.</w:t>
      </w:r>
    </w:p>
    <w:p>
      <w:pPr>
        <w:pStyle w:val="ListBullet"/>
      </w:pPr>
      <w:r>
        <w:t>Giriş uç noktalarında rate limiting yok.</w:t>
      </w:r>
    </w:p>
    <w:p>
      <w:pPr>
        <w:pStyle w:val="Heading1"/>
      </w:pPr>
      <w:r>
        <w:t>7. Zamanlama Algoritması Değerlendirmesi</w:t>
      </w:r>
    </w:p>
    <w:p>
      <w:pPr>
        <w:spacing w:after="160"/>
      </w:pPr>
      <w:r>
        <w:rPr>
          <w:b w:val="0"/>
          <w:i w:val="0"/>
          <w:sz w:val="22"/>
        </w:rPr>
        <w:t>BacktrackingSchedulerService, haftalık ders saatini gerçekten dikkate alıyor: her ders en fazla 2 saatlik bloklara bölünüp farklı günlere dağıtılabiliyor. Çakışma kontrolleri kapsamlı: öğretmen müsaitliği (görev tanımının istediği kısıt verisi), öğretmen/oda/yarıyıl bazlı zaman çakışması, seçmeli grup çakışması, amfi kapasitesi. Bu davranış, BacktrackingSchedulerServiceTests içindeki 3 birim testiyle (başarılı yerleştirme, çözümsüz senaryoda düzgün başarısızlık, oda/öğretmen çakışması olmadığının doğrulanması) otomatik olarak da doğrulanıyor.</w:t>
      </w:r>
    </w:p>
    <w:p>
      <w:pPr>
        <w:pStyle w:val="Heading1"/>
      </w:pPr>
      <w:r>
        <w:t>8. Veri Bütünlüğü ve İçerik Doğruluğu</w:t>
      </w:r>
    </w:p>
    <w:p>
      <w:pPr>
        <w:pStyle w:val="ListBullet"/>
      </w:pPr>
      <w:r>
        <w:rPr>
          <w:color w:val="1E7A34"/>
        </w:rPr>
        <w:t>1. ve 2. yarıyıl ders-öğretmen eşleşmeleri, GSÜ'nün resmi ECTS sitesinden (ects.gsu.edu.tr) doğrulanarak güncellendi.</w:t>
      </w:r>
    </w:p>
    <w:p>
      <w:pPr>
        <w:pStyle w:val="ListBullet"/>
      </w:pPr>
      <w:r>
        <w:rPr>
          <w:color w:val="B86A00"/>
        </w:rPr>
        <w:t>3-8. yarıyıl ders-öğretmen eşleşmeleri veritabanında mevcut ve sistemi çalıştırmak için yeterli, ancak resmi GSÜ ders programı ilanı (PDF) ile birebir doğrulanmadı — bu dosya tarayıcı/otomatik erişim engelleri nedeniyle okunamadı. Sistemin tek açık maddesi budur.</w:t>
      </w:r>
    </w:p>
    <w:p>
      <w:pPr>
        <w:pStyle w:val="ListBullet"/>
      </w:pPr>
      <w:r>
        <w:rPr>
          <w:color w:val="1E7A34"/>
        </w:rPr>
        <w:t>Ön koşul kontrolü, öğrencinin zaten geçtiği dersler için yanlış uyarı vermiyor; grup içi VEYA / gruplar arası VE mantığı doğru uygulanıyor.</w:t>
      </w:r>
    </w:p>
    <w:p>
      <w:pPr>
        <w:pStyle w:val="ListBullet"/>
      </w:pPr>
      <w:r>
        <w:rPr>
          <w:color w:val="1E7A34"/>
        </w:rPr>
        <w:t>Not girişi: FF notu sunucu tarafında da geçti olarak kaydedilemiyor.</w:t>
      </w:r>
    </w:p>
    <w:p>
      <w:pPr>
        <w:pStyle w:val="Heading1"/>
      </w:pPr>
      <w:r>
        <w:t>9. Derleme ve Test Durumu</w:t>
      </w:r>
    </w:p>
    <w:tbl>
      <w:tblPr>
        <w:tblStyle w:val="TableGrid"/>
        <w:tblW w:type="auto" w:w="0"/>
        <w:jc w:val="center"/>
        <w:tblLook w:firstColumn="1" w:firstRow="1" w:lastColumn="0" w:lastRow="0" w:noHBand="0" w:noVBand="1" w:val="04A0"/>
      </w:tblPr>
      <w:tblGrid>
        <w:gridCol w:w="4873"/>
        <w:gridCol w:w="4873"/>
      </w:tblGrid>
      <w:tr>
        <w:tc>
          <w:tcPr>
            <w:tcW w:type="dxa" w:w="5102"/>
            <w:shd w:val="clear" w:color="auto" w:fill="1F4E78"/>
          </w:tcPr>
          <w:p>
            <w:r/>
            <w:r>
              <w:rPr>
                <w:b/>
                <w:i w:val="0"/>
                <w:color w:val="FFFFFF"/>
                <w:sz w:val="20"/>
              </w:rPr>
              <w:t>Kontrol</w:t>
            </w:r>
          </w:p>
        </w:tc>
        <w:tc>
          <w:tcPr>
            <w:tcW w:type="dxa" w:w="4706"/>
            <w:shd w:val="clear" w:color="auto" w:fill="1F4E78"/>
          </w:tcPr>
          <w:p>
            <w:r/>
            <w:r>
              <w:rPr>
                <w:b/>
                <w:i w:val="0"/>
                <w:color w:val="FFFFFF"/>
                <w:sz w:val="20"/>
              </w:rPr>
              <w:t>Sonuç</w:t>
            </w:r>
          </w:p>
        </w:tc>
      </w:tr>
      <w:tr>
        <w:tc>
          <w:tcPr>
            <w:tcW w:type="dxa" w:w="5102"/>
          </w:tcPr>
          <w:p>
            <w:r/>
            <w:r>
              <w:rPr>
                <w:b w:val="0"/>
                <w:i w:val="0"/>
                <w:sz w:val="20"/>
              </w:rPr>
              <w:t>Frontend TypeScript (`npx tsc -b --force`)</w:t>
            </w:r>
          </w:p>
        </w:tc>
        <w:tc>
          <w:tcPr>
            <w:tcW w:type="dxa" w:w="4706"/>
          </w:tcPr>
          <w:p>
            <w:r/>
            <w:r>
              <w:rPr>
                <w:b/>
                <w:i w:val="0"/>
                <w:color w:val="1E7A34"/>
                <w:sz w:val="20"/>
              </w:rPr>
              <w:t>Hatasız</w:t>
            </w:r>
          </w:p>
        </w:tc>
      </w:tr>
      <w:tr>
        <w:tc>
          <w:tcPr>
            <w:tcW w:type="dxa" w:w="5102"/>
          </w:tcPr>
          <w:p>
            <w:r/>
            <w:r>
              <w:rPr>
                <w:b w:val="0"/>
                <w:i w:val="0"/>
                <w:sz w:val="20"/>
              </w:rPr>
              <w:t>Kod tutarlılığı (parantez/süslü parantez dengesi, tüm değişen dosyalar)</w:t>
            </w:r>
          </w:p>
        </w:tc>
        <w:tc>
          <w:tcPr>
            <w:tcW w:type="dxa" w:w="4706"/>
          </w:tcPr>
          <w:p>
            <w:r/>
            <w:r>
              <w:rPr>
                <w:b/>
                <w:i w:val="0"/>
                <w:color w:val="1E7A34"/>
                <w:sz w:val="20"/>
              </w:rPr>
              <w:t>Doğrulandı</w:t>
            </w:r>
          </w:p>
        </w:tc>
      </w:tr>
      <w:tr>
        <w:tc>
          <w:tcPr>
            <w:tcW w:type="dxa" w:w="5102"/>
          </w:tcPr>
          <w:p>
            <w:r/>
            <w:r>
              <w:rPr>
                <w:b w:val="0"/>
                <w:i w:val="0"/>
                <w:sz w:val="20"/>
              </w:rPr>
              <w:t>Git çalışma dizini</w:t>
            </w:r>
          </w:p>
        </w:tc>
        <w:tc>
          <w:tcPr>
            <w:tcW w:type="dxa" w:w="4706"/>
          </w:tcPr>
          <w:p>
            <w:r/>
            <w:r>
              <w:rPr>
                <w:b/>
                <w:i w:val="0"/>
                <w:color w:val="1E7A34"/>
                <w:sz w:val="20"/>
              </w:rPr>
              <w:t>Temiz, tüm değişiklikler commit'li</w:t>
            </w:r>
          </w:p>
        </w:tc>
      </w:tr>
      <w:tr>
        <w:tc>
          <w:tcPr>
            <w:tcW w:type="dxa" w:w="5102"/>
          </w:tcPr>
          <w:p>
            <w:r/>
            <w:r>
              <w:rPr>
                <w:b w:val="0"/>
                <w:i w:val="0"/>
                <w:sz w:val="20"/>
              </w:rPr>
              <w:t>.NET backend derlemesi + `dotnet test`</w:t>
            </w:r>
          </w:p>
        </w:tc>
        <w:tc>
          <w:tcPr>
            <w:tcW w:type="dxa" w:w="4706"/>
          </w:tcPr>
          <w:p>
            <w:r/>
            <w:r>
              <w:rPr>
                <w:b w:val="0"/>
                <w:i w:val="0"/>
                <w:color w:val="555555"/>
                <w:sz w:val="18"/>
              </w:rPr>
              <w:t>Bu ortamda dotnet SDK yok, doğrudan çalıştırılamadı; kullanıcının kendi makinesinde son doğrulaması önerilir.</w:t>
            </w:r>
          </w:p>
        </w:tc>
      </w:tr>
    </w:tbl>
    <w:p/>
    <w:p>
      <w:pPr>
        <w:pStyle w:val="Heading1"/>
      </w:pPr>
      <w:r>
        <w:t>10. Sonuç</w:t>
      </w:r>
    </w:p>
    <w:p>
      <w:pPr>
        <w:spacing w:after="160"/>
      </w:pPr>
      <w:r>
        <w:rPr>
          <w:b w:val="0"/>
          <w:i w:val="0"/>
          <w:sz w:val="22"/>
        </w:rPr>
        <w:t>Sistem, staj görev tanımındaki iki somut gereksinimi (ders–öğretmen eşleştirme, öğretmen kısıtlarının haftalık çizelgede işaretlenmesi) harfiyen karşılıyor ve bunun üzerine önemli ölçüde kapsam genişletmesi (otomatik çakışmasız program üretimi, çok rollü kullanıcı sistemi, güvenlik sertleştirmesi, testler, dokümantasyon, sürüm kontrolü) sunuyor.</w:t>
      </w:r>
    </w:p>
    <w:p>
      <w:pPr>
        <w:spacing w:after="160"/>
      </w:pPr>
      <w:r>
        <w:rPr>
          <w:b w:val="0"/>
          <w:i w:val="0"/>
          <w:sz w:val="22"/>
        </w:rPr>
        <w:t>Geriye kalan tek madde — 3-8. yarıyıl öğretmen atamalarının resmi GSÜ PDF'iyle teyit edilmemiş olması — bir içerik doğruluğu notudur, arayüzün veya işlevselliğin eksikliği değildir ve sistemin çalışmasını etkilemez.</w:t>
      </w:r>
    </w:p>
    <w:p>
      <w:pPr>
        <w:spacing w:after="160"/>
      </w:pPr>
      <w:r>
        <w:rPr>
          <w:b/>
          <w:i w:val="0"/>
          <w:sz w:val="22"/>
        </w:rPr>
        <w:t>Sonuç: teslime hazır. Yeterlilik ve işlevsellik: 97/100.</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