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yönetici-özeti"/>
    <w:p>
      <w:pPr>
        <w:pStyle w:val="Heading1"/>
      </w:pPr>
      <w:r>
        <w:t xml:space="preserve">Yönetici Özeti</w:t>
      </w:r>
    </w:p>
    <w:p>
      <w:pPr>
        <w:pStyle w:val="FirstParagraph"/>
      </w:pPr>
      <w:r>
        <w:t xml:space="preserve">Bu rapor,</w:t>
      </w:r>
      <w:r>
        <w:t xml:space="preserve"> </w:t>
      </w:r>
      <w:r>
        <w:rPr>
          <w:b/>
          <w:bCs/>
        </w:rPr>
        <w:t xml:space="preserve">UbD (Understanding by Design)</w:t>
      </w:r>
      <w:r>
        <w:t xml:space="preserve"> </w:t>
      </w:r>
      <w:r>
        <w:t xml:space="preserve">çerçevesinin eğitimdeki teorik temellerini, Wiggins ve McTighe yaklaşımlarını, geriye dönük tasarımın üç aşamasını ve temel ilkelerini inceler. Uluslararası ve ulusal kaynaklar ışığında UbD hakkında bilgileri derler; orijinal UbD kitapları, ASCD yayımları, Türkiye Milli Eğitim Bakanlığı ve TED Okulları belgeleri incelenir.</w:t>
      </w:r>
      <w:r>
        <w:t xml:space="preserve"> </w:t>
      </w:r>
      <w:r>
        <w:rPr>
          <w:b/>
          <w:bCs/>
        </w:rPr>
        <w:t xml:space="preserve">TED Kolej Sancaktepe</w:t>
      </w:r>
      <w:r>
        <w:t xml:space="preserve"> </w:t>
      </w:r>
      <w:r>
        <w:t xml:space="preserve">örneği bağlamında UbD yaklaşımının okulun vizyon ve misyonuyla nasıl örtüştüğü ele alınır ve uyarlama önerileri sunulur. Ardından ilkokul, ortaokul ve lise düzeyleri için örnek UbD üniteleri ve müfredat haritaları (tablo biçiminde) verilir. Öğretmen eğitimi ve profesyonel gelişim planı; değerlendirme ve izleme yöntemleri detaylandırılır. Uygulama takvimi ve kaynak ihtiyaçları (pilot ve tam uygulama), maliyet tahmini, insan kaynağı ve risk/engeller ile çözüm önerileri de raporun kapsamındadır. Son olarak bir</w:t>
      </w:r>
      <w:r>
        <w:t xml:space="preserve"> </w:t>
      </w:r>
      <w:r>
        <w:rPr>
          <w:b/>
          <w:bCs/>
        </w:rPr>
        <w:t xml:space="preserve">UbD formatlı ders/etkinlik planı</w:t>
      </w:r>
      <w:r>
        <w:t xml:space="preserve"> </w:t>
      </w:r>
      <w:r>
        <w:t xml:space="preserve">örneği ile bir</w:t>
      </w:r>
      <w:r>
        <w:t xml:space="preserve"> </w:t>
      </w:r>
      <w:r>
        <w:rPr>
          <w:b/>
          <w:bCs/>
        </w:rPr>
        <w:t xml:space="preserve">performans görevi örneği</w:t>
      </w:r>
      <w:r>
        <w:t xml:space="preserve"> </w:t>
      </w:r>
      <w:r>
        <w:t xml:space="preserve">(fen veya matematikten) ve izleme amaçlı örnek anket ve gözlem formu sunulur. Sonuçta, altı aylık bir pilot uygulama takvimi ve pilot süresince yapılacaklar mermaid şemasıyla gösterilmiştir.</w:t>
      </w:r>
    </w:p>
    <w:bookmarkStart w:id="32" w:name="ubdin-teorik-temeli-ve-tarihçesi"/>
    <w:p>
      <w:pPr>
        <w:pStyle w:val="Heading2"/>
      </w:pPr>
      <w:r>
        <w:t xml:space="preserve">1. UbD’in Teorik Temeli ve Tarihçesi</w:t>
      </w:r>
    </w:p>
    <w:p>
      <w:pPr>
        <w:pStyle w:val="FirstParagraph"/>
      </w:pPr>
      <w:r>
        <w:rPr>
          <w:b/>
          <w:bCs/>
        </w:rPr>
        <w:t xml:space="preserve">Tarihçe ve tanım:</w:t>
      </w:r>
      <w:r>
        <w:t xml:space="preserve"> </w:t>
      </w:r>
      <w:r>
        <w:t xml:space="preserve">UbD, (Understanding by Design) aslen 1990’ların sonunda Grant Wiggins ve Jay McTighe tarafından geliştirilen bir öğretim tasarımı çerçevesidir. ASCD tarafından 1998’de yayımlanan ilk kitapla (Wiggins &amp; McTighe, 1998) tanıtılmış, sonraki baskıları ve kılavuzları (örneğin Expanded 2nd Edition, 2005) günümüze kadar okutulmaktadır. UbD,</w:t>
      </w:r>
      <w:r>
        <w:t xml:space="preserve"> </w:t>
      </w:r>
      <w:r>
        <w:rPr>
          <w:i/>
          <w:iCs/>
        </w:rPr>
        <w:t xml:space="preserve">“ders planlamasını geriye dönük”</w:t>
      </w:r>
      <w:r>
        <w:t xml:space="preserve"> </w:t>
      </w:r>
      <w:r>
        <w:t xml:space="preserve">(backward design) bir yaklaşımla ele alır: Önce</w:t>
      </w:r>
      <w:r>
        <w:t xml:space="preserve"> </w:t>
      </w:r>
      <w:r>
        <w:rPr>
          <w:b/>
          <w:bCs/>
        </w:rPr>
        <w:t xml:space="preserve">istenen sonuçlar</w:t>
      </w:r>
      <w:r>
        <w:t xml:space="preserve"> </w:t>
      </w:r>
      <w:r>
        <w:t xml:space="preserve">belirlenir, ardından bu sonuçları gösterecek</w:t>
      </w:r>
      <w:r>
        <w:t xml:space="preserve"> </w:t>
      </w:r>
      <w:r>
        <w:rPr>
          <w:b/>
          <w:bCs/>
        </w:rPr>
        <w:t xml:space="preserve">kabul edilebilir kanıtlar</w:t>
      </w:r>
      <w:r>
        <w:t xml:space="preserve"> </w:t>
      </w:r>
      <w:r>
        <w:t xml:space="preserve">(değerlendirmeler) tasarlanır ve en son aşamada</w:t>
      </w:r>
      <w:r>
        <w:t xml:space="preserve"> </w:t>
      </w:r>
      <w:r>
        <w:rPr>
          <w:b/>
          <w:bCs/>
        </w:rPr>
        <w:t xml:space="preserve">öğrenme planı</w:t>
      </w:r>
      <w:r>
        <w:t xml:space="preserve"> </w:t>
      </w:r>
      <w:r>
        <w:t xml:space="preserve">hazırlanır</w:t>
      </w:r>
      <w:hyperlink r:id="rId21">
        <w:r>
          <w:rPr>
            <w:rStyle w:val="Hyperlink"/>
          </w:rPr>
          <w:t xml:space="preserve">[1]</w:t>
        </w:r>
      </w:hyperlink>
      <w:hyperlink r:id="rId22">
        <w:r>
          <w:rPr>
            <w:rStyle w:val="Hyperlink"/>
          </w:rPr>
          <w:t xml:space="preserve">[2]</w:t>
        </w:r>
      </w:hyperlink>
      <w:r>
        <w:t xml:space="preserve">.</w:t>
      </w:r>
    </w:p>
    <w:p>
      <w:pPr>
        <w:pStyle w:val="BodyText"/>
      </w:pPr>
      <w:r>
        <w:rPr>
          <w:b/>
          <w:bCs/>
        </w:rPr>
        <w:t xml:space="preserve">Temel ilkeler:</w:t>
      </w:r>
      <w:r>
        <w:t xml:space="preserve"> </w:t>
      </w:r>
      <w:r>
        <w:t xml:space="preserve">UbD’nin temel amaçlarından biri, eğitimin odağını öğrenci</w:t>
      </w:r>
      <w:r>
        <w:t xml:space="preserve"> </w:t>
      </w:r>
      <w:r>
        <w:rPr>
          <w:b/>
          <w:bCs/>
        </w:rPr>
        <w:t xml:space="preserve">anlamasını derinleştirmeye</w:t>
      </w:r>
      <w:r>
        <w:t xml:space="preserve"> </w:t>
      </w:r>
      <w:r>
        <w:t xml:space="preserve">ve bu öğrenmenin farklı durumlara aktarımına çevirmektir</w:t>
      </w:r>
      <w:hyperlink r:id="rId23">
        <w:r>
          <w:rPr>
            <w:rStyle w:val="Hyperlink"/>
          </w:rPr>
          <w:t xml:space="preserve">[3]</w:t>
        </w:r>
      </w:hyperlink>
      <w:hyperlink r:id="rId24">
        <w:r>
          <w:rPr>
            <w:rStyle w:val="Hyperlink"/>
          </w:rPr>
          <w:t xml:space="preserve">[4]</w:t>
        </w:r>
      </w:hyperlink>
      <w:r>
        <w:t xml:space="preserve">. Wiggins ve McTighe’e göre, eğitimin</w:t>
      </w:r>
      <w:r>
        <w:t xml:space="preserve"> </w:t>
      </w:r>
      <w:r>
        <w:rPr>
          <w:b/>
          <w:bCs/>
        </w:rPr>
        <w:t xml:space="preserve">altyapısal hedefi</w:t>
      </w:r>
      <w:r>
        <w:t xml:space="preserve">, öğrencilerin belli “büyük fikirleri” ve kalıcı anlamları kavrayabilmelerini sağlamaktır</w:t>
      </w:r>
      <w:hyperlink r:id="rId25">
        <w:r>
          <w:rPr>
            <w:rStyle w:val="Hyperlink"/>
          </w:rPr>
          <w:t xml:space="preserve">[5]</w:t>
        </w:r>
      </w:hyperlink>
      <w:r>
        <w:t xml:space="preserve">. Gerçek kavrayış, öğrencilerin öğrendiklerini farklı durumlarda uyguladıkları, yorumladıkları ve özetledikleri</w:t>
      </w:r>
      <w:r>
        <w:t xml:space="preserve"> </w:t>
      </w:r>
      <w:r>
        <w:rPr>
          <w:b/>
          <w:bCs/>
        </w:rPr>
        <w:t xml:space="preserve">otantik performanslar</w:t>
      </w:r>
      <w:r>
        <w:t xml:space="preserve"> </w:t>
      </w:r>
      <w:r>
        <w:t xml:space="preserve">aracılığıyla ortaya çıkar. Bunun için UbD,</w:t>
      </w:r>
      <w:r>
        <w:t xml:space="preserve"> </w:t>
      </w:r>
      <w:r>
        <w:rPr>
          <w:b/>
          <w:bCs/>
        </w:rPr>
        <w:t xml:space="preserve">altı yüzlü anlama</w:t>
      </w:r>
      <w:r>
        <w:t xml:space="preserve"> </w:t>
      </w:r>
      <w:r>
        <w:t xml:space="preserve">modeli kullanır (açıklama, yorumlama, uygulama, bakış açısı değiştirme, empati, öz-değerlendirme)</w:t>
      </w:r>
      <w:hyperlink r:id="rId26">
        <w:r>
          <w:rPr>
            <w:rStyle w:val="Hyperlink"/>
          </w:rPr>
          <w:t xml:space="preserve">[6]</w:t>
        </w:r>
      </w:hyperlink>
      <w:hyperlink r:id="rId27">
        <w:r>
          <w:rPr>
            <w:rStyle w:val="Hyperlink"/>
          </w:rPr>
          <w:t xml:space="preserve">[7]</w:t>
        </w:r>
      </w:hyperlink>
      <w:r>
        <w:t xml:space="preserve">.</w:t>
      </w:r>
    </w:p>
    <w:p>
      <w:pPr>
        <w:pStyle w:val="BodyText"/>
      </w:pPr>
      <w:r>
        <w:rPr>
          <w:b/>
          <w:bCs/>
        </w:rPr>
        <w:t xml:space="preserve">Geriye dönük planlama (3 aşama):</w:t>
      </w:r>
      <w:r>
        <w:t xml:space="preserve"> </w:t>
      </w:r>
      <w:r>
        <w:t xml:space="preserve">UbD’de öğretim, üç aşamalı bir planlama süreciyle yapılır. Bu aşamalar şunlardır:</w:t>
      </w:r>
      <w:r>
        <w:t xml:space="preserve"> </w:t>
      </w:r>
      <w:r>
        <w:t xml:space="preserve">-</w:t>
      </w:r>
      <w:r>
        <w:t xml:space="preserve"> </w:t>
      </w:r>
      <w:r>
        <w:rPr>
          <w:b/>
          <w:bCs/>
        </w:rPr>
        <w:t xml:space="preserve">Aşama 1 – İstenen Sonuçlar (Desired Results):</w:t>
      </w:r>
      <w:r>
        <w:t xml:space="preserve"> </w:t>
      </w:r>
      <w:r>
        <w:t xml:space="preserve">Öğrencinin derste neyi öğrenmesi gerektiği (bilgi, beceri, tutum, büyük fikirler) ve bu öğrenmenin hangi</w:t>
      </w:r>
      <w:r>
        <w:t xml:space="preserve"> </w:t>
      </w:r>
      <w:r>
        <w:rPr>
          <w:i/>
          <w:iCs/>
        </w:rPr>
        <w:t xml:space="preserve">transfer</w:t>
      </w:r>
      <w:r>
        <w:t xml:space="preserve"> </w:t>
      </w:r>
      <w:r>
        <w:t xml:space="preserve">yetkinliğiyle sonuçlanması gerektiği belirlenir</w:t>
      </w:r>
      <w:hyperlink r:id="rId28">
        <w:r>
          <w:rPr>
            <w:rStyle w:val="Hyperlink"/>
          </w:rPr>
          <w:t xml:space="preserve">[8]</w:t>
        </w:r>
      </w:hyperlink>
      <w:hyperlink r:id="rId22">
        <w:r>
          <w:rPr>
            <w:rStyle w:val="Hyperlink"/>
          </w:rPr>
          <w:t xml:space="preserve">[2]</w:t>
        </w:r>
      </w:hyperlink>
      <w:r>
        <w:t xml:space="preserve">. Bu aşamada “kalıcı anlayışlara” (enduring understandings) ve onları ortaya çıkaran</w:t>
      </w:r>
      <w:r>
        <w:t xml:space="preserve"> </w:t>
      </w:r>
      <w:r>
        <w:rPr>
          <w:b/>
          <w:bCs/>
        </w:rPr>
        <w:t xml:space="preserve">temel sorulara</w:t>
      </w:r>
      <w:r>
        <w:t xml:space="preserve"> </w:t>
      </w:r>
      <w:r>
        <w:t xml:space="preserve">(essential questions) odaklanılır. Örneğin,</w:t>
      </w:r>
      <w:r>
        <w:t xml:space="preserve"> </w:t>
      </w:r>
      <w:r>
        <w:rPr>
          <w:i/>
          <w:iCs/>
        </w:rPr>
        <w:t xml:space="preserve">“Önemli fikir nedir ve neden önemlidir?”</w:t>
      </w:r>
      <w:r>
        <w:t xml:space="preserve"> </w:t>
      </w:r>
      <w:r>
        <w:t xml:space="preserve">gibi sorular geliştirilir.</w:t>
      </w:r>
      <w:r>
        <w:t xml:space="preserve"> </w:t>
      </w:r>
      <w:r>
        <w:t xml:space="preserve">-</w:t>
      </w:r>
      <w:r>
        <w:t xml:space="preserve"> </w:t>
      </w:r>
      <w:r>
        <w:rPr>
          <w:b/>
          <w:bCs/>
        </w:rPr>
        <w:t xml:space="preserve">Aşama 2 – Kabul Edilebilir Kanıtlar (Acceptable Evidence):</w:t>
      </w:r>
      <w:r>
        <w:t xml:space="preserve"> </w:t>
      </w:r>
      <w:r>
        <w:t xml:space="preserve">Öğrencinin bu hedeflere ulaştığını gösterecek değerlendirme yöntemleri planlanır. Performans görevleri, projeler, sunumlar gibi alternatif değerlendirmelerin yanı sıra sınav/quiz ve portfolyolar da bu aşamada belirlenir. Her bir değerlendirme aracının hangi öğrenmeyi ölçtüğü ve başarı ölçütleri açıkça tanımlanır. UbD’de</w:t>
      </w:r>
      <w:r>
        <w:t xml:space="preserve"> </w:t>
      </w:r>
      <w:r>
        <w:rPr>
          <w:b/>
          <w:bCs/>
        </w:rPr>
        <w:t xml:space="preserve">hizalama</w:t>
      </w:r>
      <w:r>
        <w:t xml:space="preserve"> </w:t>
      </w:r>
      <w:r>
        <w:t xml:space="preserve">(alignment) esastır: Aşama 1’de belirlenen sonuçlar, Aşama 2 değerlendirmeleriyle birebir ilişkilendirilir</w:t>
      </w:r>
      <w:hyperlink r:id="rId29">
        <w:r>
          <w:rPr>
            <w:rStyle w:val="Hyperlink"/>
          </w:rPr>
          <w:t xml:space="preserve">[9]</w:t>
        </w:r>
      </w:hyperlink>
      <w:r>
        <w:t xml:space="preserve">.</w:t>
      </w:r>
      <w:r>
        <w:t xml:space="preserve"> </w:t>
      </w:r>
      <w:r>
        <w:t xml:space="preserve">-</w:t>
      </w:r>
      <w:r>
        <w:t xml:space="preserve"> </w:t>
      </w:r>
      <w:r>
        <w:rPr>
          <w:b/>
          <w:bCs/>
        </w:rPr>
        <w:t xml:space="preserve">Aşama 3 – Öğrenme Planı (Learning Plan):</w:t>
      </w:r>
      <w:r>
        <w:t xml:space="preserve"> </w:t>
      </w:r>
      <w:r>
        <w:t xml:space="preserve">Öğrencilerin istenen öğrenme sonuçlarına ulaşması için uygulanacak öğretim yöntemleri ve etkinlikler sıralanır. Etkinliklerde işbirlikli öğrenme, araştırma, deney-tabanlı etkinlikler, tartışma ve geri bildirim döngüleri yer alır. Aşama 3’te amaç, öğrencilerin aktif katılımını sağlayarak anlamalarını pekiştirmektir.</w:t>
      </w:r>
    </w:p>
    <w:p>
      <w:pPr>
        <w:pStyle w:val="BodyText"/>
      </w:pPr>
      <w:r>
        <w:t xml:space="preserve">Bu üç aşama, sırasıyla geri dönük bir tasarım süreciyle ilerlediğinden, etkinlikler hedef ve değerlendirme ile uyumlu olarak planlanır</w:t>
      </w:r>
      <w:hyperlink r:id="rId28">
        <w:r>
          <w:rPr>
            <w:rStyle w:val="Hyperlink"/>
          </w:rPr>
          <w:t xml:space="preserve">[8]</w:t>
        </w:r>
      </w:hyperlink>
      <w:hyperlink r:id="rId29">
        <w:r>
          <w:rPr>
            <w:rStyle w:val="Hyperlink"/>
          </w:rPr>
          <w:t xml:space="preserve">[9]</w:t>
        </w:r>
      </w:hyperlink>
      <w:r>
        <w:t xml:space="preserve">. Böylece “kitap temelli” ya da “etkinlik odaklı” plansız uygulamaların önüne geçilir (UbD,</w:t>
      </w:r>
      <w:r>
        <w:t xml:space="preserve"> </w:t>
      </w:r>
      <w:r>
        <w:rPr>
          <w:b/>
          <w:bCs/>
        </w:rPr>
        <w:t xml:space="preserve">bireylerin sonuçtan geriye doğru</w:t>
      </w:r>
      <w:r>
        <w:t xml:space="preserve"> </w:t>
      </w:r>
      <w:r>
        <w:t xml:space="preserve">planlamasını teşvik eder)</w:t>
      </w:r>
      <w:hyperlink r:id="rId28">
        <w:r>
          <w:rPr>
            <w:rStyle w:val="Hyperlink"/>
          </w:rPr>
          <w:t xml:space="preserve">[8]</w:t>
        </w:r>
      </w:hyperlink>
      <w:r>
        <w:t xml:space="preserve">. Wiggins ve McTighe’ye göre</w:t>
      </w:r>
      <w:r>
        <w:t xml:space="preserve"> </w:t>
      </w:r>
      <w:r>
        <w:rPr>
          <w:i/>
          <w:iCs/>
        </w:rPr>
        <w:t xml:space="preserve">“Tümüyle tasarımın merkezine sürekli değerlendirme ve geri bildirim”</w:t>
      </w:r>
      <w:r>
        <w:t xml:space="preserve"> </w:t>
      </w:r>
      <w:r>
        <w:t xml:space="preserve">yer almalıdır</w:t>
      </w:r>
      <w:hyperlink r:id="rId30">
        <w:r>
          <w:rPr>
            <w:rStyle w:val="Hyperlink"/>
          </w:rPr>
          <w:t xml:space="preserve">[10]</w:t>
        </w:r>
      </w:hyperlink>
      <w:hyperlink r:id="rId31">
        <w:r>
          <w:rPr>
            <w:rStyle w:val="Hyperlink"/>
          </w:rPr>
          <w:t xml:space="preserve">[11]</w:t>
        </w:r>
      </w:hyperlink>
      <w:r>
        <w:t xml:space="preserve">.</w:t>
      </w:r>
    </w:p>
    <w:bookmarkEnd w:id="32"/>
    <w:bookmarkStart w:id="43" w:name="uluslararası-ve-türkiyedeki-kaynaklar"/>
    <w:p>
      <w:pPr>
        <w:pStyle w:val="Heading2"/>
      </w:pPr>
      <w:r>
        <w:t xml:space="preserve">2. Uluslararası ve Türkiye’deki Kaynaklar</w:t>
      </w:r>
    </w:p>
    <w:p>
      <w:pPr>
        <w:pStyle w:val="FirstParagraph"/>
      </w:pPr>
      <w:r>
        <w:rPr>
          <w:b/>
          <w:bCs/>
        </w:rPr>
        <w:t xml:space="preserve">Uluslararası kaynaklar:</w:t>
      </w:r>
      <w:r>
        <w:t xml:space="preserve"> </w:t>
      </w:r>
      <w:r>
        <w:t xml:space="preserve">UbD’nin orijinal eserleri ASCD (Association for Supervision and Curriculum Development) tarafından yayımlanmıştır. Temel metinler şunlardır:</w:t>
      </w:r>
      <w:r>
        <w:t xml:space="preserve"> </w:t>
      </w:r>
      <w:r>
        <w:t xml:space="preserve">-</w:t>
      </w:r>
      <w:r>
        <w:t xml:space="preserve"> </w:t>
      </w:r>
      <w:r>
        <w:rPr>
          <w:i/>
          <w:iCs/>
        </w:rPr>
        <w:t xml:space="preserve">Understanding by Design</w:t>
      </w:r>
      <w:r>
        <w:t xml:space="preserve"> </w:t>
      </w:r>
      <w:r>
        <w:t xml:space="preserve">(Wiggins &amp; McTighe, ASCD 1998, 2. baskı 2005). Eğitim programı geliştirmenin teorik temellerini ve UbD tasarım şablonlarını sunar.</w:t>
      </w:r>
      <w:r>
        <w:t xml:space="preserve"> </w:t>
      </w:r>
      <w:r>
        <w:t xml:space="preserve">-</w:t>
      </w:r>
      <w:r>
        <w:t xml:space="preserve"> </w:t>
      </w:r>
      <w:r>
        <w:rPr>
          <w:i/>
          <w:iCs/>
        </w:rPr>
        <w:t xml:space="preserve">The Understanding by Design Guide to Creating High-Quality Units</w:t>
      </w:r>
      <w:r>
        <w:t xml:space="preserve"> </w:t>
      </w:r>
      <w:r>
        <w:t xml:space="preserve">(Wiggins &amp; McTighe, ASCD 2004);</w:t>
      </w:r>
      <w:r>
        <w:t xml:space="preserve"> </w:t>
      </w:r>
      <w:r>
        <w:rPr>
          <w:i/>
          <w:iCs/>
        </w:rPr>
        <w:t xml:space="preserve">The UbD Workbook</w:t>
      </w:r>
      <w:r>
        <w:t xml:space="preserve"> </w:t>
      </w:r>
      <w:r>
        <w:t xml:space="preserve">(2011) gibi uygulamalı kitapçıklar.</w:t>
      </w:r>
      <w:r>
        <w:t xml:space="preserve"> </w:t>
      </w:r>
      <w:r>
        <w:t xml:space="preserve">-</w:t>
      </w:r>
      <w:r>
        <w:t xml:space="preserve"> </w:t>
      </w:r>
      <w:r>
        <w:rPr>
          <w:b/>
          <w:bCs/>
        </w:rPr>
        <w:t xml:space="preserve">ASCD resmi web sitesi ve yayınları</w:t>
      </w:r>
      <w:r>
        <w:t xml:space="preserve"> </w:t>
      </w:r>
      <w:r>
        <w:t xml:space="preserve">(ör. ASCD white paper: “Understanding by Design Framework”</w:t>
      </w:r>
      <w:hyperlink r:id="rId33">
        <w:r>
          <w:rPr>
            <w:rStyle w:val="Hyperlink"/>
          </w:rPr>
          <w:t xml:space="preserve">[12]</w:t>
        </w:r>
      </w:hyperlink>
      <w:r>
        <w:t xml:space="preserve">) UbD prensiplerini özetlemekte, örnek plan şablonları sunmaktadır.</w:t>
      </w:r>
    </w:p>
    <w:p>
      <w:pPr>
        <w:pStyle w:val="BodyText"/>
      </w:pPr>
      <w:r>
        <w:t xml:space="preserve">Ayrıca</w:t>
      </w:r>
      <w:r>
        <w:t xml:space="preserve"> </w:t>
      </w:r>
      <w:r>
        <w:rPr>
          <w:i/>
          <w:iCs/>
        </w:rPr>
        <w:t xml:space="preserve">Authentic Education</w:t>
      </w:r>
      <w:r>
        <w:t xml:space="preserve"> </w:t>
      </w:r>
      <w:r>
        <w:t xml:space="preserve">sitesi (Kurucuları Wiggins ve McTighe ile bağlantılı) UbD çerçevesini anlatır</w:t>
      </w:r>
      <w:hyperlink r:id="rId23">
        <w:r>
          <w:rPr>
            <w:rStyle w:val="Hyperlink"/>
          </w:rPr>
          <w:t xml:space="preserve">[13]</w:t>
        </w:r>
      </w:hyperlink>
      <w:hyperlink r:id="rId30">
        <w:r>
          <w:rPr>
            <w:rStyle w:val="Hyperlink"/>
          </w:rPr>
          <w:t xml:space="preserve">[14]</w:t>
        </w:r>
      </w:hyperlink>
      <w:r>
        <w:t xml:space="preserve">. Bu kaynaklar UbD’yi “öğrenci başarısını artırmak için öğretimi geriye dönük tasarlayan” bir çerçeve olarak tanımlar</w:t>
      </w:r>
      <w:hyperlink r:id="rId34">
        <w:r>
          <w:rPr>
            <w:rStyle w:val="Hyperlink"/>
          </w:rPr>
          <w:t xml:space="preserve">[15]</w:t>
        </w:r>
      </w:hyperlink>
      <w:hyperlink r:id="rId35">
        <w:r>
          <w:rPr>
            <w:rStyle w:val="Hyperlink"/>
          </w:rPr>
          <w:t xml:space="preserve">[16]</w:t>
        </w:r>
      </w:hyperlink>
      <w:r>
        <w:t xml:space="preserve">. UbD fikirleri, Virginia eyaletinde müfredat kılavuzlarına, Uluslararası Bakalorya (IB) programlarına ve ABD’de birçok eyaletteki ders programlarına entegre edilmiştir</w:t>
      </w:r>
      <w:hyperlink r:id="rId36">
        <w:r>
          <w:rPr>
            <w:rStyle w:val="Hyperlink"/>
          </w:rPr>
          <w:t xml:space="preserve">[17]</w:t>
        </w:r>
      </w:hyperlink>
      <w:r>
        <w:t xml:space="preserve">.</w:t>
      </w:r>
    </w:p>
    <w:p>
      <w:pPr>
        <w:pStyle w:val="BodyText"/>
      </w:pPr>
      <w:r>
        <w:rPr>
          <w:b/>
          <w:bCs/>
        </w:rPr>
        <w:t xml:space="preserve">Türkiye’deki kaynaklar:</w:t>
      </w:r>
      <w:r>
        <w:t xml:space="preserve"> </w:t>
      </w:r>
      <w:r>
        <w:t xml:space="preserve">Türkiye’de UbD’ye özel resmi bir yönerge olmamakla birlikte, eğitim literatüründe “anlamaya dayalı tasarım” ya da “geriye dönük tasarım” olarak geçen çalışmalar mevcuttur. Gazi Üniversitesi Eğitim Fakültesi’nden Oktay Akbaş (2023) gibi araştırmacılar, UbD’yi “istenen sonuçları yazmaya öncelik verip, sonrasında kanıtları ve öğrenme planını belirleyen geriye dönük tasarım süreci” olarak tanımlamıştır</w:t>
      </w:r>
      <w:hyperlink r:id="rId22">
        <w:r>
          <w:rPr>
            <w:rStyle w:val="Hyperlink"/>
          </w:rPr>
          <w:t xml:space="preserve">[2]</w:t>
        </w:r>
      </w:hyperlink>
      <w:r>
        <w:t xml:space="preserve">. Türkçe literatürde Wiggins ve McTighe’ye atıf yapan birçok çalışma bulunmaktadır (örneğin Akbaş 2023, Çetin &amp; Çetin 2019 vb.).</w:t>
      </w:r>
    </w:p>
    <w:p>
      <w:pPr>
        <w:pStyle w:val="BodyText"/>
      </w:pPr>
      <w:r>
        <w:rPr>
          <w:b/>
          <w:bCs/>
        </w:rPr>
        <w:t xml:space="preserve">Resmi belgeler ve kurum uygulamaları:</w:t>
      </w:r>
      <w:r>
        <w:t xml:space="preserve"> </w:t>
      </w:r>
      <w:r>
        <w:t xml:space="preserve">MEB ölçme-değerlendirme yönergelerinde UbD adı geçmese de, öğretim programları tasarımında geriye dönük bakış açısı (</w:t>
      </w:r>
      <w:r>
        <w:rPr>
          <w:i/>
          <w:iCs/>
        </w:rPr>
        <w:t xml:space="preserve">Learning Outcomes</w:t>
      </w:r>
      <w:r>
        <w:t xml:space="preserve"> </w:t>
      </w:r>
      <w:r>
        <w:t xml:space="preserve">odaklı) önerilmektedir. Özellikle “21. Yüzyıl Öğrenme Deneyimi” ve “Öğrenme çıktısı odaklı tasarım” yaklaşımları UbD ile paralel bir anlayış içerir</w:t>
      </w:r>
      <w:hyperlink r:id="rId37">
        <w:r>
          <w:rPr>
            <w:rStyle w:val="Hyperlink"/>
          </w:rPr>
          <w:t xml:space="preserve">[18]</w:t>
        </w:r>
      </w:hyperlink>
      <w:r>
        <w:t xml:space="preserve">. TED Okulları’ndan örnekler UbD’nin kurum kültüründe yer aldığını göstermektedir. Örneğin,</w:t>
      </w:r>
      <w:r>
        <w:t xml:space="preserve"> </w:t>
      </w:r>
      <w:r>
        <w:rPr>
          <w:b/>
          <w:bCs/>
        </w:rPr>
        <w:t xml:space="preserve">TED İstanbul Koleji</w:t>
      </w:r>
      <w:r>
        <w:t xml:space="preserve"> </w:t>
      </w:r>
      <w:r>
        <w:t xml:space="preserve">her düzeyde UbD’ye atıf yaparak “eğitim programı, öğretim süreci ve ölçme değerlendirme UbD temelli yapılır” demektedir</w:t>
      </w:r>
      <w:hyperlink r:id="rId38">
        <w:r>
          <w:rPr>
            <w:rStyle w:val="Hyperlink"/>
          </w:rPr>
          <w:t xml:space="preserve">[19]</w:t>
        </w:r>
      </w:hyperlink>
      <w:hyperlink r:id="rId39">
        <w:r>
          <w:rPr>
            <w:rStyle w:val="Hyperlink"/>
          </w:rPr>
          <w:t xml:space="preserve">[20]</w:t>
        </w:r>
      </w:hyperlink>
      <w:r>
        <w:t xml:space="preserve">. Okul, müfredatı tematik disiplinlerarası ve bütüncül bir yaklaşımla hazırlar; farklılaştırılmış yöntemlerle derin öğrenmeyi destekler ve çeşitli ölçme araçlarıyla anlamayı değerlendirir</w:t>
      </w:r>
      <w:hyperlink r:id="rId40">
        <w:r>
          <w:rPr>
            <w:rStyle w:val="Hyperlink"/>
          </w:rPr>
          <w:t xml:space="preserve">[21]</w:t>
        </w:r>
      </w:hyperlink>
      <w:r>
        <w:t xml:space="preserve">. Benzer şekilde</w:t>
      </w:r>
      <w:r>
        <w:t xml:space="preserve"> </w:t>
      </w:r>
      <w:r>
        <w:rPr>
          <w:b/>
          <w:bCs/>
        </w:rPr>
        <w:t xml:space="preserve">FMV Florya</w:t>
      </w:r>
      <w:r>
        <w:t xml:space="preserve"> </w:t>
      </w:r>
      <w:r>
        <w:t xml:space="preserve">(özel okul) 7. sınıf matematikte “Rasyonel Sayılar” ünitesinde UbD planı uygulayıp öğrencilere performans görevleri verilmiş ve bunun anlamlı öğrenmeye katkı sağladığı belirtilmiştir</w:t>
      </w:r>
      <w:hyperlink r:id="rId41">
        <w:r>
          <w:rPr>
            <w:rStyle w:val="Hyperlink"/>
          </w:rPr>
          <w:t xml:space="preserve">[22]</w:t>
        </w:r>
      </w:hyperlink>
      <w:hyperlink r:id="rId42">
        <w:r>
          <w:rPr>
            <w:rStyle w:val="Hyperlink"/>
          </w:rPr>
          <w:t xml:space="preserve">[23]</w:t>
        </w:r>
      </w:hyperlink>
      <w:r>
        <w:t xml:space="preserve">.</w:t>
      </w:r>
    </w:p>
    <w:bookmarkEnd w:id="43"/>
    <w:bookmarkStart w:id="47" w:name="ted-kolej-sancaktepe-bağlamında-uyarlama"/>
    <w:p>
      <w:pPr>
        <w:pStyle w:val="Heading2"/>
      </w:pPr>
      <w:r>
        <w:t xml:space="preserve">3. TED Kolej Sancaktepe Bağlamında Uyarlama</w:t>
      </w:r>
    </w:p>
    <w:p>
      <w:pPr>
        <w:pStyle w:val="FirstParagraph"/>
      </w:pPr>
      <w:r>
        <w:rPr>
          <w:b/>
          <w:bCs/>
        </w:rPr>
        <w:t xml:space="preserve">Okul vizyon ve misyonu:</w:t>
      </w:r>
      <w:r>
        <w:t xml:space="preserve"> </w:t>
      </w:r>
      <w:r>
        <w:t xml:space="preserve">Kolej Sancaktepe TED AD’nin vizyonu, “bilgiyi anlamlandırabilen, etik sorumluluk taşıyan, dünya vatandaşlığı bilincine sahip bireyler yetiştiren” bir eğitim kurumu olmaktır</w:t>
      </w:r>
      <w:hyperlink r:id="rId44">
        <w:r>
          <w:rPr>
            <w:rStyle w:val="Hyperlink"/>
          </w:rPr>
          <w:t xml:space="preserve">[24]</w:t>
        </w:r>
      </w:hyperlink>
      <w:r>
        <w:t xml:space="preserve">. Misyonunda ise ulusal müfredatı Uluslararası Bakalorya (IB/AP), Cambridge ve</w:t>
      </w:r>
      <w:r>
        <w:t xml:space="preserve"> </w:t>
      </w:r>
      <w:r>
        <w:rPr>
          <w:b/>
          <w:bCs/>
        </w:rPr>
        <w:t xml:space="preserve">UbD</w:t>
      </w:r>
      <w:r>
        <w:t xml:space="preserve"> </w:t>
      </w:r>
      <w:r>
        <w:t xml:space="preserve">gibi yaklaşımlarla zenginleştirmek yer alır</w:t>
      </w:r>
      <w:hyperlink r:id="rId45">
        <w:r>
          <w:rPr>
            <w:rStyle w:val="Hyperlink"/>
          </w:rPr>
          <w:t xml:space="preserve">[25]</w:t>
        </w:r>
      </w:hyperlink>
      <w:r>
        <w:t xml:space="preserve">. Yani Okul, “okuryazarlık temelli, beceri odaklı ve disiplinlerarası öğrenme ortamları sunarak öğrencileri hayata ve küresel dünyaya hazırlamayı” amaçlamaktadır</w:t>
      </w:r>
      <w:hyperlink r:id="rId45">
        <w:r>
          <w:rPr>
            <w:rStyle w:val="Hyperlink"/>
          </w:rPr>
          <w:t xml:space="preserve">[25]</w:t>
        </w:r>
      </w:hyperlink>
      <w:r>
        <w:t xml:space="preserve">. Bu değerler UbD ile yüksek oranda örtüşür: UbD, öğrenmeyi akademik bilgilerle sınırlandırmayıp düşünme ve sorgulamayı merkeze alır (vizyonda “düşünmeyi, sorgulamayı, üretmeyi merkez alan bütüncül eğitim” hedefi</w:t>
      </w:r>
      <w:hyperlink r:id="rId46">
        <w:r>
          <w:rPr>
            <w:rStyle w:val="Hyperlink"/>
          </w:rPr>
          <w:t xml:space="preserve">[26]</w:t>
        </w:r>
      </w:hyperlink>
      <w:r>
        <w:t xml:space="preserve">).</w:t>
      </w:r>
    </w:p>
    <w:p>
      <w:pPr>
        <w:pStyle w:val="BodyText"/>
      </w:pPr>
      <w:r>
        <w:rPr>
          <w:b/>
          <w:bCs/>
        </w:rPr>
        <w:t xml:space="preserve">Uyarlama önerileri:</w:t>
      </w:r>
      <w:r>
        <w:t xml:space="preserve"> </w:t>
      </w:r>
      <w:r>
        <w:t xml:space="preserve">Sancaktepe Koleji, misyonunda doğrudan</w:t>
      </w:r>
      <w:r>
        <w:t xml:space="preserve"> </w:t>
      </w:r>
      <w:r>
        <w:rPr>
          <w:i/>
          <w:iCs/>
        </w:rPr>
        <w:t xml:space="preserve">UbD</w:t>
      </w:r>
      <w:r>
        <w:t xml:space="preserve">’den söz ettiği için (Ulusal müfredatı UbD ile zenginleştirir</w:t>
      </w:r>
      <w:hyperlink r:id="rId45">
        <w:r>
          <w:rPr>
            <w:rStyle w:val="Hyperlink"/>
          </w:rPr>
          <w:t xml:space="preserve">[25]</w:t>
        </w:r>
      </w:hyperlink>
      <w:r>
        <w:t xml:space="preserve">), bu yaklaşımı aktif bir strateji haline getirmelidir. Kurum, UbD’nin üç aşamalı planlama şablonunu okul genelinde benimseyebilir: Tüm birimler (üniteler) için önce “kalıcı anlamaları” ve “büyük fikirleri” belirlemek, sonra performans değerlendirmeleri hazırlamak ve ardından ders akışlarını tasarlamak. Öğretim programlarının “Tematik Öğrenme Programı” ve “Okuryazarlık Temelli Dersler” gibi yapılarına UbD mantığı entegre edilebilir. Örneğin, her tematik ünitenin “temel sorusu” ortaya konularak buna yönelik kavram haritaları çıkarılabilir. Ayrıca değerlendirmelerde rubrik, proje, portfolyo gibi araçlar UbD standartlarında kullanılmalı (TED İstanbul örneğinde olduğu gibi performans ve rubrik vurgusu yapılmıştır</w:t>
      </w:r>
      <w:hyperlink r:id="rId40">
        <w:r>
          <w:rPr>
            <w:rStyle w:val="Hyperlink"/>
          </w:rPr>
          <w:t xml:space="preserve">[21]</w:t>
        </w:r>
      </w:hyperlink>
      <w:hyperlink r:id="rId41">
        <w:r>
          <w:rPr>
            <w:rStyle w:val="Hyperlink"/>
          </w:rPr>
          <w:t xml:space="preserve">[22]</w:t>
        </w:r>
      </w:hyperlink>
      <w:r>
        <w:t xml:space="preserve">).</w:t>
      </w:r>
    </w:p>
    <w:p>
      <w:pPr>
        <w:pStyle w:val="BodyText"/>
      </w:pPr>
      <w:r>
        <w:t xml:space="preserve">Eğer okulun vizyon veya kurum hedefleri ileride değişirse, UbD esnek bir yaklaşım sunar: farklı müfredatlara (Cambridge, IB/AP, MEB) uyarlanabilir. Şimdilik, “sürdürülebilir bütüncül eğitim” vizyonuna uygun olarak,</w:t>
      </w:r>
      <w:r>
        <w:t xml:space="preserve"> </w:t>
      </w:r>
      <w:r>
        <w:rPr>
          <w:b/>
          <w:bCs/>
        </w:rPr>
        <w:t xml:space="preserve">büyük fikirlerin</w:t>
      </w:r>
      <w:r>
        <w:t xml:space="preserve"> </w:t>
      </w:r>
      <w:r>
        <w:t xml:space="preserve">kavranması,</w:t>
      </w:r>
      <w:r>
        <w:t xml:space="preserve"> </w:t>
      </w:r>
      <w:r>
        <w:rPr>
          <w:b/>
          <w:bCs/>
        </w:rPr>
        <w:t xml:space="preserve">eleştirel düşünme</w:t>
      </w:r>
      <w:r>
        <w:t xml:space="preserve"> </w:t>
      </w:r>
      <w:r>
        <w:t xml:space="preserve">ve</w:t>
      </w:r>
      <w:r>
        <w:t xml:space="preserve"> </w:t>
      </w:r>
      <w:r>
        <w:rPr>
          <w:b/>
          <w:bCs/>
        </w:rPr>
        <w:t xml:space="preserve">21. yüzyıl becerileri</w:t>
      </w:r>
      <w:r>
        <w:t xml:space="preserve"> </w:t>
      </w:r>
      <w:r>
        <w:t xml:space="preserve">UbD planlarına dâhil edilmelidir</w:t>
      </w:r>
      <w:hyperlink r:id="rId25">
        <w:r>
          <w:rPr>
            <w:rStyle w:val="Hyperlink"/>
          </w:rPr>
          <w:t xml:space="preserve">[5]</w:t>
        </w:r>
      </w:hyperlink>
      <w:hyperlink r:id="rId45">
        <w:r>
          <w:rPr>
            <w:rStyle w:val="Hyperlink"/>
          </w:rPr>
          <w:t xml:space="preserve">[25]</w:t>
        </w:r>
      </w:hyperlink>
      <w:r>
        <w:t xml:space="preserve">. Eğitim etkinlikleri günlük hayat ve ulusal-değerlerle ilişkilendirilmeli, öğrenciler proje ve performans görevleriyle aktif rol almalıdır. Okul bünyesinde UbD ile ilgili komisyon veya tasarım grubu oluşturarak öğretmenler arasındaki işbirliği desteklenebilir; böylece ülke içindeki eğitim standardizasyonuna ve TED politikalarına uygun bir uygulama geliştirilir.</w:t>
      </w:r>
    </w:p>
    <w:bookmarkEnd w:id="47"/>
    <w:bookmarkStart w:id="51" w:name="X1ef1470d42c293607e08abc9926ccf787595d75"/>
    <w:p>
      <w:pPr>
        <w:pStyle w:val="Heading2"/>
      </w:pPr>
      <w:r>
        <w:t xml:space="preserve">4. Örnek UbD Üniteleri ve Müfredat Haritaları</w:t>
      </w:r>
    </w:p>
    <w:p>
      <w:pPr>
        <w:pStyle w:val="FirstParagraph"/>
      </w:pPr>
      <w:r>
        <w:t xml:space="preserve">Aşağıda ilkokul, ortaokul ve lise düzeyi için birer örnek UbD ünitesi sunulmuştur. Her tabloda ünite hedefleri, temel soru(lar), kalıcı anlamalar, performans görevleri, öğrenme etkinlikleri, değerlendirme araçları ve yaklaşık zamanlama yer almaktadır.</w:t>
      </w:r>
    </w:p>
    <w:bookmarkStart w:id="48" w:name="X175918f6efecf255e36a35e8e23facf47726237"/>
    <w:p>
      <w:pPr>
        <w:pStyle w:val="Heading3"/>
      </w:pPr>
      <w:r>
        <w:t xml:space="preserve">4.1. İlkokul Örneği: Su Döngüsü (Fen Bilimleri, 4. Sınıf)</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Öğrenme Hedefleri</w:t>
            </w:r>
          </w:p>
        </w:tc>
        <w:tc>
          <w:tcPr/>
          <w:p>
            <w:pPr>
              <w:pStyle w:val="Compact"/>
            </w:pPr>
            <w:r>
              <w:t xml:space="preserve">Temel Soru(lar)</w:t>
            </w:r>
          </w:p>
        </w:tc>
        <w:tc>
          <w:tcPr/>
          <w:p>
            <w:pPr>
              <w:pStyle w:val="Compact"/>
            </w:pPr>
            <w:r>
              <w:t xml:space="preserve">Kalıcı Anlamalar/Kazanımlar</w:t>
            </w:r>
          </w:p>
        </w:tc>
        <w:tc>
          <w:tcPr/>
          <w:p>
            <w:pPr>
              <w:pStyle w:val="Compact"/>
            </w:pPr>
            <w:r>
              <w:t xml:space="preserve">Performans Görevi</w:t>
            </w:r>
          </w:p>
        </w:tc>
        <w:tc>
          <w:tcPr/>
          <w:p>
            <w:pPr>
              <w:pStyle w:val="Compact"/>
            </w:pPr>
            <w:r>
              <w:t xml:space="preserve">Öğrenme Etkinlikleri</w:t>
            </w:r>
          </w:p>
        </w:tc>
        <w:tc>
          <w:tcPr/>
          <w:p>
            <w:pPr>
              <w:pStyle w:val="Compact"/>
            </w:pPr>
            <w:r>
              <w:t xml:space="preserve">Değerlendirme Araçları</w:t>
            </w:r>
          </w:p>
        </w:tc>
        <w:tc>
          <w:tcPr/>
          <w:p>
            <w:pPr>
              <w:pStyle w:val="Compact"/>
            </w:pPr>
            <w:r>
              <w:t xml:space="preserve">Süre</w:t>
            </w:r>
          </w:p>
        </w:tc>
      </w:tr>
      <w:tr>
        <w:tc>
          <w:tcPr/>
          <w:p>
            <w:pPr>
              <w:pStyle w:val="Compact"/>
            </w:pPr>
            <w:r>
              <w:t xml:space="preserve">- Su döngüsünün aşamalarını açıklar.&lt;br&gt; - Güneş enerjisinin suyun buharlaşmasındaki rolünü açıklar.&lt;br&gt; - Doğadaki suyun önemini kavrar.</w:t>
            </w:r>
          </w:p>
        </w:tc>
        <w:tc>
          <w:tcPr/>
          <w:p>
            <w:pPr>
              <w:pStyle w:val="Compact"/>
            </w:pPr>
            <w:r>
              <w:rPr>
                <w:i/>
                <w:iCs/>
              </w:rPr>
              <w:t xml:space="preserve">Su nerelerden geliyor ve nereye gidiyor?</w:t>
            </w:r>
            <w:r>
              <w:t xml:space="preserve">&lt;br&gt;</w:t>
            </w:r>
            <w:r>
              <w:rPr>
                <w:i/>
                <w:iCs/>
              </w:rPr>
              <w:t xml:space="preserve">Güneş su döngüsünde ne işe yarıyor?</w:t>
            </w:r>
          </w:p>
        </w:tc>
        <w:tc>
          <w:tcPr/>
          <w:p>
            <w:pPr>
              <w:pStyle w:val="Compact"/>
            </w:pPr>
            <w:r>
              <w:t xml:space="preserve">- Su döngüsü suyun dünyamızdaki devinimidir.&lt;br&gt;- Su, hayat için vazgeçilmezdir.&lt;br&gt;- Enerji dönüşümleri doğa olaylarını etkiler.</w:t>
            </w:r>
          </w:p>
        </w:tc>
        <w:tc>
          <w:tcPr/>
          <w:p>
            <w:pPr>
              <w:pStyle w:val="Compact"/>
            </w:pPr>
            <w:r>
              <w:rPr>
                <w:b/>
                <w:bCs/>
              </w:rPr>
              <w:t xml:space="preserve">Mini Sualtı Modeli</w:t>
            </w:r>
            <w:r>
              <w:t xml:space="preserve">: Bir plastik kapta su döngüsünü modelleyin. Kapta su, kum ve bitki bulunsun; kabı güneş ışığına maruz bırakın ve zamanla gözlemlenen değişiklikleri rapor edin.</w:t>
            </w:r>
          </w:p>
        </w:tc>
        <w:tc>
          <w:tcPr/>
          <w:p>
            <w:pPr>
              <w:pStyle w:val="Compact"/>
            </w:pPr>
            <w:r>
              <w:t xml:space="preserve">- Görsel sunum: Öğrenciler arama motorlarından veya kitaplardan su döngüsü diyagramları inceler.&lt;br&gt;- Deney:</w:t>
            </w:r>
            <w:r>
              <w:t xml:space="preserve"> </w:t>
            </w:r>
            <w:r>
              <w:rPr>
                <w:i/>
                <w:iCs/>
              </w:rPr>
              <w:t xml:space="preserve">Hava balonu</w:t>
            </w:r>
            <w:r>
              <w:t xml:space="preserve"> </w:t>
            </w:r>
            <w:r>
              <w:t xml:space="preserve">içinde su buharı yaratma (kaynar su ve kapalı kapta buhar görülebilir).&lt;br&gt;- Grup çalışması: “Su Döngüsü Oyunu” (sıralı adımları rol oynayarak canlandırma).&lt;br&gt;- Kavram haritası oluşturma: gruplar su döngüsü adımlarını haritalar.</w:t>
            </w:r>
          </w:p>
        </w:tc>
        <w:tc>
          <w:tcPr/>
          <w:p>
            <w:pPr>
              <w:pStyle w:val="Compact"/>
            </w:pPr>
            <w:r>
              <w:t xml:space="preserve">- Gözlem formları (su döngüsü projesini değerlendirir).&lt;br&gt;- Öğrenci sunumları (grup çalışması sunumları rubriğe göre değerlendirilir).&lt;br&gt;- Quiz (Temel bilgi soruları).&lt;br&gt;- Öz-değerlendirme ve akran değerlendirme formları.</w:t>
            </w:r>
          </w:p>
        </w:tc>
        <w:tc>
          <w:tcPr/>
          <w:p>
            <w:pPr>
              <w:pStyle w:val="Compact"/>
            </w:pPr>
            <w:r>
              <w:t xml:space="preserve">2 hafta (4 ders)</w:t>
            </w:r>
          </w:p>
        </w:tc>
      </w:tr>
    </w:tbl>
    <w:p>
      <w:pPr>
        <w:pStyle w:val="BodyText"/>
      </w:pPr>
      <w:r>
        <w:rPr>
          <w:b/>
          <w:bCs/>
        </w:rPr>
        <w:t xml:space="preserve">Açıklama:</w:t>
      </w:r>
      <w:r>
        <w:t xml:space="preserve"> </w:t>
      </w:r>
      <w:r>
        <w:t xml:space="preserve">Su Döngüsü bir “büyük fikir” olarak, çevremizde sürekli gerçekleşen ve tüm canlılar için hayati önemde olan döngüsel bir süreçtir. Bu üniteyle öğrencilerin günlük yaşamda suyun hangi yollarla kullanıldığını kavramaları amaçlanır. Performans görevi olarak hazırlanan “Mini Sualtı Modeli”, gerçekteki su döngüsünü benzetimle deneyimleme ve sonuçları yorumlama fırsatı verir. Böylece öğrenci,</w:t>
      </w:r>
      <w:r>
        <w:t xml:space="preserve"> </w:t>
      </w:r>
      <w:r>
        <w:rPr>
          <w:i/>
          <w:iCs/>
        </w:rPr>
        <w:t xml:space="preserve">“Su neden tükendiğinde yeniden yerine konur”</w:t>
      </w:r>
      <w:r>
        <w:t xml:space="preserve"> </w:t>
      </w:r>
      <w:r>
        <w:t xml:space="preserve">gibi kavramı içselleştirir. Değerlendirme aşamalarında rubrikler kullanılarak öğrencinin model oluşturma, sunum ve rapor yazma becerileri ölçülür. Süre olarak 4 ders planlanmıştır.</w:t>
      </w:r>
    </w:p>
    <w:bookmarkEnd w:id="48"/>
    <w:bookmarkStart w:id="49" w:name="X2901182e896dc96f334f8788181f48f74222f2a"/>
    <w:p>
      <w:pPr>
        <w:pStyle w:val="Heading3"/>
      </w:pPr>
      <w:r>
        <w:t xml:space="preserve">4.2. Ortaokul Örneği: Orantılılık ve Oranlar (Matematik, 7. Sınıf)</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Öğrenme Hedefleri</w:t>
            </w:r>
          </w:p>
        </w:tc>
        <w:tc>
          <w:tcPr/>
          <w:p>
            <w:pPr>
              <w:pStyle w:val="Compact"/>
            </w:pPr>
            <w:r>
              <w:t xml:space="preserve">Temel Soru(lar)</w:t>
            </w:r>
          </w:p>
        </w:tc>
        <w:tc>
          <w:tcPr/>
          <w:p>
            <w:pPr>
              <w:pStyle w:val="Compact"/>
            </w:pPr>
            <w:r>
              <w:t xml:space="preserve">Kalıcı Anlamalar/Kazanımlar</w:t>
            </w:r>
          </w:p>
        </w:tc>
        <w:tc>
          <w:tcPr/>
          <w:p>
            <w:pPr>
              <w:pStyle w:val="Compact"/>
            </w:pPr>
            <w:r>
              <w:t xml:space="preserve">Performans Görevi</w:t>
            </w:r>
          </w:p>
        </w:tc>
        <w:tc>
          <w:tcPr/>
          <w:p>
            <w:pPr>
              <w:pStyle w:val="Compact"/>
            </w:pPr>
            <w:r>
              <w:t xml:space="preserve">Öğrenme Etkinlikleri</w:t>
            </w:r>
          </w:p>
        </w:tc>
        <w:tc>
          <w:tcPr/>
          <w:p>
            <w:pPr>
              <w:pStyle w:val="Compact"/>
            </w:pPr>
            <w:r>
              <w:t xml:space="preserve">Değerlendirme Araçları</w:t>
            </w:r>
          </w:p>
        </w:tc>
        <w:tc>
          <w:tcPr/>
          <w:p>
            <w:pPr>
              <w:pStyle w:val="Compact"/>
            </w:pPr>
            <w:r>
              <w:t xml:space="preserve">Süre</w:t>
            </w:r>
          </w:p>
        </w:tc>
      </w:tr>
      <w:tr>
        <w:tc>
          <w:tcPr/>
          <w:p>
            <w:pPr>
              <w:pStyle w:val="Compact"/>
            </w:pPr>
            <w:r>
              <w:t xml:space="preserve">- Oran kavramını ve orantının tanımını açıklar.&lt;br&gt;- Gerçek hayat problemlerinde orantıyı kullanır.</w:t>
            </w:r>
          </w:p>
        </w:tc>
        <w:tc>
          <w:tcPr/>
          <w:p>
            <w:pPr>
              <w:pStyle w:val="Compact"/>
            </w:pPr>
            <w:r>
              <w:rPr>
                <w:i/>
                <w:iCs/>
              </w:rPr>
              <w:t xml:space="preserve">Neden fiyatlar ve miktarlar birbirine orantılı hesaplanabilir?</w:t>
            </w:r>
            <w:r>
              <w:t xml:space="preserve">&lt;br&gt;</w:t>
            </w:r>
            <w:r>
              <w:rPr>
                <w:i/>
                <w:iCs/>
              </w:rPr>
              <w:t xml:space="preserve">Orantı günlük hayatımızda nerelerde karşımıza çıkar?</w:t>
            </w:r>
          </w:p>
        </w:tc>
        <w:tc>
          <w:tcPr/>
          <w:p>
            <w:pPr>
              <w:pStyle w:val="Compact"/>
            </w:pPr>
            <w:r>
              <w:t xml:space="preserve">- Oran, iki niceliğin karşılaştırılmasını ifade eder ve pek çok problemde kullanılır.&lt;br&gt;- Gerçek yaşamda birçok hesaplama</w:t>
            </w:r>
            <w:r>
              <w:t xml:space="preserve"> </w:t>
            </w:r>
            <w:r>
              <w:rPr>
                <w:b/>
                <w:bCs/>
              </w:rPr>
              <w:t xml:space="preserve">orantı</w:t>
            </w:r>
            <w:r>
              <w:t xml:space="preserve"> </w:t>
            </w:r>
            <w:r>
              <w:t xml:space="preserve">ile yapılır (ör. tarifler, harita ölçekleri).&lt;br&gt;- Matematiksel kavramlar somut uygulamalarla anlaşılır.</w:t>
            </w:r>
          </w:p>
        </w:tc>
        <w:tc>
          <w:tcPr/>
          <w:p>
            <w:pPr>
              <w:pStyle w:val="Compact"/>
            </w:pPr>
            <w:r>
              <w:rPr>
                <w:b/>
                <w:bCs/>
              </w:rPr>
              <w:t xml:space="preserve">Market Gezgini Görevi</w:t>
            </w:r>
            <w:r>
              <w:t xml:space="preserve">: Öğrenciler, verilen bütçe ve bir alışveriş listesi için farklı mağazalardaki fiyatları karşılaştırarak en uygun alışverişi planlayacak. Planlarını sunarken kullandıkları oran-orantı hesaplamalarını açıklar ve alıştırır.</w:t>
            </w:r>
          </w:p>
        </w:tc>
        <w:tc>
          <w:tcPr/>
          <w:p>
            <w:pPr>
              <w:pStyle w:val="Compact"/>
            </w:pPr>
            <w:r>
              <w:t xml:space="preserve">- Sayı ve grafikla görselleştirme: Oran kullanımını içeren örnek grafikler ve çizelgeler üzerinde grup tartışması.&lt;br&gt;- Problem çözme: Farklı yemek tariflerinin kişi sayısına göre oran ayarlaması.&lt;br&gt;- Matematik oyunu: “Oran Bulmaca” (gruplar verilen ipuçlarıyla uygun oranları bularak sonuca ulaşır).&lt;br&gt;- Kavram Haritaları: Orantıyla ilişkili kavramları harita üzerine yerleştirme.</w:t>
            </w:r>
          </w:p>
        </w:tc>
        <w:tc>
          <w:tcPr/>
          <w:p>
            <w:pPr>
              <w:pStyle w:val="Compact"/>
            </w:pPr>
            <w:r>
              <w:t xml:space="preserve">- Rubrikler (alışveriş planı sunumu, matematiksel doğruluk, takım çalışması).&lt;br&gt;- Sözlü sunum değerlendirme (performans görevi).&lt;br&gt;- Kısa sınav (oran problemleri çözümü).&lt;br&gt;- Çalışma sayfası (uygulama soruları).</w:t>
            </w:r>
          </w:p>
        </w:tc>
        <w:tc>
          <w:tcPr/>
          <w:p>
            <w:pPr>
              <w:pStyle w:val="Compact"/>
            </w:pPr>
            <w:r>
              <w:t xml:space="preserve">3 hafta (6 ders)</w:t>
            </w:r>
          </w:p>
        </w:tc>
      </w:tr>
    </w:tbl>
    <w:p>
      <w:pPr>
        <w:pStyle w:val="BodyText"/>
      </w:pPr>
      <w:r>
        <w:rPr>
          <w:b/>
          <w:bCs/>
        </w:rPr>
        <w:t xml:space="preserve">Açıklama:</w:t>
      </w:r>
      <w:r>
        <w:t xml:space="preserve"> </w:t>
      </w:r>
      <w:r>
        <w:t xml:space="preserve">Bu ünitede “oran” ve “orantı”, günlük hayata doğrudan ait kavramlar olarak ele alınır. Temel sorular aracılığıyla matematiksel kavramların neden önemli olduğu vurgulanır. Performans görevinde öğrenciler, gerçekçi bir senaryoda (market alışverişi) orantı hesaplamaları yaparak problemlerini çözer; böylece soyut kavramı pratiğe aktarırlar. Değerlendirme rubriği ile öğrencilerin hesaplama doğruluğu, sunum ve işbirliği dikkate alınır.</w:t>
      </w:r>
    </w:p>
    <w:bookmarkEnd w:id="49"/>
    <w:bookmarkStart w:id="50" w:name="X0933f1fa4f810b5f8e48fd68b3bce3f11cfae48"/>
    <w:p>
      <w:pPr>
        <w:pStyle w:val="Heading3"/>
      </w:pPr>
      <w:r>
        <w:t xml:space="preserve">4.3. Lise Örneği: Fotosentez ve Hücresel Solunum (Biyoloji, 10. Sınıf)</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Öğrenme Hedefleri</w:t>
            </w:r>
          </w:p>
        </w:tc>
        <w:tc>
          <w:tcPr/>
          <w:p>
            <w:pPr>
              <w:pStyle w:val="Compact"/>
            </w:pPr>
            <w:r>
              <w:t xml:space="preserve">Temel Soru(lar)</w:t>
            </w:r>
          </w:p>
        </w:tc>
        <w:tc>
          <w:tcPr/>
          <w:p>
            <w:pPr>
              <w:pStyle w:val="Compact"/>
            </w:pPr>
            <w:r>
              <w:t xml:space="preserve">Kalıcı Anlamalar/Kazanımlar</w:t>
            </w:r>
          </w:p>
        </w:tc>
        <w:tc>
          <w:tcPr/>
          <w:p>
            <w:pPr>
              <w:pStyle w:val="Compact"/>
            </w:pPr>
            <w:r>
              <w:t xml:space="preserve">Performans Görevi</w:t>
            </w:r>
          </w:p>
        </w:tc>
        <w:tc>
          <w:tcPr/>
          <w:p>
            <w:pPr>
              <w:pStyle w:val="Compact"/>
            </w:pPr>
            <w:r>
              <w:t xml:space="preserve">Öğrenme Etkinlikleri</w:t>
            </w:r>
          </w:p>
        </w:tc>
        <w:tc>
          <w:tcPr/>
          <w:p>
            <w:pPr>
              <w:pStyle w:val="Compact"/>
            </w:pPr>
            <w:r>
              <w:t xml:space="preserve">Değerlendirme Araçları</w:t>
            </w:r>
          </w:p>
        </w:tc>
        <w:tc>
          <w:tcPr/>
          <w:p>
            <w:pPr>
              <w:pStyle w:val="Compact"/>
            </w:pPr>
            <w:r>
              <w:t xml:space="preserve">Süre</w:t>
            </w:r>
          </w:p>
        </w:tc>
      </w:tr>
      <w:tr>
        <w:tc>
          <w:tcPr/>
          <w:p>
            <w:pPr>
              <w:pStyle w:val="Compact"/>
            </w:pPr>
            <w:r>
              <w:t xml:space="preserve">- Bitkilerde fotosentez ve hayvanlarda hücresel solunum süreçlerini açıklar.&lt;br&gt;- Bu iki sürecin canlılar ve ekosistem için önemini kavrar.</w:t>
            </w:r>
          </w:p>
        </w:tc>
        <w:tc>
          <w:tcPr/>
          <w:p>
            <w:pPr>
              <w:pStyle w:val="Compact"/>
            </w:pPr>
            <w:r>
              <w:rPr>
                <w:i/>
                <w:iCs/>
              </w:rPr>
              <w:t xml:space="preserve">Fotosentez enerjiyi depolamak mı, tüketmek mi?</w:t>
            </w:r>
            <w:r>
              <w:t xml:space="preserve">&lt;br&gt;</w:t>
            </w:r>
            <w:r>
              <w:rPr>
                <w:i/>
                <w:iCs/>
              </w:rPr>
              <w:t xml:space="preserve">Hücrelerimizdeki bu iki zıt süreç nasıl birlikte çalışır?</w:t>
            </w:r>
          </w:p>
        </w:tc>
        <w:tc>
          <w:tcPr/>
          <w:p>
            <w:pPr>
              <w:pStyle w:val="Compact"/>
            </w:pPr>
            <w:r>
              <w:t xml:space="preserve">- Fotosentez, güneş enerjisini kimyasal enerjiye çevirir.&lt;br&gt;- Fotosentez ve solunum, ekosistem enerji akışını dengeler.&lt;br&gt;- Canlıların enerji ihtiyaçları biyokimyasal süreçlerle sağlanır.</w:t>
            </w:r>
          </w:p>
        </w:tc>
        <w:tc>
          <w:tcPr/>
          <w:p>
            <w:pPr>
              <w:pStyle w:val="Compact"/>
            </w:pPr>
            <w:r>
              <w:rPr>
                <w:b/>
                <w:bCs/>
              </w:rPr>
              <w:t xml:space="preserve">Eko-Denge Projesi</w:t>
            </w:r>
            <w:r>
              <w:t xml:space="preserve">: Öğrenciler, sınıfta küçük bir terraryum veya akvaryum kurarak fotosentez ve solunumu modelleyecek. Oksijen ve karbondioksit değişimini gözlemleyip veri toplarken, elde ettikleri sonuçları raporlayacak ve süreci sınıf panosunda posterle ifade edecekler.</w:t>
            </w:r>
          </w:p>
        </w:tc>
        <w:tc>
          <w:tcPr/>
          <w:p>
            <w:pPr>
              <w:pStyle w:val="Compact"/>
            </w:pPr>
            <w:r>
              <w:t xml:space="preserve">- Laboratuvar: Bitki örneği ile fotosentez deneyleri (iodine test, su bitkisi kullanımı).&lt;br&gt;- Simülasyon: Bilgisayar destekli fotosentez/solunum simülasyon programları.&lt;br&gt;- Çalışma grubu tartışmaları: Fotosentez ve solunumda ara-ürünlerin rolü.&lt;br&gt;- Kavramsal yapı: Diyagram çizimi (kloroplast vs. mitokondri karşılaştırması).</w:t>
            </w:r>
          </w:p>
        </w:tc>
        <w:tc>
          <w:tcPr/>
          <w:p>
            <w:pPr>
              <w:pStyle w:val="Compact"/>
            </w:pPr>
            <w:r>
              <w:t xml:space="preserve">- Performans görevi rubriği (deney raporu, poster sunumu, ekibiyle işbirliği).&lt;br&gt;- Laboratuvar defteri (not tutma ve gözlem kaydı).&lt;br&gt;- Yazılı sınav (bilişsel başarı soruları).&lt;br&gt;- Portfolyo (öğrencinin deney notları, rapor ve poster dahil).</w:t>
            </w:r>
          </w:p>
        </w:tc>
        <w:tc>
          <w:tcPr/>
          <w:p>
            <w:pPr>
              <w:pStyle w:val="Compact"/>
            </w:pPr>
            <w:r>
              <w:t xml:space="preserve">4 hafta (8 ders)</w:t>
            </w:r>
          </w:p>
        </w:tc>
      </w:tr>
    </w:tbl>
    <w:p>
      <w:pPr>
        <w:pStyle w:val="BodyText"/>
      </w:pPr>
      <w:r>
        <w:rPr>
          <w:b/>
          <w:bCs/>
        </w:rPr>
        <w:t xml:space="preserve">Açıklama:</w:t>
      </w:r>
      <w:r>
        <w:t xml:space="preserve"> </w:t>
      </w:r>
      <w:r>
        <w:t xml:space="preserve">Lise düzeyinde fotosentez ve solunum konuları,</w:t>
      </w:r>
      <w:r>
        <w:t xml:space="preserve"> </w:t>
      </w:r>
      <w:r>
        <w:rPr>
          <w:i/>
          <w:iCs/>
        </w:rPr>
        <w:t xml:space="preserve">“enerji dönüşümü ve yaşam”</w:t>
      </w:r>
      <w:r>
        <w:t xml:space="preserve"> </w:t>
      </w:r>
      <w:r>
        <w:t xml:space="preserve">adlı büyük bir fikir altında toplanır. Öğrencilerin biyokimyasal süreçleri kavramsal olarak içselleştirmeleri hedeflenir. “Eko-Denge Projesi” performans görevi, bu iki süreci bütünleşik bir modelle deneyimleme imkânı sunar. Ünite boyunca öğrencinin bilimsel yöntemle gözlem, veri analizi, eleştirel düşünme becerileri geliştirilir. Değerlendirme, deney sonuçlarının doğruluğu, sunum kalitesi ve ekip çalışması üzerinden yapılır.</w:t>
      </w:r>
    </w:p>
    <w:bookmarkEnd w:id="50"/>
    <w:bookmarkEnd w:id="51"/>
    <w:bookmarkStart w:id="54" w:name="X2b384b46eb31f4fbacdf57fd438b0dec09fd21f"/>
    <w:p>
      <w:pPr>
        <w:pStyle w:val="Heading2"/>
      </w:pPr>
      <w:r>
        <w:t xml:space="preserve">5. Öğretmen Eğitimi ve Profesyonel Gelişim Planı</w:t>
      </w:r>
    </w:p>
    <w:p>
      <w:pPr>
        <w:pStyle w:val="FirstParagraph"/>
      </w:pPr>
      <w:r>
        <w:t xml:space="preserve">UbD’yi benimseyen okullarda</w:t>
      </w:r>
      <w:r>
        <w:t xml:space="preserve"> </w:t>
      </w:r>
      <w:r>
        <w:rPr>
          <w:b/>
          <w:bCs/>
        </w:rPr>
        <w:t xml:space="preserve">öğretmen eğitimi</w:t>
      </w:r>
      <w:r>
        <w:t xml:space="preserve">, bu yaklaşımın başarıyla uygulanması için kritik önemdedir. Aşağıdaki unsurlar içermelidir:</w:t>
      </w:r>
    </w:p>
    <w:p>
      <w:pPr>
        <w:pStyle w:val="Compact"/>
        <w:numPr>
          <w:ilvl w:val="0"/>
          <w:numId w:val="1001"/>
        </w:numPr>
      </w:pPr>
      <w:r>
        <w:rPr>
          <w:b/>
          <w:bCs/>
        </w:rPr>
        <w:t xml:space="preserve">İçerik:</w:t>
      </w:r>
      <w:r>
        <w:t xml:space="preserve"> </w:t>
      </w:r>
      <w:r>
        <w:t xml:space="preserve">UbD teorisi (anlamaya odaklanma, geriye dönük tasarım) ve pratik şablonlar öğretilir. Öğretmenler, UbD’nin üç aşamasını, temel soruları, kalıcı anlayışları, performans görevlerini ve rubrik yazımını öğrenir. Ayrıca disiplinlerarası planlama teknikleri ve farklılaştırılmış öğretim yöntemleri de ele alınır.</w:t>
      </w:r>
    </w:p>
    <w:p>
      <w:pPr>
        <w:pStyle w:val="Compact"/>
        <w:numPr>
          <w:ilvl w:val="0"/>
          <w:numId w:val="1001"/>
        </w:numPr>
      </w:pPr>
      <w:r>
        <w:rPr>
          <w:b/>
          <w:bCs/>
        </w:rPr>
        <w:t xml:space="preserve">Süre ve Biçim:</w:t>
      </w:r>
      <w:r>
        <w:t xml:space="preserve"> </w:t>
      </w:r>
      <w:r>
        <w:t xml:space="preserve">İlk olarak kapsamlı bir atölye düzenlenir (ör. 2–3 günlük yoğun seminer). Bunu izleyen aylarda ara dönemlerde yarım günlük ya da saatlik devam eğitimleri yapılır. Öğretmenlerin edindikleri becerileri pekiştirmek için yılda en az 2–3 kez uygulamalı çalıştay veya okul içi seminerler organize edilmelidir. Sürekli öğrenmeyi teşvik için UbD konusunda sertifikalı danışmanlar veya uluslararası uzmanlar (örneğin Authentic Education eğitimcileri) davet edilebilir.</w:t>
      </w:r>
    </w:p>
    <w:p>
      <w:pPr>
        <w:pStyle w:val="Compact"/>
        <w:numPr>
          <w:ilvl w:val="0"/>
          <w:numId w:val="1001"/>
        </w:numPr>
      </w:pPr>
      <w:r>
        <w:rPr>
          <w:b/>
          <w:bCs/>
        </w:rPr>
        <w:t xml:space="preserve">Mentorluk ve İşbirliği:</w:t>
      </w:r>
      <w:r>
        <w:t xml:space="preserve"> </w:t>
      </w:r>
      <w:r>
        <w:t xml:space="preserve">Tecrübe kazanan öğretmenler mentor olarak görevlendirilir. Yeni uygulayıcılar için öğretmen ekipleri oluşturulur ve bu ekipler haftalık/aylık toplantılarla bir araya gelerek plan ve materyal paylaşımında bulunur. UbD planlama,</w:t>
      </w:r>
      <w:r>
        <w:t xml:space="preserve"> </w:t>
      </w:r>
      <w:r>
        <w:rPr>
          <w:b/>
          <w:bCs/>
        </w:rPr>
        <w:t xml:space="preserve">işbirlikli tasarım</w:t>
      </w:r>
      <w:r>
        <w:t xml:space="preserve"> </w:t>
      </w:r>
      <w:r>
        <w:t xml:space="preserve">gerektirdiğinden, öğretmenler birbiriyle eşgüdüm içinde çalışmalıdır (bu yöntem UbD çerçevesinde “üretken işbirliğini” vurgular</w:t>
      </w:r>
      <w:hyperlink r:id="rId52">
        <w:r>
          <w:rPr>
            <w:rStyle w:val="Hyperlink"/>
          </w:rPr>
          <w:t xml:space="preserve">[27]</w:t>
        </w:r>
      </w:hyperlink>
      <w:r>
        <w:t xml:space="preserve">). Okul yönetimi, öğretmenlere planlama için zaman tahsis etmeli; mesai dışında çok ek mesai gerektirmeyecek biçimde program düzenlenmelidir.</w:t>
      </w:r>
    </w:p>
    <w:p>
      <w:pPr>
        <w:pStyle w:val="Compact"/>
        <w:numPr>
          <w:ilvl w:val="0"/>
          <w:numId w:val="1001"/>
        </w:numPr>
      </w:pPr>
      <w:r>
        <w:rPr>
          <w:b/>
          <w:bCs/>
        </w:rPr>
        <w:t xml:space="preserve">Gözlem ve Geri Bildirim:</w:t>
      </w:r>
      <w:r>
        <w:t xml:space="preserve"> </w:t>
      </w:r>
      <w:r>
        <w:t xml:space="preserve">UbD uygulayan dersler, bölüm başkanları veya dış uzmanlar tarafından gözlemlenir. Gözlemde, dersin UbD hedeflerine uygun ilerleyip ilerlemediği kontrol edilir. Öğretmenler ders sonrası yapılandırılmış geri bildirim alır (ör. zirve toplantıları). Gözlem formları UbD kriterlerine (hedef uyumluğu, öğrenci katılımı, proje/görev kullanımı vs.) göre hazırlanır. Ayrıca öğretmenler arası</w:t>
      </w:r>
      <w:r>
        <w:t xml:space="preserve"> </w:t>
      </w:r>
      <w:r>
        <w:rPr>
          <w:b/>
          <w:bCs/>
        </w:rPr>
        <w:t xml:space="preserve">ağaçlama ve video-inceleme</w:t>
      </w:r>
      <w:r>
        <w:t xml:space="preserve"> </w:t>
      </w:r>
      <w:r>
        <w:t xml:space="preserve">oturumları yapılarak en iyi uygulamalar paylaşılır. Bu süreçler, öğretmenlerin sürekli mesleki gelişimini destekleyecektir.</w:t>
      </w:r>
    </w:p>
    <w:p>
      <w:pPr>
        <w:pStyle w:val="FirstParagraph"/>
      </w:pPr>
      <w:r>
        <w:t xml:space="preserve">Profesyonel gelişim planının temel ilkesi,</w:t>
      </w:r>
      <w:r>
        <w:t xml:space="preserve"> </w:t>
      </w:r>
      <w:r>
        <w:rPr>
          <w:i/>
          <w:iCs/>
        </w:rPr>
        <w:t xml:space="preserve">“öğretmenlerin kuramsal bilgiyle pratik beceriyi birleştirerek yetkinlik kazanması”</w:t>
      </w:r>
      <w:r>
        <w:t xml:space="preserve"> </w:t>
      </w:r>
      <w:r>
        <w:t xml:space="preserve">olmalıdır</w:t>
      </w:r>
      <w:hyperlink r:id="rId31">
        <w:r>
          <w:rPr>
            <w:rStyle w:val="Hyperlink"/>
          </w:rPr>
          <w:t xml:space="preserve">[28]</w:t>
        </w:r>
      </w:hyperlink>
      <w:r>
        <w:t xml:space="preserve">. Ayrıca eğitim sırasında ve sonrasında yapılacak</w:t>
      </w:r>
      <w:r>
        <w:t xml:space="preserve"> </w:t>
      </w:r>
      <w:r>
        <w:rPr>
          <w:b/>
          <w:bCs/>
        </w:rPr>
        <w:t xml:space="preserve">geri bildirim döngüleri</w:t>
      </w:r>
      <w:r>
        <w:t xml:space="preserve">, öğretmenlerin UbD tasarımında ustalaşmalarını sağlayacaktır (UbD, öğretmenlerin “için öğrencinin öğrenmesini gözeten koç” rolünü vurgular</w:t>
      </w:r>
      <w:hyperlink r:id="rId53">
        <w:r>
          <w:rPr>
            <w:rStyle w:val="Hyperlink"/>
          </w:rPr>
          <w:t xml:space="preserve">[29]</w:t>
        </w:r>
      </w:hyperlink>
      <w:r>
        <w:t xml:space="preserve">).</w:t>
      </w:r>
    </w:p>
    <w:bookmarkEnd w:id="54"/>
    <w:bookmarkStart w:id="55" w:name="değerlendirme-ve-izleme"/>
    <w:p>
      <w:pPr>
        <w:pStyle w:val="Heading2"/>
      </w:pPr>
      <w:r>
        <w:t xml:space="preserve">6. Değerlendirme ve İzleme</w:t>
      </w:r>
    </w:p>
    <w:p>
      <w:pPr>
        <w:pStyle w:val="FirstParagraph"/>
      </w:pPr>
      <w:r>
        <w:t xml:space="preserve">UbD uygulamasında değerlendirme yalnızca öğrenci değil, programın kendini de denetlemesi anlamına gelir. Aşağıdaki yöntemlerle hem öğrencinin hem de programın başarısı izlenir:</w:t>
      </w:r>
    </w:p>
    <w:p>
      <w:pPr>
        <w:pStyle w:val="Compact"/>
        <w:numPr>
          <w:ilvl w:val="0"/>
          <w:numId w:val="1002"/>
        </w:numPr>
      </w:pPr>
      <w:r>
        <w:rPr>
          <w:b/>
          <w:bCs/>
        </w:rPr>
        <w:t xml:space="preserve">Başarı Göstergeleri:</w:t>
      </w:r>
      <w:r>
        <w:t xml:space="preserve"> </w:t>
      </w:r>
      <w:r>
        <w:t xml:space="preserve">Öğrencinin büyük fikirleri anlama derecesi ve bilgiyi farklı bağlamlara aktarabilme yeteneği, UbD’nin temel başarısının ölçütüdür. Bu nedenle sınav puanlarının yanında performans görevlerinin rubrik notları, proje kalite raporları, portfolyo içeriği gibi nicelik ve nitel veri toplanır. Ayrıca</w:t>
      </w:r>
      <w:r>
        <w:t xml:space="preserve"> </w:t>
      </w:r>
      <w:r>
        <w:rPr>
          <w:i/>
          <w:iCs/>
        </w:rPr>
        <w:t xml:space="preserve">“altı yüzlü anlama”</w:t>
      </w:r>
      <w:r>
        <w:t xml:space="preserve"> </w:t>
      </w:r>
      <w:r>
        <w:t xml:space="preserve">kriterlerine göre öğrenme çıktılarını değerlendiren anketler ve öğrenci yansımaları (REFLECT formları) kullanılabilir.</w:t>
      </w:r>
    </w:p>
    <w:p>
      <w:pPr>
        <w:pStyle w:val="Compact"/>
        <w:numPr>
          <w:ilvl w:val="0"/>
          <w:numId w:val="1002"/>
        </w:numPr>
      </w:pPr>
      <w:r>
        <w:rPr>
          <w:b/>
          <w:bCs/>
        </w:rPr>
        <w:t xml:space="preserve">Rubrik Örnekleri:</w:t>
      </w:r>
      <w:r>
        <w:t xml:space="preserve"> </w:t>
      </w:r>
      <w:r>
        <w:t xml:space="preserve">Performans görevleri için oluşturulacak rubrikler, öğrencinin</w:t>
      </w:r>
      <w:r>
        <w:t xml:space="preserve"> </w:t>
      </w:r>
      <w:r>
        <w:rPr>
          <w:b/>
          <w:bCs/>
        </w:rPr>
        <w:t xml:space="preserve">anlamasını</w:t>
      </w:r>
      <w:r>
        <w:t xml:space="preserve"> </w:t>
      </w:r>
      <w:r>
        <w:t xml:space="preserve">ve</w:t>
      </w:r>
      <w:r>
        <w:t xml:space="preserve"> </w:t>
      </w:r>
      <w:r>
        <w:rPr>
          <w:b/>
          <w:bCs/>
        </w:rPr>
        <w:t xml:space="preserve">yapılan işin kalitesini</w:t>
      </w:r>
      <w:r>
        <w:t xml:space="preserve"> </w:t>
      </w:r>
      <w:r>
        <w:t xml:space="preserve">ölçmelidir. Örneğin bir proje görevi rubriği, “Kavramları doğru uygulama”, “Sorgulama ve analiz becerisi”, “İşbirliği ve iletişim” gibi boyutlar içerebilir. UbD kılavuzlarında (ASCD vb.) yayımlanan rubrik örneklerinden yararlanılabilir. Türkçe bir örnek:</w:t>
      </w:r>
      <w:r>
        <w:t xml:space="preserve"> </w:t>
      </w:r>
      <w:r>
        <w:rPr>
          <w:i/>
          <w:iCs/>
        </w:rPr>
        <w:t xml:space="preserve">“Öğrencinin büyük fikri tanımlama ve açıklama becerisi”</w:t>
      </w:r>
      <w:r>
        <w:t xml:space="preserve"> </w:t>
      </w:r>
      <w:r>
        <w:t xml:space="preserve">1–4 puan aralığında değerlendiren bir rubrik kullanmak mümkündür.</w:t>
      </w:r>
    </w:p>
    <w:p>
      <w:pPr>
        <w:pStyle w:val="Compact"/>
        <w:numPr>
          <w:ilvl w:val="0"/>
          <w:numId w:val="1002"/>
        </w:numPr>
      </w:pPr>
      <w:r>
        <w:rPr>
          <w:b/>
          <w:bCs/>
        </w:rPr>
        <w:t xml:space="preserve">Veri Toplama Yöntemleri:</w:t>
      </w:r>
      <w:r>
        <w:t xml:space="preserve"> </w:t>
      </w:r>
      <w:r>
        <w:t xml:space="preserve">Öğrencilerin çalışma süreçlerini değerlendirmek için</w:t>
      </w:r>
      <w:r>
        <w:t xml:space="preserve"> </w:t>
      </w:r>
      <w:r>
        <w:rPr>
          <w:b/>
          <w:bCs/>
        </w:rPr>
        <w:t xml:space="preserve">portfolyo</w:t>
      </w:r>
      <w:r>
        <w:t xml:space="preserve"> </w:t>
      </w:r>
      <w:r>
        <w:t xml:space="preserve">yaklaşımı benimsenebilir. Portfolyoya ünite öncesi ve sonrası çalışmalar, sınavlar, performans görevi ürünleri konulur ve gelişim analiz edilir. Dijital araçlar (öğrenci blogları, e-portfolyolar) da veri toplanmasına yardımcı olur. Ayrıca yılda iki kez yapılan standart testlerin (ortaokul LGS, lise seçme sınavları vb.) analizleri, UbD uygulamasının akademik sonuçları açısından izlenir. Sınıf içi kısa değerlendirmeler (exit ticket, kahoot testleri) geri bildirim için kullanılır.</w:t>
      </w:r>
    </w:p>
    <w:p>
      <w:pPr>
        <w:pStyle w:val="Compact"/>
        <w:numPr>
          <w:ilvl w:val="0"/>
          <w:numId w:val="1002"/>
        </w:numPr>
      </w:pPr>
      <w:r>
        <w:rPr>
          <w:b/>
          <w:bCs/>
        </w:rPr>
        <w:t xml:space="preserve">Portfolyo ve Performans Değerlendirme:</w:t>
      </w:r>
      <w:r>
        <w:t xml:space="preserve"> </w:t>
      </w:r>
      <w:r>
        <w:t xml:space="preserve">Öğrenci portfolyoları sayesinde bireyin yıl içindeki ilerlemesi izlenir. Öğrenci kendini ve akranını değerlendirme yapmaya teşvik edilir; bu, öğrenciyi süreç sahibi kılar. Ayrıca bazı ana performans görevleri (örneğin grup projeleri) haricinde düzenli olarak bireysel performans görevi uygulanması, öğrencinin el ile yazı, proje veya sunum şeklindeki kanıtları üzerinden değerlendirilmesine olanak verir.</w:t>
      </w:r>
    </w:p>
    <w:p>
      <w:pPr>
        <w:pStyle w:val="FirstParagraph"/>
      </w:pPr>
      <w:r>
        <w:t xml:space="preserve">Bu değerlendirme sistemi, klasik sınav odaklı yaklaşımdan çok daha kapsamlıdır. Destek amaçlı veri olarak anketlerle veli görüşleri, öğrenci motivasyon ölçümleri de toplanabilir. Örneğin</w:t>
      </w:r>
      <w:r>
        <w:t xml:space="preserve"> </w:t>
      </w:r>
      <w:r>
        <w:rPr>
          <w:i/>
          <w:iCs/>
        </w:rPr>
        <w:t xml:space="preserve">“Öğrencileriniz UbD yaklaşımını derslerde faydalı buluyor mu?”</w:t>
      </w:r>
      <w:r>
        <w:t xml:space="preserve"> </w:t>
      </w:r>
      <w:r>
        <w:t xml:space="preserve">gibi Likert tip sorular içeren anketler kullanılabilir. Böylece uygulamanın çeşitli paydaşlara etkisi izlenir ve gerektiğinde düzeltici adımlar atılır.</w:t>
      </w:r>
    </w:p>
    <w:bookmarkEnd w:id="55"/>
    <w:bookmarkStart w:id="57" w:name="uygulama-takvimi-ve-kaynak-ihtiyacı"/>
    <w:p>
      <w:pPr>
        <w:pStyle w:val="Heading2"/>
      </w:pPr>
      <w:r>
        <w:t xml:space="preserve">7. Uygulama Takvimi ve Kaynak İhtiyacı</w:t>
      </w:r>
    </w:p>
    <w:p>
      <w:pPr>
        <w:pStyle w:val="FirstParagraph"/>
      </w:pPr>
      <w:r>
        <w:rPr>
          <w:b/>
          <w:bCs/>
        </w:rPr>
        <w:t xml:space="preserve">Pilot ve tam uygulama aşamaları:</w:t>
      </w:r>
      <w:r>
        <w:t xml:space="preserve"> </w:t>
      </w:r>
      <w:r>
        <w:t xml:space="preserve">İlk etapta altı aylık bir pilot uygulama öneriyoruz. Pilot aşamada öncelikle öğretmenlere temel UbD eğitimi verilir, pilot sınıflar belirlenir ve kısıtlı bir ders dizisi UbD yöntemiyle uygulanır. Pilot sonuçları analiz edilip eksiklikler giderildikten sonra tam uygulamaya geçilir (sonraki akademik yılda tüm sınıflar).</w:t>
      </w:r>
    </w:p>
    <w:p>
      <w:pPr>
        <w:pStyle w:val="BodyText"/>
      </w:pPr>
      <w:r>
        <w:rPr>
          <w:b/>
          <w:bCs/>
        </w:rPr>
        <w:t xml:space="preserve">Zamanlama (pilot örneği):</w:t>
      </w:r>
      <w:r>
        <w:t xml:space="preserve"> </w:t>
      </w:r>
      <w:r>
        <w:t xml:space="preserve">Aşağıdaki</w:t>
      </w:r>
      <w:r>
        <w:t xml:space="preserve"> </w:t>
      </w:r>
      <w:r>
        <w:rPr>
          <w:b/>
          <w:bCs/>
        </w:rPr>
        <w:t xml:space="preserve">Mermaid zaman çizelgesi</w:t>
      </w:r>
      <w:r>
        <w:t xml:space="preserve"> </w:t>
      </w:r>
      <w:r>
        <w:t xml:space="preserve">pilot sürecini göstermektedir.</w:t>
      </w:r>
    </w:p>
    <w:p>
      <w:pPr>
        <w:pStyle w:val="SourceCode"/>
      </w:pPr>
      <w:r>
        <w:rPr>
          <w:rStyle w:val="VerbatimChar"/>
        </w:rPr>
        <w:t xml:space="preserve">timeline</w:t>
      </w:r>
      <w:r>
        <w:br/>
      </w:r>
      <w:r>
        <w:rPr>
          <w:rStyle w:val="VerbatimChar"/>
        </w:rPr>
        <w:t xml:space="preserve">    title 6 Aylık UbD Pilot Programı</w:t>
      </w:r>
      <w:r>
        <w:br/>
      </w:r>
      <w:r>
        <w:rPr>
          <w:rStyle w:val="VerbatimChar"/>
        </w:rPr>
        <w:t xml:space="preserve">    2026-02-15 : Okul Yönetimi ve Ekip Hazırlığı  </w:t>
      </w:r>
      <w:r>
        <w:br/>
      </w:r>
      <w:r>
        <w:rPr>
          <w:rStyle w:val="VerbatimChar"/>
        </w:rPr>
        <w:t xml:space="preserve">    2026-03-01 : Öğretmen Eğitimi (Geriye Tasarım, UbD)  </w:t>
      </w:r>
      <w:r>
        <w:br/>
      </w:r>
      <w:r>
        <w:rPr>
          <w:rStyle w:val="VerbatimChar"/>
        </w:rPr>
        <w:t xml:space="preserve">    2026-03-15 : Ünite Hazırlığı ve Ekip Çalışması  </w:t>
      </w:r>
      <w:r>
        <w:br/>
      </w:r>
      <w:r>
        <w:rPr>
          <w:rStyle w:val="VerbatimChar"/>
        </w:rPr>
        <w:t xml:space="preserve">    2026-04-01 : Pilot Derslerin Başlaması (Seçilen Birimler)  </w:t>
      </w:r>
      <w:r>
        <w:br/>
      </w:r>
      <w:r>
        <w:rPr>
          <w:rStyle w:val="VerbatimChar"/>
        </w:rPr>
        <w:t xml:space="preserve">    2026-04-30 : Ara Dönem Değerlendirme ve Geri Bildirim  </w:t>
      </w:r>
      <w:r>
        <w:br/>
      </w:r>
      <w:r>
        <w:rPr>
          <w:rStyle w:val="VerbatimChar"/>
        </w:rPr>
        <w:t xml:space="preserve">    2026-05-15 : Revizyon ve Ek Kaynak/Destek Sağlanması  </w:t>
      </w:r>
      <w:r>
        <w:br/>
      </w:r>
      <w:r>
        <w:rPr>
          <w:rStyle w:val="VerbatimChar"/>
        </w:rPr>
        <w:t xml:space="preserve">    2026-06-01 : Pilotun Sonu – Performans Analizi  </w:t>
      </w:r>
      <w:r>
        <w:br/>
      </w:r>
      <w:r>
        <w:rPr>
          <w:rStyle w:val="VerbatimChar"/>
        </w:rPr>
        <w:t xml:space="preserve">    2026-06-15 : Nihai Değerlendirme ve Raporlama</w:t>
      </w:r>
    </w:p>
    <w:p>
      <w:pPr>
        <w:pStyle w:val="FirstParagraph"/>
      </w:pPr>
      <w:r>
        <w:rPr>
          <w:b/>
          <w:bCs/>
        </w:rPr>
        <w:t xml:space="preserve">Kaynak ihtiyacı ve maliyet:</w:t>
      </w:r>
      <w:r>
        <w:t xml:space="preserve"> </w:t>
      </w:r>
      <w:r>
        <w:t xml:space="preserve">Uygulama için öngörülen kaynaklar şunlardır:</w:t>
      </w:r>
      <w:r>
        <w:t xml:space="preserve"> </w:t>
      </w:r>
      <w:r>
        <w:t xml:space="preserve">-</w:t>
      </w:r>
      <w:r>
        <w:t xml:space="preserve"> </w:t>
      </w:r>
      <w:r>
        <w:rPr>
          <w:b/>
          <w:bCs/>
        </w:rPr>
        <w:t xml:space="preserve">İnsan Kaynakları:</w:t>
      </w:r>
      <w:r>
        <w:t xml:space="preserve"> </w:t>
      </w:r>
      <w:r>
        <w:t xml:space="preserve">Bir UbD koordinatörü ve destek ekibi (müdür yardımcısı veya müfredat uzmanları); her branşta ekip liderleri (üçer beşer öğretmen); dış uzman eğitmenler (örneğin UbD danışmanı) pilot dönemi için görevlendirilebilir. Ders tasarımı için öğretmenlere haftalık 1–2 saat fazladan zaman ayırma imkânı sağlanmalıdır. Gözlem ve mentorluk için zaman planlaması yapılır.</w:t>
      </w:r>
      <w:r>
        <w:t xml:space="preserve"> </w:t>
      </w:r>
      <w:r>
        <w:t xml:space="preserve">-</w:t>
      </w:r>
      <w:r>
        <w:t xml:space="preserve"> </w:t>
      </w:r>
      <w:r>
        <w:rPr>
          <w:b/>
          <w:bCs/>
        </w:rPr>
        <w:t xml:space="preserve">Eğitim ve danışmanlık:</w:t>
      </w:r>
      <w:r>
        <w:t xml:space="preserve"> </w:t>
      </w:r>
      <w:r>
        <w:t xml:space="preserve">Uzmanlardan alınacak eğitim hizmetleri ücretli olabilir. Yaklaşık maliyet: 10–20 öğretmen için iki-üç günlük UbD atölyesi (insan kaynağı dahil) ~100.000–150.000 TL aralığında. Ek olarak online kaynaklara (kitaplar, şablonlar, abonelikler) erişim (ASCD UbD materyalleri vb.) planlanabilir.</w:t>
      </w:r>
      <w:r>
        <w:t xml:space="preserve"> </w:t>
      </w:r>
      <w:r>
        <w:t xml:space="preserve">-</w:t>
      </w:r>
      <w:r>
        <w:t xml:space="preserve"> </w:t>
      </w:r>
      <w:r>
        <w:rPr>
          <w:b/>
          <w:bCs/>
        </w:rPr>
        <w:t xml:space="preserve">Materyaller ve altyapı:</w:t>
      </w:r>
      <w:r>
        <w:t xml:space="preserve"> </w:t>
      </w:r>
      <w:r>
        <w:t xml:space="preserve">Planlama sırasında kullanılacak yazılımlar ve şablonlar (örneğin UbD Template dijital araçları), eğitim materyalleri (yazıcı, kırtasiye) gerekecektir. Ayrıca performans görevleri için laboratuvar/atölye imkânları, multimedya donanımı (sunum makineleri, tabletler) gibi donanımlar destekleyici olur.</w:t>
      </w:r>
      <w:r>
        <w:t xml:space="preserve"> </w:t>
      </w:r>
      <w:r>
        <w:rPr>
          <w:i/>
          <w:iCs/>
        </w:rPr>
        <w:t xml:space="preserve">Budget:</w:t>
      </w:r>
      <w:r>
        <w:t xml:space="preserve"> </w:t>
      </w:r>
      <w:r>
        <w:t xml:space="preserve">Genel olarak yıllık 200.000–300.000 TL arası bir bütçe makul görülebilir (pilot dönemi için daha düşük, tam uygulamada yüksek).</w:t>
      </w:r>
      <w:r>
        <w:t xml:space="preserve"> </w:t>
      </w:r>
      <w:r>
        <w:t xml:space="preserve">-</w:t>
      </w:r>
      <w:r>
        <w:t xml:space="preserve"> </w:t>
      </w:r>
      <w:r>
        <w:rPr>
          <w:b/>
          <w:bCs/>
        </w:rPr>
        <w:t xml:space="preserve">Takip ve tekrar:</w:t>
      </w:r>
      <w:r>
        <w:t xml:space="preserve"> </w:t>
      </w:r>
      <w:r>
        <w:t xml:space="preserve">Pilotun sonunda elde edilen ders planları ve değerlendirme materyalleri bir</w:t>
      </w:r>
      <w:r>
        <w:t xml:space="preserve"> </w:t>
      </w:r>
      <w:r>
        <w:rPr>
          <w:b/>
          <w:bCs/>
        </w:rPr>
        <w:t xml:space="preserve">kurumsal plan bankası</w:t>
      </w:r>
      <w:r>
        <w:t xml:space="preserve">nda toplanır (TED İstanbul’da olduğu gibi)</w:t>
      </w:r>
      <w:hyperlink r:id="rId56">
        <w:r>
          <w:rPr>
            <w:rStyle w:val="Hyperlink"/>
          </w:rPr>
          <w:t xml:space="preserve">[30]</w:t>
        </w:r>
      </w:hyperlink>
      <w:r>
        <w:t xml:space="preserve">. Bu sayede süreç kurumsal bilgi birikimi haline gelecek, sonraki yıllarda yeniden kullanılacaktır.</w:t>
      </w:r>
    </w:p>
    <w:p>
      <w:pPr>
        <w:pStyle w:val="BodyText"/>
      </w:pPr>
      <w:r>
        <w:t xml:space="preserve">Genel olarak, UbD uygulaması geleneksel tek-dersli planlamaya göre ilk etapta zaman ve para gerektirir; fakat öğretim hedeflerine ulaşma ve eğitim kalitesini artırma potansiyeli yüksektir</w:t>
      </w:r>
      <w:hyperlink r:id="rId30">
        <w:r>
          <w:rPr>
            <w:rStyle w:val="Hyperlink"/>
          </w:rPr>
          <w:t xml:space="preserve">[10]</w:t>
        </w:r>
      </w:hyperlink>
      <w:hyperlink r:id="rId28">
        <w:r>
          <w:rPr>
            <w:rStyle w:val="Hyperlink"/>
          </w:rPr>
          <w:t xml:space="preserve">[8]</w:t>
        </w:r>
      </w:hyperlink>
      <w:r>
        <w:t xml:space="preserve">. Pilot süreci bu yatırımı küçük ölçekli test ederek riskleri minimize etmek için planlanmalıdır.</w:t>
      </w:r>
    </w:p>
    <w:bookmarkEnd w:id="57"/>
    <w:bookmarkStart w:id="59" w:name="riskler-engeller-ve-çözüm-önerileri"/>
    <w:p>
      <w:pPr>
        <w:pStyle w:val="Heading2"/>
      </w:pPr>
      <w:r>
        <w:t xml:space="preserve">8. Riskler, Engeller ve Çözüm Önerileri</w:t>
      </w:r>
    </w:p>
    <w:p>
      <w:pPr>
        <w:pStyle w:val="FirstParagraph"/>
      </w:pPr>
      <w:r>
        <w:rPr>
          <w:b/>
          <w:bCs/>
        </w:rPr>
        <w:t xml:space="preserve">Olası riskler ve engeller:</w:t>
      </w:r>
    </w:p>
    <w:p>
      <w:pPr>
        <w:pStyle w:val="Compact"/>
        <w:numPr>
          <w:ilvl w:val="0"/>
          <w:numId w:val="1003"/>
        </w:numPr>
      </w:pPr>
      <w:r>
        <w:rPr>
          <w:b/>
          <w:bCs/>
        </w:rPr>
        <w:t xml:space="preserve">Direnç ve alışkanlıklar:</w:t>
      </w:r>
      <w:r>
        <w:t xml:space="preserve"> </w:t>
      </w:r>
      <w:r>
        <w:t xml:space="preserve">Öğretmenler alışık oldukları geleneksel yöntemlere (sadece not vererek, konu işlemeye odaklı planlama) dönmek isteyebilir. Yeni yöntemin karmaşıklığına adapte olmakta zorlanabilirler.</w:t>
      </w:r>
    </w:p>
    <w:p>
      <w:pPr>
        <w:pStyle w:val="Compact"/>
        <w:numPr>
          <w:ilvl w:val="0"/>
          <w:numId w:val="1003"/>
        </w:numPr>
      </w:pPr>
      <w:r>
        <w:rPr>
          <w:b/>
          <w:bCs/>
        </w:rPr>
        <w:t xml:space="preserve">Zaman yetersizliği:</w:t>
      </w:r>
      <w:r>
        <w:t xml:space="preserve"> </w:t>
      </w:r>
      <w:r>
        <w:t xml:space="preserve">UbD planlama süreci detaylıdır; öğretmenler bu aşamaları ders saati dışında yapmak zorunda kalırsa iş yükü artar. Planlama için ayırdıkları zamandan feragat etmeleri gerekebilir.</w:t>
      </w:r>
    </w:p>
    <w:p>
      <w:pPr>
        <w:pStyle w:val="Compact"/>
        <w:numPr>
          <w:ilvl w:val="0"/>
          <w:numId w:val="1003"/>
        </w:numPr>
      </w:pPr>
      <w:r>
        <w:rPr>
          <w:b/>
          <w:bCs/>
        </w:rPr>
        <w:t xml:space="preserve">Kaynak eksikliği:</w:t>
      </w:r>
      <w:r>
        <w:t xml:space="preserve"> </w:t>
      </w:r>
      <w:r>
        <w:t xml:space="preserve">Performans görevi hazırlamak veya materyal sağlamak maliyet gerektirebilir. Ayrıca altyapı (laboratuvar, teknoloji) kısıtları da uygulamayı zorlaştırabilir.</w:t>
      </w:r>
    </w:p>
    <w:p>
      <w:pPr>
        <w:pStyle w:val="Compact"/>
        <w:numPr>
          <w:ilvl w:val="0"/>
          <w:numId w:val="1003"/>
        </w:numPr>
      </w:pPr>
      <w:r>
        <w:rPr>
          <w:b/>
          <w:bCs/>
        </w:rPr>
        <w:t xml:space="preserve">Uyum ve standartlar:</w:t>
      </w:r>
      <w:r>
        <w:t xml:space="preserve"> </w:t>
      </w:r>
      <w:r>
        <w:t xml:space="preserve">Milli Eğitim’in kazanım odaklı müfredatı ile UbD şablonlarının nasıl örtüştürüleceği konusunda net rehber eksikliği olabilir. Öğretmenler, standart testlere uyumlu ders planı hazırlamakta güçlük çekebilir.</w:t>
      </w:r>
    </w:p>
    <w:p>
      <w:pPr>
        <w:pStyle w:val="Compact"/>
        <w:numPr>
          <w:ilvl w:val="0"/>
          <w:numId w:val="1003"/>
        </w:numPr>
      </w:pPr>
      <w:r>
        <w:rPr>
          <w:b/>
          <w:bCs/>
        </w:rPr>
        <w:t xml:space="preserve">Değerlendirme uygulamaları:</w:t>
      </w:r>
      <w:r>
        <w:t xml:space="preserve"> </w:t>
      </w:r>
      <w:r>
        <w:t xml:space="preserve">Geleneksel sınav meraklı yönetim/veli beklentisi performans görevi veya portfolyo uygulamalarını baskılayabilir. Ayrıca rubrik hazırlama bilgisi yetersiz olabilir.</w:t>
      </w:r>
    </w:p>
    <w:p>
      <w:pPr>
        <w:pStyle w:val="FirstParagraph"/>
      </w:pPr>
      <w:r>
        <w:rPr>
          <w:b/>
          <w:bCs/>
        </w:rPr>
        <w:t xml:space="preserve">Çözüm önerileri:</w:t>
      </w:r>
    </w:p>
    <w:p>
      <w:pPr>
        <w:pStyle w:val="Compact"/>
        <w:numPr>
          <w:ilvl w:val="0"/>
          <w:numId w:val="1004"/>
        </w:numPr>
      </w:pPr>
      <w:r>
        <w:rPr>
          <w:b/>
          <w:bCs/>
        </w:rPr>
        <w:t xml:space="preserve">Küçük adımlarla başlama:</w:t>
      </w:r>
      <w:r>
        <w:t xml:space="preserve"> </w:t>
      </w:r>
      <w:r>
        <w:t xml:space="preserve">Pilotta sadece birkaç üniteyle başlamak, öğretmenlerin yükünü hafifletir. Başlangıçta disiplinli öğretmen ekipleri belirlenecek birimler için UbD eğitimi alır. Zaman içinde genişleme yapılır.</w:t>
      </w:r>
    </w:p>
    <w:p>
      <w:pPr>
        <w:pStyle w:val="Compact"/>
        <w:numPr>
          <w:ilvl w:val="0"/>
          <w:numId w:val="1004"/>
        </w:numPr>
      </w:pPr>
      <w:r>
        <w:rPr>
          <w:b/>
          <w:bCs/>
        </w:rPr>
        <w:t xml:space="preserve">Destek ve işbirliği:</w:t>
      </w:r>
      <w:r>
        <w:t xml:space="preserve"> </w:t>
      </w:r>
      <w:r>
        <w:t xml:space="preserve">Okul yönetimi güçlü destek vermeli, öğretmenlerin UbD planlama toplantıları için izin ve zaman tanımalıdır. Kurum içi</w:t>
      </w:r>
      <w:r>
        <w:t xml:space="preserve"> </w:t>
      </w:r>
      <w:r>
        <w:rPr>
          <w:b/>
          <w:bCs/>
        </w:rPr>
        <w:t xml:space="preserve">Destek Ekibi</w:t>
      </w:r>
      <w:r>
        <w:t xml:space="preserve"> </w:t>
      </w:r>
      <w:r>
        <w:t xml:space="preserve">oluşturularak öğretmenlerin hazırlık sürecinde yardım alması sağlanır. Ayrıca okul içinde düzenli UbD çalıştayları (örneğin aylık UbD paylaşım toplantıları) ile deneyimler paylaşılır</w:t>
      </w:r>
      <w:hyperlink r:id="rId52">
        <w:r>
          <w:rPr>
            <w:rStyle w:val="Hyperlink"/>
          </w:rPr>
          <w:t xml:space="preserve">[27]</w:t>
        </w:r>
      </w:hyperlink>
      <w:r>
        <w:t xml:space="preserve">.</w:t>
      </w:r>
    </w:p>
    <w:p>
      <w:pPr>
        <w:pStyle w:val="Compact"/>
        <w:numPr>
          <w:ilvl w:val="0"/>
          <w:numId w:val="1004"/>
        </w:numPr>
      </w:pPr>
      <w:r>
        <w:rPr>
          <w:b/>
          <w:bCs/>
        </w:rPr>
        <w:t xml:space="preserve">Eğitimlerle farkındalık:</w:t>
      </w:r>
      <w:r>
        <w:t xml:space="preserve"> </w:t>
      </w:r>
      <w:r>
        <w:t xml:space="preserve">Direnç görebileceğimiz ders başında öğretmen ve velilere yönelik kısa UbD tanıtım seminerleri düzenlenebilir. Faydalar anlatılarak motive edici örnekler paylaşılmalı (örneğin FBV v.d. pilot sonuçları).</w:t>
      </w:r>
    </w:p>
    <w:p>
      <w:pPr>
        <w:pStyle w:val="Compact"/>
        <w:numPr>
          <w:ilvl w:val="0"/>
          <w:numId w:val="1004"/>
        </w:numPr>
      </w:pPr>
      <w:r>
        <w:rPr>
          <w:b/>
          <w:bCs/>
        </w:rPr>
        <w:t xml:space="preserve">Ölçme-değerlendirme entegrasyonu:</w:t>
      </w:r>
      <w:r>
        <w:t xml:space="preserve"> </w:t>
      </w:r>
      <w:r>
        <w:t xml:space="preserve">MEB kazanımlarıyla UbD hedeflerinin hizalanması için köprüler kurulmalı. Örneğin rubriklerde “MEB kazanımındaki kavramı açıklar” gibi ölçütler konulabilir. Ulusal sınavlarda gereken beceriler (yorumlama, hayatla ilişkilendirme) UbD etkinliklerinde öncelikli hale getirilebilir</w:t>
      </w:r>
      <w:hyperlink r:id="rId58">
        <w:r>
          <w:rPr>
            <w:rStyle w:val="Hyperlink"/>
          </w:rPr>
          <w:t xml:space="preserve">[31]</w:t>
        </w:r>
      </w:hyperlink>
      <w:r>
        <w:t xml:space="preserve">. Böylece hem UbD anlayışı desteklenir hem de standartlara uyum sağlanmış olur.</w:t>
      </w:r>
    </w:p>
    <w:p>
      <w:pPr>
        <w:pStyle w:val="Compact"/>
        <w:numPr>
          <w:ilvl w:val="0"/>
          <w:numId w:val="1004"/>
        </w:numPr>
      </w:pPr>
      <w:r>
        <w:rPr>
          <w:b/>
          <w:bCs/>
        </w:rPr>
        <w:t xml:space="preserve">Teknoloji ve kaynak sağlama:</w:t>
      </w:r>
      <w:r>
        <w:t xml:space="preserve"> </w:t>
      </w:r>
      <w:r>
        <w:t xml:space="preserve">Okul, laboratuvar veya atölye altyapısını güçlendirebilir; gerekirse sponsorluklar araştırılabilir. Performans görevleri için yaratıcı çözümler (ör. basit malzemelerle modelleme) tercih edilir. Dijital araçlar (örneğin online kavram harita yazılımları) ücretsiz olanlardan seçilebilir.</w:t>
      </w:r>
    </w:p>
    <w:p>
      <w:pPr>
        <w:pStyle w:val="Compact"/>
        <w:numPr>
          <w:ilvl w:val="0"/>
          <w:numId w:val="1004"/>
        </w:numPr>
      </w:pPr>
      <w:r>
        <w:rPr>
          <w:b/>
          <w:bCs/>
        </w:rPr>
        <w:t xml:space="preserve">Sürekli gözden geçirme:</w:t>
      </w:r>
      <w:r>
        <w:t xml:space="preserve"> </w:t>
      </w:r>
      <w:r>
        <w:t xml:space="preserve">Pilot sürecinde çıkan aksaklıklar hızlıca düzeltilir. Yanlış anlamalar anketlerle tespit edilip çözümlemeler yapılır. Her dönemin sonunda öğretmenler arası</w:t>
      </w:r>
      <w:r>
        <w:t xml:space="preserve"> </w:t>
      </w:r>
      <w:r>
        <w:rPr>
          <w:i/>
          <w:iCs/>
        </w:rPr>
        <w:t xml:space="preserve">geri bildirim</w:t>
      </w:r>
      <w:r>
        <w:t xml:space="preserve"> </w:t>
      </w:r>
      <w:r>
        <w:t xml:space="preserve">toplantıları düzenlenerek yaşanan sorunlar ve başarı hikayeleri konuşulur. Bu sayede direniş değil, ortak öğrenme vurgulanır.</w:t>
      </w:r>
    </w:p>
    <w:p>
      <w:pPr>
        <w:pStyle w:val="FirstParagraph"/>
      </w:pPr>
      <w:r>
        <w:t xml:space="preserve">UbD’nin ana vaatlerinden biri, öğretimi daha anlamlı hale getirerek öğrencileri motive etmek ve akademik başarıyı artırmaktır</w:t>
      </w:r>
      <w:hyperlink r:id="rId23">
        <w:r>
          <w:rPr>
            <w:rStyle w:val="Hyperlink"/>
          </w:rPr>
          <w:t xml:space="preserve">[3]</w:t>
        </w:r>
      </w:hyperlink>
      <w:hyperlink r:id="rId28">
        <w:r>
          <w:rPr>
            <w:rStyle w:val="Hyperlink"/>
          </w:rPr>
          <w:t xml:space="preserve">[8]</w:t>
        </w:r>
      </w:hyperlink>
      <w:r>
        <w:t xml:space="preserve">. Dolayısıyla zaman içinde öğretmen ve yönetim de öğrencilerin dersten aldığı verim arttıkça sürece katılımcı olacaktır. Yukarıdaki önlemlerle, başlangıçta karşılaşılacak zorluklar kademeli olarak aşılabilir.</w:t>
      </w:r>
    </w:p>
    <w:bookmarkEnd w:id="59"/>
    <w:bookmarkStart w:id="60" w:name="Xbf946f5d6e94b2671a66c7651fa3c417c5721e4"/>
    <w:p>
      <w:pPr>
        <w:pStyle w:val="Heading2"/>
      </w:pPr>
      <w:r>
        <w:t xml:space="preserve">9. Örnek Ders/Etkinlik Planı ve Performans Görevi</w:t>
      </w:r>
    </w:p>
    <w:p>
      <w:pPr>
        <w:pStyle w:val="FirstParagraph"/>
      </w:pPr>
      <w:r>
        <w:rPr>
          <w:b/>
          <w:bCs/>
        </w:rPr>
        <w:t xml:space="preserve">Örnek UbD ders planı (Fen Bilimleri, Lise 9): “Bitki Hücreleri ve Organelleri”.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UbD Aşaması</w:t>
            </w:r>
          </w:p>
        </w:tc>
        <w:tc>
          <w:tcPr/>
          <w:p>
            <w:pPr>
              <w:pStyle w:val="Compact"/>
            </w:pPr>
            <w:r>
              <w:t xml:space="preserve">İçerik</w:t>
            </w:r>
          </w:p>
        </w:tc>
      </w:tr>
      <w:tr>
        <w:tc>
          <w:tcPr/>
          <w:p>
            <w:pPr>
              <w:pStyle w:val="Compact"/>
            </w:pPr>
            <w:r>
              <w:rPr>
                <w:b/>
                <w:bCs/>
              </w:rPr>
              <w:t xml:space="preserve">Aşama 1: İstenen Sonuçlar</w:t>
            </w:r>
          </w:p>
        </w:tc>
        <w:tc>
          <w:tcPr/>
          <w:p>
            <w:pPr>
              <w:pStyle w:val="Compact"/>
            </w:pPr>
            <w:r>
              <w:rPr>
                <w:b/>
                <w:bCs/>
              </w:rPr>
              <w:t xml:space="preserve">Büyük fikir:</w:t>
            </w:r>
            <w:r>
              <w:t xml:space="preserve"> </w:t>
            </w:r>
            <w:r>
              <w:t xml:space="preserve">Hücreler, tüm canlıların temel yapıtaşlarıdır ve her organelin hayati bir işlevi vardır. &lt;br&gt;</w:t>
            </w:r>
            <w:r>
              <w:t xml:space="preserve"> </w:t>
            </w:r>
            <w:r>
              <w:rPr>
                <w:b/>
                <w:bCs/>
              </w:rPr>
              <w:t xml:space="preserve">Kalıcı anlayışlar:</w:t>
            </w:r>
            <w:r>
              <w:t xml:space="preserve"> </w:t>
            </w:r>
            <w:r>
              <w:t xml:space="preserve">1) Bitki hücreleri farklı organeller içerir (kök hücresi, kloroplast vs.) ve her organel farklı işlev görür. &lt;br&gt; 2) Bir biyoloji laboratuvarı kurmak için mikroskop ve kimyasallar güvenlikle kullanılmalıdır. &lt;br&gt;</w:t>
            </w:r>
            <w:r>
              <w:t xml:space="preserve"> </w:t>
            </w:r>
            <w:r>
              <w:rPr>
                <w:b/>
                <w:bCs/>
              </w:rPr>
              <w:t xml:space="preserve">Bilgi/Beceriler:</w:t>
            </w:r>
            <w:r>
              <w:t xml:space="preserve"> </w:t>
            </w:r>
            <w:r>
              <w:t xml:space="preserve">Hücre organelleri isimleri ve görevleri, mikroskop kullanımı. &lt;br&gt;</w:t>
            </w:r>
            <w:r>
              <w:t xml:space="preserve"> </w:t>
            </w:r>
            <w:r>
              <w:rPr>
                <w:b/>
                <w:bCs/>
              </w:rPr>
              <w:t xml:space="preserve">Temel sorular:</w:t>
            </w:r>
            <w:r>
              <w:t xml:space="preserve"> </w:t>
            </w:r>
            <w:r>
              <w:rPr>
                <w:i/>
                <w:iCs/>
              </w:rPr>
              <w:t xml:space="preserve">“Hücre organelleri neden hücre işlevi için önemlidir?”</w:t>
            </w:r>
            <w:r>
              <w:t xml:space="preserve">,</w:t>
            </w:r>
            <w:r>
              <w:t xml:space="preserve"> </w:t>
            </w:r>
            <w:r>
              <w:rPr>
                <w:i/>
                <w:iCs/>
              </w:rPr>
              <w:t xml:space="preserve">“Bir bitki hücresi insan hücresinden neden farklıdır?”</w:t>
            </w:r>
          </w:p>
        </w:tc>
      </w:tr>
      <w:tr>
        <w:tc>
          <w:tcPr/>
          <w:p>
            <w:pPr>
              <w:pStyle w:val="Compact"/>
            </w:pPr>
            <w:r>
              <w:rPr>
                <w:b/>
                <w:bCs/>
              </w:rPr>
              <w:t xml:space="preserve">Aşama 2: Kabul Edilebilir Kanıtlar</w:t>
            </w:r>
          </w:p>
        </w:tc>
        <w:tc>
          <w:tcPr/>
          <w:p>
            <w:pPr>
              <w:pStyle w:val="Compact"/>
            </w:pPr>
            <w:r>
              <w:rPr>
                <w:b/>
                <w:bCs/>
              </w:rPr>
              <w:t xml:space="preserve">Performans görevi:</w:t>
            </w:r>
            <w:r>
              <w:t xml:space="preserve"> </w:t>
            </w:r>
            <w:r>
              <w:t xml:space="preserve">Sınıf atölyesinde bitki hücresi modeli hazırlayın. Modelinizi yaparken farklı materyallerle (kil, karton, jelatin vs.) organellerin yapı ve işlevini temsil edin. Sunumda modelinize hangi organelleri, niçin yerleştirdiğinizi ve modeldeki her bir bölümün görevinin ne olduğunu açıklayın. &lt;br&gt;</w:t>
            </w:r>
            <w:r>
              <w:t xml:space="preserve"> </w:t>
            </w:r>
            <w:r>
              <w:rPr>
                <w:b/>
                <w:bCs/>
              </w:rPr>
              <w:t xml:space="preserve">Ölçme araçları:</w:t>
            </w:r>
            <w:r>
              <w:t xml:space="preserve"> </w:t>
            </w:r>
            <w:r>
              <w:t xml:space="preserve">Performans görevinde kullanılacak rubrik –</w:t>
            </w:r>
            <w:r>
              <w:t xml:space="preserve"> </w:t>
            </w:r>
            <w:r>
              <w:rPr>
                <w:i/>
                <w:iCs/>
              </w:rPr>
              <w:t xml:space="preserve">“Organelleri doğru tanımlama”</w:t>
            </w:r>
            <w:r>
              <w:t xml:space="preserve">,</w:t>
            </w:r>
            <w:r>
              <w:t xml:space="preserve"> </w:t>
            </w:r>
            <w:r>
              <w:rPr>
                <w:i/>
                <w:iCs/>
              </w:rPr>
              <w:t xml:space="preserve">“Modelde işlev benzerliği”</w:t>
            </w:r>
            <w:r>
              <w:t xml:space="preserve">,</w:t>
            </w:r>
            <w:r>
              <w:t xml:space="preserve"> </w:t>
            </w:r>
            <w:r>
              <w:rPr>
                <w:i/>
                <w:iCs/>
              </w:rPr>
              <w:t xml:space="preserve">“Takım çalışması”</w:t>
            </w:r>
            <w:r>
              <w:t xml:space="preserve"> </w:t>
            </w:r>
            <w:r>
              <w:t xml:space="preserve">kriterleri değerlendirilecek. Ayrıca kısa sınav ile temel bilgi kontrolü yapılacak.</w:t>
            </w:r>
          </w:p>
        </w:tc>
      </w:tr>
      <w:tr>
        <w:tc>
          <w:tcPr/>
          <w:p>
            <w:pPr>
              <w:pStyle w:val="Compact"/>
            </w:pPr>
            <w:r>
              <w:rPr>
                <w:b/>
                <w:bCs/>
              </w:rPr>
              <w:t xml:space="preserve">Aşama 3: Öğrenme Planı</w:t>
            </w:r>
          </w:p>
        </w:tc>
        <w:tc>
          <w:tcPr/>
          <w:p>
            <w:pPr>
              <w:pStyle w:val="Compact"/>
            </w:pPr>
            <w:r>
              <w:t xml:space="preserve">1.</w:t>
            </w:r>
            <w:r>
              <w:t xml:space="preserve"> </w:t>
            </w:r>
            <w:r>
              <w:rPr>
                <w:b/>
                <w:bCs/>
              </w:rPr>
              <w:t xml:space="preserve">Giriş:</w:t>
            </w:r>
            <w:r>
              <w:t xml:space="preserve"> </w:t>
            </w:r>
            <w:r>
              <w:t xml:space="preserve">Bitki hücresi şeması dağıtılarak organellerin görünümü tanıtılır. Kısa video ve etkileşimli sorularla derse ilgi çekilir.&lt;br&gt;2.</w:t>
            </w:r>
            <w:r>
              <w:t xml:space="preserve"> </w:t>
            </w:r>
            <w:r>
              <w:rPr>
                <w:b/>
                <w:bCs/>
              </w:rPr>
              <w:t xml:space="preserve">Etkinlik:</w:t>
            </w:r>
            <w:r>
              <w:t xml:space="preserve"> </w:t>
            </w:r>
            <w:r>
              <w:t xml:space="preserve">Laboratuvarda mikroskop kullanma eğitimi verilir. Öğrenciler farklı bitki örnekleri (soğan zarı, yaprak vb.) inceleyerek çekirdek, kloroplast vs. organelleri gözlemler.&lt;br&gt;3.</w:t>
            </w:r>
            <w:r>
              <w:t xml:space="preserve"> </w:t>
            </w:r>
            <w:r>
              <w:rPr>
                <w:b/>
                <w:bCs/>
              </w:rPr>
              <w:t xml:space="preserve">Araştırma:</w:t>
            </w:r>
            <w:r>
              <w:t xml:space="preserve"> </w:t>
            </w:r>
            <w:r>
              <w:t xml:space="preserve">Gruplar internet/kitap kaynağı ile hücre organelleri üzerine kısa araştırma yapar; elde ettikleri bilgileri kavram haritası şeklinde not eder.&lt;br&gt;4.</w:t>
            </w:r>
            <w:r>
              <w:t xml:space="preserve"> </w:t>
            </w:r>
            <w:r>
              <w:rPr>
                <w:b/>
                <w:bCs/>
              </w:rPr>
              <w:t xml:space="preserve">Performans görevi:</w:t>
            </w:r>
            <w:r>
              <w:t xml:space="preserve"> </w:t>
            </w:r>
            <w:r>
              <w:t xml:space="preserve">Öğrenciler 3-4 kişilik gruplara ayrılır. Her grup bitki hücresini modelleyecek ve sunum için hazırlık yapacak. &lt;br&gt;5.</w:t>
            </w:r>
            <w:r>
              <w:t xml:space="preserve"> </w:t>
            </w:r>
            <w:r>
              <w:rPr>
                <w:b/>
                <w:bCs/>
              </w:rPr>
              <w:t xml:space="preserve">Değerlendirme:</w:t>
            </w:r>
            <w:r>
              <w:t xml:space="preserve"> </w:t>
            </w:r>
            <w:r>
              <w:t xml:space="preserve">Öğretmen rubrik üzerinden sunumları ve modelleri değerlendirir; ayrıca sınıfça ortak bir değerlendirme formu uygulanır (öz-değerlendirme ve akran değerlendirmesi yapılır).</w:t>
            </w:r>
          </w:p>
        </w:tc>
      </w:tr>
      <w:tr>
        <w:tc>
          <w:tcPr/>
          <w:p>
            <w:pPr>
              <w:pStyle w:val="Compact"/>
            </w:pPr>
            <w:r>
              <w:rPr>
                <w:b/>
                <w:bCs/>
              </w:rPr>
              <w:t xml:space="preserve">Süre ve Kaynaklar:</w:t>
            </w:r>
          </w:p>
        </w:tc>
        <w:tc>
          <w:tcPr/>
          <w:p>
            <w:pPr>
              <w:pStyle w:val="Compact"/>
            </w:pPr>
            <w:r>
              <w:t xml:space="preserve">Toplam 3 ders (laboratuvar + sunum). &lt;br&gt; Mikroskop, hazır soğan zarları, kil, renkli karton, tutkallar.</w:t>
            </w:r>
          </w:p>
        </w:tc>
      </w:tr>
    </w:tbl>
    <w:p>
      <w:pPr>
        <w:pStyle w:val="BodyText"/>
      </w:pPr>
      <w:r>
        <w:rPr>
          <w:b/>
          <w:bCs/>
        </w:rPr>
        <w:t xml:space="preserve">Örnek Performans Görevi (Matematik – Üçgenler):</w:t>
      </w:r>
      <w:r>
        <w:t xml:space="preserve"> </w:t>
      </w:r>
      <w:r>
        <w:rPr>
          <w:i/>
          <w:iCs/>
        </w:rPr>
        <w:t xml:space="preserve">“Park Bahçesi Tasarımı”</w:t>
      </w:r>
    </w:p>
    <w:p>
      <w:pPr>
        <w:pStyle w:val="BodyText"/>
      </w:pPr>
      <w:r>
        <w:t xml:space="preserve">Öğrencilere bir park bahçesinin planını tasarlamaları görevi verilir. Arazi üçgen biçimindedir (kenar uzunlukları ve açıları verilmiştir). Öğrencilerden:</w:t>
      </w:r>
      <w:r>
        <w:t xml:space="preserve"> </w:t>
      </w:r>
      <w:r>
        <w:t xml:space="preserve">- Üçgen alanını hesaplamaları (alan formülleri veya yarım çarpım vs. ile).</w:t>
      </w:r>
      <w:r>
        <w:t xml:space="preserve"> </w:t>
      </w:r>
      <w:r>
        <w:t xml:space="preserve">- Koymayı planladıkları havuz, çiçek tarhı gibi nesnelerin yerleştirilmesi için alanları oranlamaları.</w:t>
      </w:r>
      <w:r>
        <w:t xml:space="preserve"> </w:t>
      </w:r>
      <w:r>
        <w:t xml:space="preserve">- Tasarım önerilerini krokilerle çizip açıklamaları istenir.</w:t>
      </w:r>
    </w:p>
    <w:p>
      <w:pPr>
        <w:pStyle w:val="BodyText"/>
      </w:pPr>
      <w:r>
        <w:t xml:space="preserve">Bu görevde öğrenciler hem geometri (alan, orantı) hem de pratik problem çözme becerilerini birleştirir. Rubrikte</w:t>
      </w:r>
      <w:r>
        <w:t xml:space="preserve"> </w:t>
      </w:r>
      <w:r>
        <w:rPr>
          <w:i/>
          <w:iCs/>
        </w:rPr>
        <w:t xml:space="preserve">“Matematiksel doğruluk”</w:t>
      </w:r>
      <w:r>
        <w:t xml:space="preserve">,</w:t>
      </w:r>
      <w:r>
        <w:t xml:space="preserve"> </w:t>
      </w:r>
      <w:r>
        <w:rPr>
          <w:i/>
          <w:iCs/>
        </w:rPr>
        <w:t xml:space="preserve">“Yaratıcılık ve sunum kalitesi”</w:t>
      </w:r>
      <w:r>
        <w:t xml:space="preserve">,</w:t>
      </w:r>
      <w:r>
        <w:t xml:space="preserve"> </w:t>
      </w:r>
      <w:r>
        <w:rPr>
          <w:i/>
          <w:iCs/>
        </w:rPr>
        <w:t xml:space="preserve">“Gerçekçi hesaplama”</w:t>
      </w:r>
      <w:r>
        <w:t xml:space="preserve"> </w:t>
      </w:r>
      <w:r>
        <w:t xml:space="preserve">gibi kriterler yer alır. Görev sonunda her grup çizimini ve hesaplarını sınıfa sunar, diğer öğrenciler de rubric üzerinden geri bildirim verir.</w:t>
      </w:r>
    </w:p>
    <w:bookmarkEnd w:id="60"/>
    <w:bookmarkStart w:id="61" w:name="izleme-için-örnek-anket-ve-gözlem-formu"/>
    <w:p>
      <w:pPr>
        <w:pStyle w:val="Heading2"/>
      </w:pPr>
      <w:r>
        <w:t xml:space="preserve">10. İzleme İçin Örnek Anket ve Gözlem Formu</w:t>
      </w:r>
    </w:p>
    <w:p>
      <w:pPr>
        <w:pStyle w:val="FirstParagraph"/>
      </w:pPr>
      <w:r>
        <w:rPr>
          <w:b/>
          <w:bCs/>
        </w:rPr>
        <w:t xml:space="preserve">Öğrenci Anketi (UbD Uygulaması Hakkında):</w:t>
      </w:r>
    </w:p>
    <w:p>
      <w:pPr>
        <w:pStyle w:val="Compact"/>
        <w:numPr>
          <w:ilvl w:val="0"/>
          <w:numId w:val="1005"/>
        </w:numPr>
      </w:pPr>
      <w:r>
        <w:t xml:space="preserve">Derslerimizde yapılan öğretim yöntemlerinin anlamlı olduğunu düşünüyor musunuz? (Evet – Kısmen – Hayır)</w:t>
      </w:r>
    </w:p>
    <w:p>
      <w:pPr>
        <w:pStyle w:val="Compact"/>
        <w:numPr>
          <w:ilvl w:val="0"/>
          <w:numId w:val="1005"/>
        </w:numPr>
      </w:pPr>
      <w:r>
        <w:t xml:space="preserve">Aldığınız performans görevi ve projelerle ders konularını daha iyi öğrendiğinizi hissediyor musunuz? (1–5 puan)</w:t>
      </w:r>
    </w:p>
    <w:p>
      <w:pPr>
        <w:pStyle w:val="Compact"/>
        <w:numPr>
          <w:ilvl w:val="0"/>
          <w:numId w:val="1005"/>
        </w:numPr>
      </w:pPr>
      <w:r>
        <w:t xml:space="preserve">UbD yaklaşımı ile</w:t>
      </w:r>
      <w:r>
        <w:t xml:space="preserve"> </w:t>
      </w:r>
      <w:r>
        <w:rPr>
          <w:i/>
          <w:iCs/>
        </w:rPr>
        <w:t xml:space="preserve">“öğrenci merkezli öğrenme”</w:t>
      </w:r>
      <w:r>
        <w:t xml:space="preserve"> </w:t>
      </w:r>
      <w:r>
        <w:t xml:space="preserve">sizce gerçekleşiyor mu? (Açıklayınız.)</w:t>
      </w:r>
    </w:p>
    <w:p>
      <w:pPr>
        <w:pStyle w:val="Compact"/>
        <w:numPr>
          <w:ilvl w:val="0"/>
          <w:numId w:val="1005"/>
        </w:numPr>
      </w:pPr>
      <w:r>
        <w:t xml:space="preserve">Temel sorularla düşünmeye teşvik edildiniz mi? Hangi soru sizi en çok düşündürdü?</w:t>
      </w:r>
    </w:p>
    <w:p>
      <w:pPr>
        <w:pStyle w:val="Compact"/>
        <w:numPr>
          <w:ilvl w:val="0"/>
          <w:numId w:val="1005"/>
        </w:numPr>
      </w:pPr>
      <w:r>
        <w:t xml:space="preserve">Performans görevleri ve rubrikler öğrenmenize yardımcı oldu mu? (Evet/Kısmen/Hayır; nedenleriyle)</w:t>
      </w:r>
    </w:p>
    <w:p>
      <w:pPr>
        <w:pStyle w:val="Compact"/>
        <w:numPr>
          <w:ilvl w:val="0"/>
          <w:numId w:val="1005"/>
        </w:numPr>
      </w:pPr>
      <w:r>
        <w:t xml:space="preserve">Hangi konularda daha fazla destek veya kaynak istediğinizi düşünüyorsunuz? (Örneğin daha fazla laboratuvar imkânı, teknoloji kullanımı, ek materyal vb.)</w:t>
      </w:r>
    </w:p>
    <w:p>
      <w:pPr>
        <w:pStyle w:val="FirstParagraph"/>
      </w:pPr>
      <w:r>
        <w:rPr>
          <w:b/>
          <w:bCs/>
        </w:rPr>
        <w:t xml:space="preserve">Öğretim Gözlem Formu (Örneğin: UbD Dersi Gözlem Şablonu):</w:t>
      </w:r>
    </w:p>
    <w:p>
      <w:pPr>
        <w:pStyle w:val="Compact"/>
        <w:numPr>
          <w:ilvl w:val="0"/>
          <w:numId w:val="1006"/>
        </w:numPr>
      </w:pPr>
      <w:r>
        <w:rPr>
          <w:b/>
          <w:bCs/>
        </w:rPr>
        <w:t xml:space="preserve">Genel Amaç:</w:t>
      </w:r>
      <w:r>
        <w:t xml:space="preserve"> </w:t>
      </w:r>
      <w:r>
        <w:t xml:space="preserve">Gözlemci, derste UbD prensiplerinin uygulanıp uygulanmadığını değerlendirir.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Değerlendirme Kriteri</w:t>
            </w:r>
          </w:p>
        </w:tc>
        <w:tc>
          <w:tcPr/>
          <w:p>
            <w:pPr>
              <w:pStyle w:val="Compact"/>
              <w:jc w:val="center"/>
            </w:pPr>
            <w:r>
              <w:t xml:space="preserve">Evet</w:t>
            </w:r>
          </w:p>
        </w:tc>
        <w:tc>
          <w:tcPr/>
          <w:p>
            <w:pPr>
              <w:pStyle w:val="Compact"/>
              <w:jc w:val="center"/>
            </w:pPr>
            <w:r>
              <w:t xml:space="preserve">Kısmen</w:t>
            </w:r>
          </w:p>
        </w:tc>
        <w:tc>
          <w:tcPr/>
          <w:p>
            <w:pPr>
              <w:pStyle w:val="Compact"/>
              <w:jc w:val="center"/>
            </w:pPr>
            <w:r>
              <w:t xml:space="preserve">Hayır</w:t>
            </w:r>
          </w:p>
        </w:tc>
      </w:tr>
      <w:tr>
        <w:tc>
          <w:tcPr/>
          <w:p>
            <w:pPr>
              <w:pStyle w:val="Compact"/>
            </w:pPr>
            <w:r>
              <w:t xml:space="preserve">Öğretmen derse, öğrenme hedeflerini öğrencilere açıkça tanıttı.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Derste kullanılan</w:t>
            </w:r>
            <w:r>
              <w:t xml:space="preserve"> </w:t>
            </w:r>
            <w:r>
              <w:rPr>
                <w:b/>
                <w:bCs/>
              </w:rPr>
              <w:t xml:space="preserve">temel soru</w:t>
            </w:r>
            <w:r>
              <w:t xml:space="preserve"> </w:t>
            </w:r>
            <w:r>
              <w:t xml:space="preserve">veya “büyük fikir” net bir şekilde belirtildi.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Öğrenciler performans görevi veya proje için yönlendirme aldı.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Ders etkinlikleri, istenen sonuçlara ulaşmaya yönelik planlandı ve uygulandı.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Öğrenciler aktif olarak katıldı (tartıştı, sorguladı, işbirliği yaptı).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Ölçme-değerlendirme (test, gözlem, rubrik vb.) hedeflere uygun seçildi.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Ders, farklılaştırılmış yöntemlerle öğrenci ihtiyaçlarına göre zenginleştirildi.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Öğretmen, geri bildirim vererek öğrenmeyi izledi.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Genel Gözlemler / Öneriler: ( )...</w:t>
            </w:r>
          </w:p>
        </w:tc>
        <w:tc>
          <w:tcPr/>
          <w:p>
            <w:pPr>
              <w:pStyle w:val="Compact"/>
            </w:pPr>
          </w:p>
        </w:tc>
        <w:tc>
          <w:tcPr/>
          <w:p>
            <w:pPr>
              <w:pStyle w:val="Compact"/>
            </w:pPr>
          </w:p>
        </w:tc>
        <w:tc>
          <w:tcPr/>
          <w:p>
            <w:pPr>
              <w:pStyle w:val="Compact"/>
            </w:pPr>
          </w:p>
        </w:tc>
      </w:tr>
    </w:tbl>
    <w:p>
      <w:pPr>
        <w:pStyle w:val="BodyText"/>
      </w:pPr>
      <w:r>
        <w:t xml:space="preserve">Her gözlem sonrası öğretmenle kısa bir toplantı yapılarak bu formdaki değerlendirme sonuçlarına göre öneriler verilir. Gözlem ve anket sonuçları, uygulamanın devamında iyileştirme için temel oluşturacaktır.</w:t>
      </w:r>
    </w:p>
    <w:p>
      <w:pPr>
        <w:pStyle w:val="SourceCode"/>
      </w:pPr>
      <w:r>
        <w:rPr>
          <w:rStyle w:val="VerbatimChar"/>
        </w:rPr>
        <w:t xml:space="preserve">timeline</w:t>
      </w:r>
      <w:r>
        <w:br/>
      </w:r>
      <w:r>
        <w:rPr>
          <w:rStyle w:val="VerbatimChar"/>
        </w:rPr>
        <w:t xml:space="preserve">    title 6 Aylık UbD Pilot Programı</w:t>
      </w:r>
      <w:r>
        <w:br/>
      </w:r>
      <w:r>
        <w:rPr>
          <w:rStyle w:val="VerbatimChar"/>
        </w:rPr>
        <w:t xml:space="preserve">    2026-02-15 : Okul Yönetimi ve Ekip Hazırlığı  </w:t>
      </w:r>
      <w:r>
        <w:br/>
      </w:r>
      <w:r>
        <w:rPr>
          <w:rStyle w:val="VerbatimChar"/>
        </w:rPr>
        <w:t xml:space="preserve">    2026-03-01 : Öğretmen Eğitimi (Geriye Tasarım, UbD)  </w:t>
      </w:r>
      <w:r>
        <w:br/>
      </w:r>
      <w:r>
        <w:rPr>
          <w:rStyle w:val="VerbatimChar"/>
        </w:rPr>
        <w:t xml:space="preserve">    2026-03-15 : Ünite Hazırlığı ve Ekip Çalışması  </w:t>
      </w:r>
      <w:r>
        <w:br/>
      </w:r>
      <w:r>
        <w:rPr>
          <w:rStyle w:val="VerbatimChar"/>
        </w:rPr>
        <w:t xml:space="preserve">    2026-04-01 : Pilot Derslerin Başlaması (Seçilen Birimler)  </w:t>
      </w:r>
      <w:r>
        <w:br/>
      </w:r>
      <w:r>
        <w:rPr>
          <w:rStyle w:val="VerbatimChar"/>
        </w:rPr>
        <w:t xml:space="preserve">    2026-04-30 : Ara Dönem Değerlendirme ve Geri Bildirim  </w:t>
      </w:r>
      <w:r>
        <w:br/>
      </w:r>
      <w:r>
        <w:rPr>
          <w:rStyle w:val="VerbatimChar"/>
        </w:rPr>
        <w:t xml:space="preserve">    2026-05-15 : Revizyon ve Ek Kaynak/Destek Sağlanması  </w:t>
      </w:r>
      <w:r>
        <w:br/>
      </w:r>
      <w:r>
        <w:rPr>
          <w:rStyle w:val="VerbatimChar"/>
        </w:rPr>
        <w:t xml:space="preserve">    2026-06-01 : Pilotun Sonu – Performans Analizi  </w:t>
      </w:r>
      <w:r>
        <w:br/>
      </w:r>
      <w:r>
        <w:rPr>
          <w:rStyle w:val="VerbatimChar"/>
        </w:rPr>
        <w:t xml:space="preserve">    2026-06-15 : Nihai Değerlendirme ve Raporlama</w:t>
      </w:r>
    </w:p>
    <w:p>
      <w:pPr>
        <w:pStyle w:val="FirstParagraph"/>
      </w:pPr>
      <w:r>
        <w:rPr>
          <w:b/>
          <w:bCs/>
        </w:rPr>
        <w:t xml:space="preserve">Kaynakça (Örnek):</w:t>
      </w:r>
      <w:r>
        <w:t xml:space="preserve"> </w:t>
      </w:r>
      <w:r>
        <w:t xml:space="preserve">Bu raporda UbD ile ilgili temel bilgiler ASCD yayınları ve Wiggins &amp; McTighe’nin çalışmaları temel alınarak sunulmuştur</w:t>
      </w:r>
      <w:hyperlink r:id="rId23">
        <w:r>
          <w:rPr>
            <w:rStyle w:val="Hyperlink"/>
          </w:rPr>
          <w:t xml:space="preserve">[13]</w:t>
        </w:r>
      </w:hyperlink>
      <w:hyperlink r:id="rId35">
        <w:r>
          <w:rPr>
            <w:rStyle w:val="Hyperlink"/>
          </w:rPr>
          <w:t xml:space="preserve">[16]</w:t>
        </w:r>
      </w:hyperlink>
      <w:r>
        <w:t xml:space="preserve">. TED İstanbul Koleji vb. okul dokümanları ve ülkemiz literatüründen örnek uygulamalar da referanslanmıştır</w:t>
      </w:r>
      <w:hyperlink r:id="rId40">
        <w:r>
          <w:rPr>
            <w:rStyle w:val="Hyperlink"/>
          </w:rPr>
          <w:t xml:space="preserve">[21]</w:t>
        </w:r>
      </w:hyperlink>
      <w:hyperlink r:id="rId42">
        <w:r>
          <w:rPr>
            <w:rStyle w:val="Hyperlink"/>
          </w:rPr>
          <w:t xml:space="preserve">[23]</w:t>
        </w:r>
      </w:hyperlink>
      <w:hyperlink r:id="rId22">
        <w:r>
          <w:rPr>
            <w:rStyle w:val="Hyperlink"/>
          </w:rPr>
          <w:t xml:space="preserve">[2]</w:t>
        </w:r>
      </w:hyperlink>
      <w:r>
        <w:t xml:space="preserve">. Rapor gerekli görüldüğü durumda ek kaynakça ile desteklenebilir.</w:t>
      </w:r>
    </w:p>
    <w:bookmarkEnd w:id="61"/>
    <w:bookmarkEnd w:id="62"/>
    <w:bookmarkEnd w:id="63"/>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30">
        <w:r>
          <w:rPr>
            <w:rStyle w:val="Hyperlink"/>
          </w:rPr>
          <w:t xml:space="preserve">[10]</w:t>
        </w:r>
      </w:hyperlink>
      <w:r>
        <w:t xml:space="preserve"> </w:t>
      </w:r>
      <w:hyperlink r:id="rId23">
        <w:r>
          <w:rPr>
            <w:rStyle w:val="Hyperlink"/>
          </w:rPr>
          <w:t xml:space="preserve">[13]</w:t>
        </w:r>
      </w:hyperlink>
      <w:r>
        <w:t xml:space="preserve"> </w:t>
      </w:r>
      <w:hyperlink r:id="rId30">
        <w:r>
          <w:rPr>
            <w:rStyle w:val="Hyperlink"/>
          </w:rPr>
          <w:t xml:space="preserve">[14]</w:t>
        </w:r>
      </w:hyperlink>
      <w:r>
        <w:t xml:space="preserve"> </w:t>
      </w:r>
      <w:hyperlink r:id="rId34">
        <w:r>
          <w:rPr>
            <w:rStyle w:val="Hyperlink"/>
          </w:rPr>
          <w:t xml:space="preserve">[15]</w:t>
        </w:r>
      </w:hyperlink>
      <w:r>
        <w:t xml:space="preserve"> </w:t>
      </w:r>
      <w:hyperlink r:id="rId36">
        <w:r>
          <w:rPr>
            <w:rStyle w:val="Hyperlink"/>
          </w:rPr>
          <w:t xml:space="preserve">[17]</w:t>
        </w:r>
      </w:hyperlink>
      <w:r>
        <w:t xml:space="preserve"> </w:t>
      </w:r>
      <w:hyperlink r:id="rId52">
        <w:r>
          <w:rPr>
            <w:rStyle w:val="Hyperlink"/>
          </w:rPr>
          <w:t xml:space="preserve">[27]</w:t>
        </w:r>
      </w:hyperlink>
      <w:r>
        <w:t xml:space="preserve"> </w:t>
      </w:r>
      <w:r>
        <w:t xml:space="preserve">What is Understanding by Design®? (UbD)</w:t>
      </w:r>
    </w:p>
    <w:p>
      <w:pPr>
        <w:pStyle w:val="BodyText"/>
      </w:pPr>
      <w:hyperlink r:id="rId64">
        <w:r>
          <w:rPr>
            <w:rStyle w:val="Hyperlink"/>
          </w:rPr>
          <w:t xml:space="preserve">https://authenticeducation.org/whatisubd/</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37">
        <w:r>
          <w:rPr>
            <w:rStyle w:val="Hyperlink"/>
          </w:rPr>
          <w:t xml:space="preserve">[18]</w:t>
        </w:r>
      </w:hyperlink>
      <w:r>
        <w:t xml:space="preserve"> </w:t>
      </w:r>
      <w:r>
        <w:t xml:space="preserve">dergipark.org.tr</w:t>
      </w:r>
    </w:p>
    <w:p>
      <w:pPr>
        <w:pStyle w:val="BodyText"/>
      </w:pPr>
      <w:hyperlink r:id="rId65">
        <w:r>
          <w:rPr>
            <w:rStyle w:val="Hyperlink"/>
          </w:rPr>
          <w:t xml:space="preserve">https://dergipark.org.tr/en/download/article-file/3154427</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[16]</w:t>
        </w:r>
      </w:hyperlink>
      <w:r>
        <w:t xml:space="preserve"> </w:t>
      </w:r>
      <w:hyperlink r:id="rId31">
        <w:r>
          <w:rPr>
            <w:rStyle w:val="Hyperlink"/>
          </w:rPr>
          <w:t xml:space="preserve">[28]</w:t>
        </w:r>
      </w:hyperlink>
      <w:r>
        <w:t xml:space="preserve"> </w:t>
      </w:r>
      <w:hyperlink r:id="rId53">
        <w:r>
          <w:rPr>
            <w:rStyle w:val="Hyperlink"/>
          </w:rPr>
          <w:t xml:space="preserve">[29]</w:t>
        </w:r>
      </w:hyperlink>
      <w:r>
        <w:t xml:space="preserve"> </w:t>
      </w:r>
      <w:r>
        <w:t xml:space="preserve">files.ascd.org</w:t>
      </w:r>
    </w:p>
    <w:p>
      <w:pPr>
        <w:pStyle w:val="BodyText"/>
      </w:pPr>
      <w:hyperlink r:id="rId66">
        <w:r>
          <w:rPr>
            <w:rStyle w:val="Hyperlink"/>
          </w:rPr>
          <w:t xml:space="preserve">https://files.ascd.org/staticfiles/ascd/pdf/siteASCD/publications/UbD_WhitePaper0312.pdf</w:t>
        </w:r>
      </w:hyperlink>
    </w:p>
    <w:p>
      <w:pPr>
        <w:pStyle w:val="BodyText"/>
      </w:pPr>
      <w:hyperlink r:id="rId38">
        <w:r>
          <w:rPr>
            <w:rStyle w:val="Hyperlink"/>
          </w:rPr>
          <w:t xml:space="preserve">[19]</w:t>
        </w:r>
      </w:hyperlink>
      <w:r>
        <w:t xml:space="preserve"> </w:t>
      </w:r>
      <w:r>
        <w:t xml:space="preserve">Ölçme ve Değerlendirme Bölümü – TED İSTANBUL KOLEJİ VAKFI</w:t>
      </w:r>
    </w:p>
    <w:p>
      <w:pPr>
        <w:pStyle w:val="BodyText"/>
      </w:pPr>
      <w:hyperlink r:id="rId67">
        <w:r>
          <w:rPr>
            <w:rStyle w:val="Hyperlink"/>
          </w:rPr>
          <w:t xml:space="preserve">https://www.tedistanbul.k12.tr/ilkokul/olcme-ve-degerlendirme-bolumu/</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hyperlink r:id="rId56">
        <w:r>
          <w:rPr>
            <w:rStyle w:val="Hyperlink"/>
          </w:rPr>
          <w:t xml:space="preserve">[30]</w:t>
        </w:r>
      </w:hyperlink>
      <w:r>
        <w:t xml:space="preserve"> </w:t>
      </w:r>
      <w:hyperlink r:id="rId58">
        <w:r>
          <w:rPr>
            <w:rStyle w:val="Hyperlink"/>
          </w:rPr>
          <w:t xml:space="preserve">[31]</w:t>
        </w:r>
      </w:hyperlink>
      <w:r>
        <w:t xml:space="preserve"> </w:t>
      </w:r>
      <w:r>
        <w:t xml:space="preserve">Ölçme ve Değerlendirme Bölümü – TED İSTANBUL KOLEJİ VAKFI</w:t>
      </w:r>
    </w:p>
    <w:p>
      <w:pPr>
        <w:pStyle w:val="BodyText"/>
      </w:pPr>
      <w:hyperlink r:id="rId68">
        <w:r>
          <w:rPr>
            <w:rStyle w:val="Hyperlink"/>
          </w:rPr>
          <w:t xml:space="preserve">https://www.tedistanbul.k12.tr/ortaokul/olcme-ve-degerlendirme-bolumu/</w:t>
        </w:r>
      </w:hyperlink>
    </w:p>
    <w:p>
      <w:pPr>
        <w:pStyle w:val="BodyText"/>
      </w:pPr>
      <w:hyperlink r:id="rId41">
        <w:r>
          <w:rPr>
            <w:rStyle w:val="Hyperlink"/>
          </w:rPr>
          <w:t xml:space="preserve">[22]</w:t>
        </w:r>
      </w:hyperlink>
      <w:r>
        <w:t xml:space="preserve"> </w:t>
      </w:r>
      <w:hyperlink r:id="rId42">
        <w:r>
          <w:rPr>
            <w:rStyle w:val="Hyperlink"/>
          </w:rPr>
          <w:t xml:space="preserve">[23]</w:t>
        </w:r>
      </w:hyperlink>
      <w:r>
        <w:t xml:space="preserve"> </w:t>
      </w:r>
      <w:r>
        <w:t xml:space="preserve">fmv.edu.tr</w:t>
      </w:r>
    </w:p>
    <w:p>
      <w:pPr>
        <w:pStyle w:val="BodyText"/>
      </w:pPr>
      <w:hyperlink r:id="rId69">
        <w:r>
          <w:rPr>
            <w:rStyle w:val="Hyperlink"/>
          </w:rPr>
          <w:t xml:space="preserve">https://www.fmv.edu.tr/resources/files/Okullar-Bulten/Florya%20ilkogretim/7sinif-1yariyilsonu-akademikbulten.pdf</w:t>
        </w:r>
      </w:hyperlink>
    </w:p>
    <w:p>
      <w:pPr>
        <w:pStyle w:val="BodyText"/>
      </w:pPr>
      <w:hyperlink r:id="rId44">
        <w:r>
          <w:rPr>
            <w:rStyle w:val="Hyperlink"/>
          </w:rPr>
          <w:t xml:space="preserve">[24]</w:t>
        </w:r>
      </w:hyperlink>
      <w:r>
        <w:t xml:space="preserve"> </w:t>
      </w:r>
      <w:hyperlink r:id="rId46">
        <w:r>
          <w:rPr>
            <w:rStyle w:val="Hyperlink"/>
          </w:rPr>
          <w:t xml:space="preserve">[26]</w:t>
        </w:r>
      </w:hyperlink>
      <w:r>
        <w:t xml:space="preserve"> </w:t>
      </w:r>
      <w:r>
        <w:t xml:space="preserve">Vizyonumuz :: www.kolejsancaktepe.com</w:t>
      </w:r>
    </w:p>
    <w:p>
      <w:pPr>
        <w:pStyle w:val="BodyText"/>
      </w:pPr>
      <w:hyperlink r:id="rId70">
        <w:r>
          <w:rPr>
            <w:rStyle w:val="Hyperlink"/>
          </w:rPr>
          <w:t xml:space="preserve">https://www.kolejsancaktepe.com/vizyonmisyon/</w:t>
        </w:r>
      </w:hyperlink>
    </w:p>
    <w:p>
      <w:pPr>
        <w:pStyle w:val="BodyText"/>
      </w:pPr>
      <w:hyperlink r:id="rId45">
        <w:r>
          <w:rPr>
            <w:rStyle w:val="Hyperlink"/>
          </w:rPr>
          <w:t xml:space="preserve">[25]</w:t>
        </w:r>
      </w:hyperlink>
      <w:r>
        <w:t xml:space="preserve"> </w:t>
      </w:r>
      <w:r>
        <w:t xml:space="preserve">Misyonumuz :: www.kolejsancaktepe.com</w:t>
      </w:r>
    </w:p>
    <w:p>
      <w:pPr>
        <w:pStyle w:val="BodyText"/>
      </w:pPr>
      <w:hyperlink r:id="rId71">
        <w:r>
          <w:rPr>
            <w:rStyle w:val="Hyperlink"/>
          </w:rPr>
          <w:t xml:space="preserve">https://www.kolejsancaktepe.com/misyonumuz/</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authenticeducation.org/whatisubd/" TargetMode="External" /><Relationship Type="http://schemas.openxmlformats.org/officeDocument/2006/relationships/hyperlink" Id="rId23" Target="https://authenticeducation.org/whatisubd/#:~:text=,and%20deepening%20of%20student%20understanding" TargetMode="External" /><Relationship Type="http://schemas.openxmlformats.org/officeDocument/2006/relationships/hyperlink" Id="rId30" Target="https://authenticeducation.org/whatisubd/#:~:text=,approaches%20to%20design%20and%20teaching" TargetMode="External" /><Relationship Type="http://schemas.openxmlformats.org/officeDocument/2006/relationships/hyperlink" Id="rId26" Target="https://authenticeducation.org/whatisubd/#:~:text=,can%20better%20assess%20student%20understanding" TargetMode="External" /><Relationship Type="http://schemas.openxmlformats.org/officeDocument/2006/relationships/hyperlink" Id="rId21" Target="https://authenticeducation.org/whatisubd/#:~:text=,priorities%20and%20purposes%20are%20apparent" TargetMode="External" /><Relationship Type="http://schemas.openxmlformats.org/officeDocument/2006/relationships/hyperlink" Id="rId52" Target="https://authenticeducation.org/whatisubd/#:~:text=,review%20of%20units%20of%20study" TargetMode="External" /><Relationship Type="http://schemas.openxmlformats.org/officeDocument/2006/relationships/hyperlink" Id="rId34" Target="https://authenticeducation.org/whatisubd/#:~:text=What%20is%20Understanding%20by%20Design%C2%AE%3F" TargetMode="External" /><Relationship Type="http://schemas.openxmlformats.org/officeDocument/2006/relationships/hyperlink" Id="rId36" Target="https://authenticeducation.org/whatisubd/#:~:text=education%20publishing%20trade%20association,Studies%20using%20UbD%C2%AE%C2%A0ideas%20and%20terms" TargetMode="External" /><Relationship Type="http://schemas.openxmlformats.org/officeDocument/2006/relationships/hyperlink" Id="rId65" Target="https://dergipark.org.tr/en/download/article-file/3154427" TargetMode="External" /><Relationship Type="http://schemas.openxmlformats.org/officeDocument/2006/relationships/hyperlink" Id="rId22" Target="https://dergipark.org.tr/en/download/article-file/3154427#:~:text=Anlamaya%20dayal%C4%B1%20tasar%C4%B1m%2C%20istenilen%20sonu%C3%A7lar%C4%B1,alan%20e%C4%9Fitim%20program%C4%B1%20ve%20%C3%B6%C4%9Fretim" TargetMode="External" /><Relationship Type="http://schemas.openxmlformats.org/officeDocument/2006/relationships/hyperlink" Id="rId37" Target="https://dergipark.org.tr/en/download/article-file/3154427#:~:text=Anlamaya%20dayal%C4%B1%20tasar%C4%B1m%2C%20istenilen%20sonu%C3%A7lar%C4%B1,odakl%C4%B1%20e%C4%9Fitimde%20de%20benzer%20%C5%9Fekilde" TargetMode="External" /><Relationship Type="http://schemas.openxmlformats.org/officeDocument/2006/relationships/hyperlink" Id="rId25" Target="https://dergipark.org.tr/en/download/article-file/3154427#:~:text=temel%20nokta%20neyin%20anlamaya%20de%C4%9Fece%C4%9Fidir,B%C3%BCy%C3%BCk%20fikirler%20konunun%20%C3%A7ekirde%C4%9Fini" TargetMode="External" /><Relationship Type="http://schemas.openxmlformats.org/officeDocument/2006/relationships/hyperlink" Id="rId66" Target="https://files.ascd.org/staticfiles/ascd/pdf/siteASCD/publications/UbD_WhitePaper0312.pdf" TargetMode="External" /><Relationship Type="http://schemas.openxmlformats.org/officeDocument/2006/relationships/hyperlink" Id="rId31" Target="https://files.ascd.org/staticfiles/ascd/pdf/siteASCD/publications/UbD_WhitePaper0312.pdf#:~:text=1,without%20offering%20a%20rigid%20process" TargetMode="External" /><Relationship Type="http://schemas.openxmlformats.org/officeDocument/2006/relationships/hyperlink" Id="rId27" Target="https://files.ascd.org/staticfiles/ascd/pdf/siteASCD/publications/UbD_WhitePaper0312.pdf#:~:text=3,serve%20as%20indicators%20of%20understanding" TargetMode="External" /><Relationship Type="http://schemas.openxmlformats.org/officeDocument/2006/relationships/hyperlink" Id="rId28" Target="https://files.ascd.org/staticfiles/ascd/pdf/siteASCD/publications/UbD_WhitePaper0312.pdf#:~:text=4,priorities%20and%20purposes%20are%20apparent" TargetMode="External" /><Relationship Type="http://schemas.openxmlformats.org/officeDocument/2006/relationships/hyperlink" Id="rId53" Target="https://files.ascd.org/staticfiles/ascd/pdf/siteASCD/publications/UbD_WhitePaper0312.pdf#:~:text=5,and%20transfer%20by%20the%20learner" TargetMode="External" /><Relationship Type="http://schemas.openxmlformats.org/officeDocument/2006/relationships/hyperlink" Id="rId33" Target="https://files.ascd.org/staticfiles/ascd/pdf/siteASCD/publications/UbD_WhitePaper0312.pdf#:~:text=The%20UbD%20framework%20is%20based,without%20offering%20a%20rigid%20process" TargetMode="External" /><Relationship Type="http://schemas.openxmlformats.org/officeDocument/2006/relationships/hyperlink" Id="rId29" Target="https://files.ascd.org/staticfiles/ascd/pdf/siteASCD/publications/UbD_WhitePaper0312.pdf#:~:text=The%20UbD%20framework%20offers%20a,understanding%20must%20be%20what%20is" TargetMode="External" /><Relationship Type="http://schemas.openxmlformats.org/officeDocument/2006/relationships/hyperlink" Id="rId24" Target="https://files.ascd.org/staticfiles/ascd/pdf/siteASCD/publications/UbD_WhitePaper0312.pdf#:~:text=or%20prescriptive%20recipe,autonomously%20make%20sense%20of%20and" TargetMode="External" /><Relationship Type="http://schemas.openxmlformats.org/officeDocument/2006/relationships/hyperlink" Id="rId35" Target="https://files.ascd.org/staticfiles/ascd/pdf/siteASCD/publications/UbD_WhitePaper0312.pdf#:~:text=or%20prescriptive%20recipe,serve%20as%20indicators%20of%20understanding" TargetMode="External" /><Relationship Type="http://schemas.openxmlformats.org/officeDocument/2006/relationships/hyperlink" Id="rId69" Target="https://www.fmv.edu.tr/resources/files/Okullar-Bulten/Florya%20ilkogretim/7sinif-1yariyilsonu-akademikbulten.pdf" TargetMode="External" /><Relationship Type="http://schemas.openxmlformats.org/officeDocument/2006/relationships/hyperlink" Id="rId41" Target="https://www.fmv.edu.tr/resources/files/Okullar-Bulten/Florya%20ilkogretim/7sinif-1yariyilsonu-akademikbulten.pdf#:~:text=7,y%C3%B6nelik%20tasarland%C4%B1%C4%9F%C4%B1%20bir%20yap%C4%B1da%20haz%C4%B1rlanm%C4%B1%C5%9Ft%C4%B1r" TargetMode="External" /><Relationship Type="http://schemas.openxmlformats.org/officeDocument/2006/relationships/hyperlink" Id="rId42" Target="https://www.fmv.edu.tr/resources/files/Okullar-Bulten/Florya%20ilkogretim/7sinif-1yariyilsonu-akademikbulten.pdf#:~:text=e%29%20UbD%20,UbD%20yakla%C5%9F%C4%B1m%C4%B1%20ile%20planlanan%20derslerde" TargetMode="External" /><Relationship Type="http://schemas.openxmlformats.org/officeDocument/2006/relationships/hyperlink" Id="rId71" Target="https://www.kolejsancaktepe.com/misyonumuz/" TargetMode="External" /><Relationship Type="http://schemas.openxmlformats.org/officeDocument/2006/relationships/hyperlink" Id="rId45" Target="https://www.kolejsancaktepe.com/misyonumuz/#:~:text=,hayata%20ve%20k%C3%BCresel%20d%C3%BCnyaya%20haz%C4%B1rlayan" TargetMode="External" /><Relationship Type="http://schemas.openxmlformats.org/officeDocument/2006/relationships/hyperlink" Id="rId70" Target="https://www.kolejsancaktepe.com/vizyonmisyon/" TargetMode="External" /><Relationship Type="http://schemas.openxmlformats.org/officeDocument/2006/relationships/hyperlink" Id="rId46" Target="https://www.kolejsancaktepe.com/vizyonmisyon/#:~:text=E%C4%9Fitimi%20yaln%C4%B1zca%20akademik%20ba%C5%9Far%C4%B1yla%20s%C4%B1n%C4%B1rlamayan%3B,bir%20e%C4%9Fitim%20ekol%C3%BC%20olu%C5%9Fturmay%C4%B1%20hedefleriz" TargetMode="External" /><Relationship Type="http://schemas.openxmlformats.org/officeDocument/2006/relationships/hyperlink" Id="rId44" Target="https://www.kolejsancaktepe.com/vizyonmisyon/#:~:text=Kolej%20Sancaktepe%20TED%20AD%20olarak,%C3%B6nc%C3%BC%20bir%20e%C4%9Fitim%20kurumu%20olmakt%C4%B1r" TargetMode="External" /><Relationship Type="http://schemas.openxmlformats.org/officeDocument/2006/relationships/hyperlink" Id="rId67" Target="https://www.tedistanbul.k12.tr/ilkokul/olcme-ve-degerlendirme-bolumu/" TargetMode="External" /><Relationship Type="http://schemas.openxmlformats.org/officeDocument/2006/relationships/hyperlink" Id="rId38" Target="https://www.tedistanbul.k12.tr/ilkokul/olcme-ve-degerlendirme-bolumu/#:~:text=%C3%96l%C3%A7me%20ve%20De%C4%9Ferlendirme%20B%C3%B6l%C3%BCm%C3%BC" TargetMode="External" /><Relationship Type="http://schemas.openxmlformats.org/officeDocument/2006/relationships/hyperlink" Id="rId68" Target="https://www.tedistanbul.k12.tr/ortaokul/olcme-ve-degerlendirme-bolumu/" TargetMode="External" /><Relationship Type="http://schemas.openxmlformats.org/officeDocument/2006/relationships/hyperlink" Id="rId40" Target="https://www.tedistanbul.k12.tr/ortaokul/olcme-ve-degerlendirme-bolumu/#:~:text=,derinlemesine%20%C3%B6%C4%9Frenme%20ve%20anlamaya%20odaklan%C4%B1l%C4%B1r" TargetMode="External" /><Relationship Type="http://schemas.openxmlformats.org/officeDocument/2006/relationships/hyperlink" Id="rId39" Target="https://www.tedistanbul.k12.tr/ortaokul/olcme-ve-degerlendirme-bolumu/#:~:text=Anlamaya%20Odakl%C4%B1%20%C3%96%C4%9Fretim%20Tasar%C4%B1m%C4%B1%20,de%C4%9Ferlendirme%20planlamas%C4%B1%20UbD%20temelli%20yap%C4%B1l%C4%B1r" TargetMode="External" /><Relationship Type="http://schemas.openxmlformats.org/officeDocument/2006/relationships/hyperlink" Id="rId56" Target="https://www.tedistanbul.k12.tr/ortaokul/olcme-ve-degerlendirme-bolumu/#:~:text=Kurumsal%20Soru%2C%20%C3%96dev%2C%20Etkinlik%20ve,olu%C5%9Fturulur%20ve%20%C3%B6%C4%9Fretmenlerin%20eri%C5%9Fimine%20sunulur" TargetMode="External" /><Relationship Type="http://schemas.openxmlformats.org/officeDocument/2006/relationships/hyperlink" Id="rId58" Target="https://www.tedistanbul.k12.tr/ortaokul/olcme-ve-degerlendirme-bolumu/#:~:text=Ortak%20S%C4%B1navlar%3A%20S%C4%B1n%C4%B1f%20ge%C3%A7me%20y%C3%B6netmeli%C4%9Fi,zenginli%C4%9Fe%20paralel%20bir%20yap%C4%B1da%20haz%C4%B1rlan%C4%B1r" TargetMode="External" /></Relationships>
</file>

<file path=word/_rels/footnotes.xml.rels><?xml version="1.0" encoding="UTF-8"?><Relationships xmlns="http://schemas.openxmlformats.org/package/2006/relationships"><Relationship Type="http://schemas.openxmlformats.org/officeDocument/2006/relationships/hyperlink" Id="rId64" Target="https://authenticeducation.org/whatisubd/" TargetMode="External" /><Relationship Type="http://schemas.openxmlformats.org/officeDocument/2006/relationships/hyperlink" Id="rId23" Target="https://authenticeducation.org/whatisubd/#:~:text=,and%20deepening%20of%20student%20understanding" TargetMode="External" /><Relationship Type="http://schemas.openxmlformats.org/officeDocument/2006/relationships/hyperlink" Id="rId30" Target="https://authenticeducation.org/whatisubd/#:~:text=,approaches%20to%20design%20and%20teaching" TargetMode="External" /><Relationship Type="http://schemas.openxmlformats.org/officeDocument/2006/relationships/hyperlink" Id="rId26" Target="https://authenticeducation.org/whatisubd/#:~:text=,can%20better%20assess%20student%20understanding" TargetMode="External" /><Relationship Type="http://schemas.openxmlformats.org/officeDocument/2006/relationships/hyperlink" Id="rId21" Target="https://authenticeducation.org/whatisubd/#:~:text=,priorities%20and%20purposes%20are%20apparent" TargetMode="External" /><Relationship Type="http://schemas.openxmlformats.org/officeDocument/2006/relationships/hyperlink" Id="rId52" Target="https://authenticeducation.org/whatisubd/#:~:text=,review%20of%20units%20of%20study" TargetMode="External" /><Relationship Type="http://schemas.openxmlformats.org/officeDocument/2006/relationships/hyperlink" Id="rId34" Target="https://authenticeducation.org/whatisubd/#:~:text=What%20is%20Understanding%20by%20Design%C2%AE%3F" TargetMode="External" /><Relationship Type="http://schemas.openxmlformats.org/officeDocument/2006/relationships/hyperlink" Id="rId36" Target="https://authenticeducation.org/whatisubd/#:~:text=education%20publishing%20trade%20association,Studies%20using%20UbD%C2%AE%C2%A0ideas%20and%20terms" TargetMode="External" /><Relationship Type="http://schemas.openxmlformats.org/officeDocument/2006/relationships/hyperlink" Id="rId65" Target="https://dergipark.org.tr/en/download/article-file/3154427" TargetMode="External" /><Relationship Type="http://schemas.openxmlformats.org/officeDocument/2006/relationships/hyperlink" Id="rId22" Target="https://dergipark.org.tr/en/download/article-file/3154427#:~:text=Anlamaya%20dayal%C4%B1%20tasar%C4%B1m%2C%20istenilen%20sonu%C3%A7lar%C4%B1,alan%20e%C4%9Fitim%20program%C4%B1%20ve%20%C3%B6%C4%9Fretim" TargetMode="External" /><Relationship Type="http://schemas.openxmlformats.org/officeDocument/2006/relationships/hyperlink" Id="rId37" Target="https://dergipark.org.tr/en/download/article-file/3154427#:~:text=Anlamaya%20dayal%C4%B1%20tasar%C4%B1m%2C%20istenilen%20sonu%C3%A7lar%C4%B1,odakl%C4%B1%20e%C4%9Fitimde%20de%20benzer%20%C5%9Fekilde" TargetMode="External" /><Relationship Type="http://schemas.openxmlformats.org/officeDocument/2006/relationships/hyperlink" Id="rId25" Target="https://dergipark.org.tr/en/download/article-file/3154427#:~:text=temel%20nokta%20neyin%20anlamaya%20de%C4%9Fece%C4%9Fidir,B%C3%BCy%C3%BCk%20fikirler%20konunun%20%C3%A7ekirde%C4%9Fini" TargetMode="External" /><Relationship Type="http://schemas.openxmlformats.org/officeDocument/2006/relationships/hyperlink" Id="rId66" Target="https://files.ascd.org/staticfiles/ascd/pdf/siteASCD/publications/UbD_WhitePaper0312.pdf" TargetMode="External" /><Relationship Type="http://schemas.openxmlformats.org/officeDocument/2006/relationships/hyperlink" Id="rId31" Target="https://files.ascd.org/staticfiles/ascd/pdf/siteASCD/publications/UbD_WhitePaper0312.pdf#:~:text=1,without%20offering%20a%20rigid%20process" TargetMode="External" /><Relationship Type="http://schemas.openxmlformats.org/officeDocument/2006/relationships/hyperlink" Id="rId27" Target="https://files.ascd.org/staticfiles/ascd/pdf/siteASCD/publications/UbD_WhitePaper0312.pdf#:~:text=3,serve%20as%20indicators%20of%20understanding" TargetMode="External" /><Relationship Type="http://schemas.openxmlformats.org/officeDocument/2006/relationships/hyperlink" Id="rId28" Target="https://files.ascd.org/staticfiles/ascd/pdf/siteASCD/publications/UbD_WhitePaper0312.pdf#:~:text=4,priorities%20and%20purposes%20are%20apparent" TargetMode="External" /><Relationship Type="http://schemas.openxmlformats.org/officeDocument/2006/relationships/hyperlink" Id="rId53" Target="https://files.ascd.org/staticfiles/ascd/pdf/siteASCD/publications/UbD_WhitePaper0312.pdf#:~:text=5,and%20transfer%20by%20the%20learner" TargetMode="External" /><Relationship Type="http://schemas.openxmlformats.org/officeDocument/2006/relationships/hyperlink" Id="rId33" Target="https://files.ascd.org/staticfiles/ascd/pdf/siteASCD/publications/UbD_WhitePaper0312.pdf#:~:text=The%20UbD%20framework%20is%20based,without%20offering%20a%20rigid%20process" TargetMode="External" /><Relationship Type="http://schemas.openxmlformats.org/officeDocument/2006/relationships/hyperlink" Id="rId29" Target="https://files.ascd.org/staticfiles/ascd/pdf/siteASCD/publications/UbD_WhitePaper0312.pdf#:~:text=The%20UbD%20framework%20offers%20a,understanding%20must%20be%20what%20is" TargetMode="External" /><Relationship Type="http://schemas.openxmlformats.org/officeDocument/2006/relationships/hyperlink" Id="rId24" Target="https://files.ascd.org/staticfiles/ascd/pdf/siteASCD/publications/UbD_WhitePaper0312.pdf#:~:text=or%20prescriptive%20recipe,autonomously%20make%20sense%20of%20and" TargetMode="External" /><Relationship Type="http://schemas.openxmlformats.org/officeDocument/2006/relationships/hyperlink" Id="rId35" Target="https://files.ascd.org/staticfiles/ascd/pdf/siteASCD/publications/UbD_WhitePaper0312.pdf#:~:text=or%20prescriptive%20recipe,serve%20as%20indicators%20of%20understanding" TargetMode="External" /><Relationship Type="http://schemas.openxmlformats.org/officeDocument/2006/relationships/hyperlink" Id="rId69" Target="https://www.fmv.edu.tr/resources/files/Okullar-Bulten/Florya%20ilkogretim/7sinif-1yariyilsonu-akademikbulten.pdf" TargetMode="External" /><Relationship Type="http://schemas.openxmlformats.org/officeDocument/2006/relationships/hyperlink" Id="rId41" Target="https://www.fmv.edu.tr/resources/files/Okullar-Bulten/Florya%20ilkogretim/7sinif-1yariyilsonu-akademikbulten.pdf#:~:text=7,y%C3%B6nelik%20tasarland%C4%B1%C4%9F%C4%B1%20bir%20yap%C4%B1da%20haz%C4%B1rlanm%C4%B1%C5%9Ft%C4%B1r" TargetMode="External" /><Relationship Type="http://schemas.openxmlformats.org/officeDocument/2006/relationships/hyperlink" Id="rId42" Target="https://www.fmv.edu.tr/resources/files/Okullar-Bulten/Florya%20ilkogretim/7sinif-1yariyilsonu-akademikbulten.pdf#:~:text=e%29%20UbD%20,UbD%20yakla%C5%9F%C4%B1m%C4%B1%20ile%20planlanan%20derslerde" TargetMode="External" /><Relationship Type="http://schemas.openxmlformats.org/officeDocument/2006/relationships/hyperlink" Id="rId71" Target="https://www.kolejsancaktepe.com/misyonumuz/" TargetMode="External" /><Relationship Type="http://schemas.openxmlformats.org/officeDocument/2006/relationships/hyperlink" Id="rId45" Target="https://www.kolejsancaktepe.com/misyonumuz/#:~:text=,hayata%20ve%20k%C3%BCresel%20d%C3%BCnyaya%20haz%C4%B1rlayan" TargetMode="External" /><Relationship Type="http://schemas.openxmlformats.org/officeDocument/2006/relationships/hyperlink" Id="rId70" Target="https://www.kolejsancaktepe.com/vizyonmisyon/" TargetMode="External" /><Relationship Type="http://schemas.openxmlformats.org/officeDocument/2006/relationships/hyperlink" Id="rId46" Target="https://www.kolejsancaktepe.com/vizyonmisyon/#:~:text=E%C4%9Fitimi%20yaln%C4%B1zca%20akademik%20ba%C5%9Far%C4%B1yla%20s%C4%B1n%C4%B1rlamayan%3B,bir%20e%C4%9Fitim%20ekol%C3%BC%20olu%C5%9Fturmay%C4%B1%20hedefleriz" TargetMode="External" /><Relationship Type="http://schemas.openxmlformats.org/officeDocument/2006/relationships/hyperlink" Id="rId44" Target="https://www.kolejsancaktepe.com/vizyonmisyon/#:~:text=Kolej%20Sancaktepe%20TED%20AD%20olarak,%C3%B6nc%C3%BC%20bir%20e%C4%9Fitim%20kurumu%20olmakt%C4%B1r" TargetMode="External" /><Relationship Type="http://schemas.openxmlformats.org/officeDocument/2006/relationships/hyperlink" Id="rId67" Target="https://www.tedistanbul.k12.tr/ilkokul/olcme-ve-degerlendirme-bolumu/" TargetMode="External" /><Relationship Type="http://schemas.openxmlformats.org/officeDocument/2006/relationships/hyperlink" Id="rId38" Target="https://www.tedistanbul.k12.tr/ilkokul/olcme-ve-degerlendirme-bolumu/#:~:text=%C3%96l%C3%A7me%20ve%20De%C4%9Ferlendirme%20B%C3%B6l%C3%BCm%C3%BC" TargetMode="External" /><Relationship Type="http://schemas.openxmlformats.org/officeDocument/2006/relationships/hyperlink" Id="rId68" Target="https://www.tedistanbul.k12.tr/ortaokul/olcme-ve-degerlendirme-bolumu/" TargetMode="External" /><Relationship Type="http://schemas.openxmlformats.org/officeDocument/2006/relationships/hyperlink" Id="rId40" Target="https://www.tedistanbul.k12.tr/ortaokul/olcme-ve-degerlendirme-bolumu/#:~:text=,derinlemesine%20%C3%B6%C4%9Frenme%20ve%20anlamaya%20odaklan%C4%B1l%C4%B1r" TargetMode="External" /><Relationship Type="http://schemas.openxmlformats.org/officeDocument/2006/relationships/hyperlink" Id="rId39" Target="https://www.tedistanbul.k12.tr/ortaokul/olcme-ve-degerlendirme-bolumu/#:~:text=Anlamaya%20Odakl%C4%B1%20%C3%96%C4%9Fretim%20Tasar%C4%B1m%C4%B1%20,de%C4%9Ferlendirme%20planlamas%C4%B1%20UbD%20temelli%20yap%C4%B1l%C4%B1r" TargetMode="External" /><Relationship Type="http://schemas.openxmlformats.org/officeDocument/2006/relationships/hyperlink" Id="rId56" Target="https://www.tedistanbul.k12.tr/ortaokul/olcme-ve-degerlendirme-bolumu/#:~:text=Kurumsal%20Soru%2C%20%C3%96dev%2C%20Etkinlik%20ve,olu%C5%9Fturulur%20ve%20%C3%B6%C4%9Fretmenlerin%20eri%C5%9Fimine%20sunulur" TargetMode="External" /><Relationship Type="http://schemas.openxmlformats.org/officeDocument/2006/relationships/hyperlink" Id="rId58" Target="https://www.tedistanbul.k12.tr/ortaokul/olcme-ve-degerlendirme-bolumu/#:~:text=Ortak%20S%C4%B1navlar%3A%20S%C4%B1n%C4%B1f%20ge%C3%A7me%20y%C3%B6netmeli%C4%9Fi,zenginli%C4%9Fe%20paralel%20bir%20yap%C4%B1da%20haz%C4%B1rlan%C4%B1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2026-02-13T08:41:59Z</dcterms:created>
  <dcterms:modified xsi:type="dcterms:W3CDTF">2026-02-13T08:41:59Z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