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NAGS-PID: 1D Quadrotor İrtifa Kontrolü – Durum Özeti</w:t>
      </w:r>
    </w:p>
    <w:p>
      <w:pPr/>
      <w:r>
        <w:t xml:space="preserve">Oct 23, 2026</w:t>
      </w:r>
      <w:r>
        <w:t xml:space="preserve"> · </w:t>
      </w:r>
      <w:r>
        <w:t xml:space="preserve">@Egemen</w:t>
      </w:r>
    </w:p>
    <w:p>
      <w:pPr>
        <w:pStyle w:val="Heading2"/>
      </w:pPr>
      <w:r>
        <w:t xml:space="preserve">Amaç</w:t>
      </w:r>
    </w:p>
    <w:p>
      <w:pPr/>
      <w:r>
        <w:t xml:space="preserve">Bu çalışma, tek eksenli (1D) bir quadrotorun irtifa kontrolünde, kazancını duruma göre ayarlayan bir MLP kazanç planlayıcının (NAGS-PID) kutup atamalı sabit PID'ye göre rüzgâr bozucusu altında fayda sağlayıp sağlamadığını ölçer.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Hipotez:</w:t>
      </w:r>
      <w:r>
        <w:t xml:space="preserve"> Hata, hız ve integral durumuna göre Kp, Ki, Kd'yi ±%40 sınır içinde ayarlayan bir ağ, sabit kazançtan daha iyi bir performans/eyleyici-eforu dengesi sunar.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Kapsam:</w:t>
      </w:r>
      <w:r>
        <w:t xml:space="preserve"> Tek eksen irtifa, motor gecikmeli plant, 4 motorun tek eşdeğer itkiye indirgenmesi, rüzgâr darbesi ve sinüs rüzgâr bozucusu, Simulink'te blok diyagramla gösterim.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Durum (23 Ekim 2026):</w:t>
      </w:r>
      <w:r>
        <w:t xml:space="preserve"> Model ve kıyas hattı hazır. MLP aşımı düşürüyor ama toparlanmayı yavaşlatıyor, net bir kazanç henüz yok.</w:t>
      </w:r>
    </w:p>
    <w:p>
      <w:pPr>
        <w:pStyle w:val="Heading2"/>
      </w:pPr>
      <w:r>
        <w:t xml:space="preserve">Yöntem</w:t>
      </w:r>
    </w:p>
    <w:p>
      <w:pPr/>
      <w:r>
        <w:t xml:space="preserve">Plant ve nominal PID Python ile Simulink'te aynı denklemlerle kuruldu, sonra MLP bu simülatörde evrimsel stratejiyle (ES) eğitildi ve Simulink'te üç modda karşılaştırıldı.</w:t>
      </w:r>
    </w:p>
    <w:p>
      <w:pPr/>
      <w:r>
        <w:rPr>
          <w:b/>
        </w:rPr>
        <w:t xml:space="preserve">Plant.</w:t>
      </w:r>
      <w:r>
        <w:t xml:space="preserve"> Motor birinci derece gecikmeli, tek eşdeğer itki (m = 1 kg, τ_m = 0.05 s, U_max = 2mg = 19.62 N):</w:t>
      </w:r>
    </w:p>
    <w:p>
      <w:pPr>
        <w:pStyle w:val="Code"/>
      </w:pPr>
      <w:bookmarkStart w:id="1" w:name="bongo_lang_latex_1"/>
      <w:bookmarkEnd w:id="1"/>
      <w:r>
        <w:t xml:space="preserve">m\ddot z = U - mg - c_d \dot z |\dot z| + d(t), \qquad U = 4 k_f \omega^2, \qquad \dot\omega = (\omega_{cmd}-\omega)/\tau_m</w:t>
      </w:r>
    </w:p>
    <w:p>
      <w:pPr/>
      <w:r>
        <w:rPr>
          <w:b/>
        </w:rPr>
        <w:t xml:space="preserve">Nominal PID (kutup atama).</w:t>
      </w:r>
      <w:r>
        <w:t xml:space="preserve"> ζ = 0.707, ωn = 4 rad/s, α = 2 ile Kp = 27.312, Ki = 32.0, Kd = 7.656. Kontrol kanunu türev ölçümde, koşullu integrasyon anti-windup'lı:</w:t>
      </w:r>
    </w:p>
    <w:p>
      <w:pPr>
        <w:pStyle w:val="Code"/>
      </w:pPr>
      <w:bookmarkStart w:id="2" w:name="bongo_lang_latex_2"/>
      <w:bookmarkEnd w:id="2"/>
      <w:r>
        <w:t xml:space="preserve">U_{cmd} = mg + K_p e + K_i \int e\,dt - K_d \dot z</w:t>
      </w:r>
    </w:p>
    <w:p>
      <w:pPr/>
      <w:r>
        <w:rPr>
          <w:b/>
        </w:rPr>
        <w:t xml:space="preserve">MLP kazanç planlayıcı.</w:t>
      </w:r>
      <w:r>
        <w:t xml:space="preserve"> Girdiler e/0.5, ż/2, ∫e/2; 3→16→16→3 ağ (ReLU, ReLU, tanh); çıkış K = K0 (1 + 0.40·out). Ağ durumsuz bir eşleme, tahminci değil. ±40% kutusunda dondurulmuş kazanç kararlılığı Routh–Hurwitz ile kontrol edildi (±60%'ta kararsız köşe var).</w:t>
      </w:r>
    </w:p>
    <w:p>
      <w:pPr/>
      <w:r>
        <w:rPr>
          <w:b/>
        </w:rPr>
        <w:t xml:space="preserve">Eğitim.</w:t>
      </w:r>
      <w:r>
        <w:t xml:space="preserve"> Antitetik örneklemeli ES, 50 birey, 40 nesil, 9 eğitim senaryosu (z hedefi 0.15/0.20/0.30 m, darbe −3/−4.5/−8 N, üç farklı sinüs). Kontrolcü gürültülü ölçüm görüyor (σ_z = 5 mm, σ_v = 5 cm/s). Test senaryosu eğitimde yok.</w:t>
      </w:r>
    </w:p>
    <w:p>
      <w:pPr/>
      <w:r>
        <w:rPr>
          <w:b/>
        </w:rPr>
        <w:t xml:space="preserve">Maliyet fonksiyonu.</w:t>
      </w:r>
    </w:p>
    <w:p>
      <w:pPr>
        <w:pStyle w:val="Code"/>
      </w:pPr>
      <w:bookmarkStart w:id="3" w:name="bongo_lang_latex_3"/>
      <w:bookmarkEnd w:id="3"/>
      <w:r>
        <w:t xml:space="preserve">J = \mathrm{ITAE} + 150\,\Delta_{ast} + 150\,\Delta_{drop} + 25\,\Delta_{peak} + 25\,e_{sin,rms} + 0.0005\,C_{K} + 60\,P_{sat} + W_{eff}\,E_{U}</w:t>
      </w:r>
    </w:p>
    <w:p>
      <w:pPr>
        <w:pStyle w:val="ListParagraph"/>
        <w:numPr>
          <w:ilvl w:val="0"/>
          <w:numId w:val="3"/>
        </w:numPr>
      </w:pPr>
      <w:r>
        <w:t xml:space="preserve">ITAE: genel takip hatası; Δ_ast: basamakta referansı aşma; Δ_drop / Δ_peak: rüzgâr çukuru ve fırlama.</w:t>
      </w:r>
    </w:p>
    <w:p>
      <w:pPr>
        <w:pStyle w:val="ListParagraph"/>
        <w:numPr>
          <w:ilvl w:val="0"/>
          <w:numId w:val="3"/>
        </w:numPr>
      </w:pPr>
      <w:r>
        <w:t xml:space="preserve">e_sin,rms: sinüs rüzgârda RMS hata; C_K: kazanç değişim hızı (chatter).</w:t>
      </w:r>
    </w:p>
    <w:p>
      <w:pPr>
        <w:pStyle w:val="ListParagraph"/>
        <w:numPr>
          <w:ilvl w:val="0"/>
          <w:numId w:val="3"/>
        </w:numPr>
      </w:pPr>
      <w:r>
        <w:t xml:space="preserve">P_sat: ham U_cmd'nin [0, 19.62 N] dışına taşması (normalize); E_U: ardışık U_cmd farkının karesi (gürültüyü büyüten kazançları cezalar).</w:t>
      </w:r>
    </w:p>
    <w:p>
      <w:pPr>
        <w:pStyle w:val="ListParagraph"/>
        <w:numPr>
          <w:ilvl w:val="0"/>
          <w:numId w:val="3"/>
        </w:numPr>
      </w:pPr>
      <w:r>
        <w:t xml:space="preserve">Her senaryonun maliyeti nominal PID maliyetine oranlanır (nominal = 1.0). Aşım ve çukur ağırlıkları (150) ilk eğitimde gözlenen aşım sorununa tepki olarak artırıldı; bu karar kayda geçti.</w:t>
      </w:r>
    </w:p>
    <w:p>
      <w:pPr/>
      <w:r>
        <w:rPr>
          <w:b/>
        </w:rPr>
        <w:t xml:space="preserve">Test senaryosu.</w:t>
      </w:r>
      <w:r>
        <w:t xml:space="preserve"> z_ref 0 → 0.2 m basamağı (t = 1 s), −6 N rüzgâr darbesi (5–8 s), 3 N / 2 rad/s sinüs rüzgâr (12 s sonrası), T = 20 s.</w:t>
      </w:r>
    </w:p>
    <w:p>
      <w:pPr/>
      <w:r>
        <w:rPr>
          <w:b/>
        </w:rPr>
        <w:t xml:space="preserve">Doğrulama.</w:t>
      </w:r>
      <w:r>
        <w:t xml:space="preserve"> Python simülatörü, nominal PID'de Simulink ile %2 içinde eşleşti (aşım 33.3 / 33.1 %, ITAE 12.5885 / 12.5967). Simulink'te üç mod: Mod 0 nominal, Mod 1 sabit ×1.4 (MLP'nin yetki sınırı), Mod 2 MLP.</w:t>
      </w:r>
    </w:p>
    <w:p>
      <w:pPr>
        <w:pStyle w:val="Heading2"/>
      </w:pPr>
      <w:r>
        <w:t xml:space="preserve">Çıktı</w:t>
      </w:r>
    </w:p>
    <w:p>
      <w:pPr/>
      <w:r>
        <w:t xml:space="preserve">MLP, basamak aşımını ×1.4 sabit PID'nin %23.7'sinden %12.8'e indirdi, ama her olaydan sonra referansa yavaş dönüyor: ITAE %22 kötü (10.68 / 8.72) ve yâlnizca 8–12 s penceresinde 1 cm bandına girmiyor (yerleşme </w:t>
      </w:r>
      <w:r>
        <w:rPr>
          <w:rStyle w:val="CodeChar"/>
        </w:rPr>
        <w:t xml:space="preserve">nan</w:t>
      </w:r>
      <w:r>
        <w:t xml:space="preserve">). Net bir kazanç yok, bir takas var.</w:t>
      </w:r>
    </w:p>
    <w:p>
      <w:pPr/>
      <w:r>
        <w:t xml:space="preserve">Test senaryosu (−6 N darbe, 3 N / 2 rad/s sinüs; eğitimde görülmedi), Python simülatörü, gürültüsüz: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78"/>
        <w:gridCol w:w="1770"/>
        <w:gridCol w:w="2196"/>
        <w:gridCol w:w="2216"/>
      </w:tblGrid>
      <w:tr>
        <w:trPr>
          <w:tblHeader/>
        </w:trPr>
        <w:tc>
          <w:tcPr>
            <w:tcW w:w="3178" w:type="dxa"/>
            <w:shd w:val="clear" w:color="auto" w:fill="F2F2F2"/>
          </w:tcPr>
          <w:p>
            <w:pPr/>
            <w:r>
              <w:t xml:space="preserve">Metrik</w:t>
            </w:r>
          </w:p>
        </w:tc>
        <w:tc>
          <w:tcPr>
            <w:tcW w:w="1770" w:type="dxa"/>
            <w:shd w:val="clear" w:color="auto" w:fill="F2F2F2"/>
          </w:tcPr>
          <w:p>
            <w:pPr/>
            <w:r>
              <w:t xml:space="preserve">Nominal PID (Mod 0)</w:t>
            </w:r>
          </w:p>
        </w:tc>
        <w:tc>
          <w:tcPr>
            <w:tcW w:w="2196" w:type="dxa"/>
            <w:shd w:val="clear" w:color="auto" w:fill="F2F2F2"/>
          </w:tcPr>
          <w:p>
            <w:pPr/>
            <w:r>
              <w:t xml:space="preserve">×1.4 Sabit (Mod 1)</w:t>
            </w:r>
          </w:p>
        </w:tc>
        <w:tc>
          <w:tcPr>
            <w:tcW w:w="2216" w:type="dxa"/>
            <w:shd w:val="clear" w:color="auto" w:fill="F2F2F2"/>
          </w:tcPr>
          <w:p>
            <w:pPr/>
            <w:r>
              <w:t xml:space="preserve">NAGS-PID (Mod 2)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Aşım (%)</w:t>
            </w:r>
          </w:p>
        </w:tc>
        <w:tc>
          <w:tcPr>
            <w:tcW w:w="1770" w:type="dxa"/>
          </w:tcPr>
          <w:p>
            <w:pPr/>
            <w:r>
              <w:t xml:space="preserve">33.30</w:t>
            </w:r>
          </w:p>
        </w:tc>
        <w:tc>
          <w:tcPr>
            <w:tcW w:w="2196" w:type="dxa"/>
          </w:tcPr>
          <w:p>
            <w:pPr/>
            <w:r>
              <w:t xml:space="preserve">23.74</w:t>
            </w:r>
          </w:p>
        </w:tc>
        <w:tc>
          <w:tcPr>
            <w:tcW w:w="2216" w:type="dxa"/>
          </w:tcPr>
          <w:p>
            <w:pPr/>
            <w:r>
              <w:t xml:space="preserve">12.79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Çukur (m)</w:t>
            </w:r>
          </w:p>
        </w:tc>
        <w:tc>
          <w:tcPr>
            <w:tcW w:w="1770" w:type="dxa"/>
          </w:tcPr>
          <w:p>
            <w:pPr/>
            <w:r>
              <w:t xml:space="preserve">0.2065</w:t>
            </w:r>
          </w:p>
        </w:tc>
        <w:tc>
          <w:tcPr>
            <w:tcW w:w="2196" w:type="dxa"/>
          </w:tcPr>
          <w:p>
            <w:pPr/>
            <w:r>
              <w:t xml:space="preserve">0.1383</w:t>
            </w:r>
          </w:p>
        </w:tc>
        <w:tc>
          <w:tcPr>
            <w:tcW w:w="2216" w:type="dxa"/>
          </w:tcPr>
          <w:p>
            <w:pPr/>
            <w:r>
              <w:t xml:space="preserve">0.1525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Fırlama (m)</w:t>
            </w:r>
          </w:p>
        </w:tc>
        <w:tc>
          <w:tcPr>
            <w:tcW w:w="1770" w:type="dxa"/>
          </w:tcPr>
          <w:p>
            <w:pPr/>
            <w:r>
              <w:t xml:space="preserve">0.2044</w:t>
            </w:r>
          </w:p>
        </w:tc>
        <w:tc>
          <w:tcPr>
            <w:tcW w:w="2196" w:type="dxa"/>
          </w:tcPr>
          <w:p>
            <w:pPr/>
            <w:r>
              <w:t xml:space="preserve">0.1365</w:t>
            </w:r>
          </w:p>
        </w:tc>
        <w:tc>
          <w:tcPr>
            <w:tcW w:w="2216" w:type="dxa"/>
          </w:tcPr>
          <w:p>
            <w:pPr/>
            <w:r>
              <w:t xml:space="preserve">0.1357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Yerleşme (s)</w:t>
            </w:r>
          </w:p>
        </w:tc>
        <w:tc>
          <w:tcPr>
            <w:tcW w:w="1770" w:type="dxa"/>
          </w:tcPr>
          <w:p>
            <w:pPr/>
            <w:r>
              <w:t xml:space="preserve">2.08</w:t>
            </w:r>
          </w:p>
        </w:tc>
        <w:tc>
          <w:tcPr>
            <w:tcW w:w="2196" w:type="dxa"/>
          </w:tcPr>
          <w:p>
            <w:pPr/>
            <w:r>
              <w:t xml:space="preserve">1.99</w:t>
            </w:r>
          </w:p>
        </w:tc>
        <w:tc>
          <w:tcPr>
            <w:tcW w:w="2216" w:type="dxa"/>
          </w:tcPr>
          <w:p>
            <w:pPr/>
            <w:r>
              <w:t xml:space="preserve">nan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Sinüs p2p (m)</w:t>
            </w:r>
          </w:p>
        </w:tc>
        <w:tc>
          <w:tcPr>
            <w:tcW w:w="1770" w:type="dxa"/>
          </w:tcPr>
          <w:p>
            <w:pPr/>
            <w:r>
              <w:t xml:space="preserve">0.2609</w:t>
            </w:r>
          </w:p>
        </w:tc>
        <w:tc>
          <w:tcPr>
            <w:tcW w:w="2196" w:type="dxa"/>
          </w:tcPr>
          <w:p>
            <w:pPr/>
            <w:r>
              <w:t xml:space="preserve">0.1778</w:t>
            </w:r>
          </w:p>
        </w:tc>
        <w:tc>
          <w:tcPr>
            <w:tcW w:w="2216" w:type="dxa"/>
          </w:tcPr>
          <w:p>
            <w:pPr/>
            <w:r>
              <w:t xml:space="preserve">0.1754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RMS hata (m)</w:t>
            </w:r>
          </w:p>
        </w:tc>
        <w:tc>
          <w:tcPr>
            <w:tcW w:w="1770" w:type="dxa"/>
          </w:tcPr>
          <w:p>
            <w:pPr/>
            <w:r>
              <w:t xml:space="preserve">0.0853</w:t>
            </w:r>
          </w:p>
        </w:tc>
        <w:tc>
          <w:tcPr>
            <w:tcW w:w="2196" w:type="dxa"/>
          </w:tcPr>
          <w:p>
            <w:pPr/>
            <w:r>
              <w:t xml:space="preserve">0.0581</w:t>
            </w:r>
          </w:p>
        </w:tc>
        <w:tc>
          <w:tcPr>
            <w:tcW w:w="2216" w:type="dxa"/>
          </w:tcPr>
          <w:p>
            <w:pPr/>
            <w:r>
              <w:t xml:space="preserve">0.0596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ITAE</w:t>
            </w:r>
          </w:p>
        </w:tc>
        <w:tc>
          <w:tcPr>
            <w:tcW w:w="1770" w:type="dxa"/>
          </w:tcPr>
          <w:p>
            <w:pPr/>
            <w:r>
              <w:t xml:space="preserve">12.59</w:t>
            </w:r>
          </w:p>
        </w:tc>
        <w:tc>
          <w:tcPr>
            <w:tcW w:w="2196" w:type="dxa"/>
          </w:tcPr>
          <w:p>
            <w:pPr/>
            <w:r>
              <w:t xml:space="preserve">8.72</w:t>
            </w:r>
          </w:p>
        </w:tc>
        <w:tc>
          <w:tcPr>
            <w:tcW w:w="2216" w:type="dxa"/>
          </w:tcPr>
          <w:p>
            <w:pPr/>
            <w:r>
              <w:t xml:space="preserve">10.68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Max U_cmd (N)</w:t>
            </w:r>
          </w:p>
        </w:tc>
        <w:tc>
          <w:tcPr>
            <w:tcW w:w="1770" w:type="dxa"/>
          </w:tcPr>
          <w:p>
            <w:pPr/>
            <w:r>
              <w:t xml:space="preserve">18.55</w:t>
            </w:r>
          </w:p>
        </w:tc>
        <w:tc>
          <w:tcPr>
            <w:tcW w:w="2196" w:type="dxa"/>
          </w:tcPr>
          <w:p>
            <w:pPr/>
            <w:r>
              <w:t xml:space="preserve">18.63</w:t>
            </w:r>
          </w:p>
        </w:tc>
        <w:tc>
          <w:tcPr>
            <w:tcW w:w="2216" w:type="dxa"/>
          </w:tcPr>
          <w:p>
            <w:pPr/>
            <w:r>
              <w:t xml:space="preserve">18.85</w:t>
            </w:r>
          </w:p>
        </w:tc>
      </w:tr>
      <w:tr>
        <w:tc>
          <w:tcPr>
            <w:tcW w:w="3178" w:type="dxa"/>
          </w:tcPr>
          <w:p>
            <w:pPr/>
            <w:r>
              <w:t xml:space="preserve">U titreşim RMS (N), gürültülü test</w:t>
            </w:r>
          </w:p>
        </w:tc>
        <w:tc>
          <w:tcPr>
            <w:tcW w:w="1770" w:type="dxa"/>
          </w:tcPr>
          <w:p>
            <w:pPr/>
            <w:r>
              <w:t xml:space="preserve">0.58</w:t>
            </w:r>
          </w:p>
        </w:tc>
        <w:tc>
          <w:tcPr>
            <w:tcW w:w="2196" w:type="dxa"/>
          </w:tcPr>
          <w:p>
            <w:pPr/>
            <w:r>
              <w:t xml:space="preserve">0.81</w:t>
            </w:r>
          </w:p>
        </w:tc>
        <w:tc>
          <w:tcPr>
            <w:tcW w:w="2216" w:type="dxa"/>
          </w:tcPr>
          <w:p>
            <w:pPr/>
            <w:r>
              <w:t xml:space="preserve">0.70</w:t>
            </w:r>
          </w:p>
        </w:tc>
      </w:tr>
    </w:tbl>
    <w:p>
      <w:pPr/>
      <w:r>
        <w:t xml:space="preserve">Simulink'te üç mod aynı senaryoyla koşturuldu. Grafikler Python bulgularıyla tutarlı; Simulink'in sayısal tablosu bu belgeye henüz eklenmedi.</w:t>
      </w:r>
    </w:p>
    <w:p>
      <w:pPr>
        <w:pStyle w:val="Heading3"/>
      </w:pPr>
      <w:r>
        <w:t xml:space="preserve">Simulink yanıtları</w:t>
      </w:r>
    </w:p>
    <w:p>
      <w:pPr/>
      <w:r>
        <w:drawing>
          <wp:inline distT="0" distB="0" distL="0" distR="0">
            <wp:extent cx="5486400" cy="3521636"/>
            <wp:docPr id="1" name="image1" descr="Nominal PID (Mod 0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Nominal PID (Mod 0)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3471333"/>
            <wp:docPr id="2" name="image2" descr="Agresif PID ×1.4 (Mod 1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gresif PID ×1.4 (Mod 1)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3502077"/>
            <wp:docPr id="3" name="image3" descr="NAGS-PID / MLP (Mod 2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NAGS-PID / MLP (Mod 2)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Bulgular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Aşım:</w:t>
      </w:r>
      <w:r>
        <w:t xml:space="preserve"> Mod 2 en düşük (0.225 m). Mod 0'da tepe 0.40 m'ye çıkıyor.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Rüzgâr (5–8 s):</w:t>
      </w:r>
      <w:r>
        <w:t xml:space="preserve"> Mod 2'nin çukuru Mod 1'den derin (z ≈ 0.05 vs 0.065) ve 8 s'de z henüz 0.165'te.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Rüzgâr kalkınca (8–12 s):</w:t>
      </w:r>
      <w:r>
        <w:t xml:space="preserve"> Mod 2'de tepe Mod 1 ile aynı (~0.335 m), 12 s'de bile z ≈ 0.22 yani referansın 2 cm üstünde.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Sinüs (12 s sonrası):</w:t>
      </w:r>
      <w:r>
        <w:t xml:space="preserve"> üç modda benzer, MLP'nin farkı yok.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Neden:</w:t>
      </w:r>
      <w:r>
        <w:t xml:space="preserve"> Her olaydan sonra uzayan yavaş kuyruk, integralin yavaş çalıştığının tipik işareti. Ağ büyük ihtimalle aşımı düşürmek için Ki'yi kısmış; maliyette referansa geri dönmeyi açıkça ödüllendiren bir terim yok.</w:t>
      </w:r>
    </w:p>
    <w:p>
      <w:pPr>
        <w:pStyle w:val="Heading2"/>
      </w:pPr>
      <w:r>
        <w:t xml:space="preserve">Concernler ve hocaya sorular</w:t>
      </w:r>
    </w:p>
    <w:p>
      <w:pPr/>
      <w:r>
        <w:t xml:space="preserve">En büyük concern, MLP'nin sabit PID'ye göre net bir üstünlüğünün henüz gösterilememiş olması ve karşılaştırmanın şu an yeterince adil olmaması.</w:t>
      </w:r>
    </w:p>
    <w:p>
      <w:pPr>
        <w:pStyle w:val="Heading3"/>
      </w:pPr>
      <w:r>
        <w:t xml:space="preserve">Concernler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Net kazanç yok.</w:t>
      </w:r>
      <w:r>
        <w:t xml:space="preserve"> Düşük aşım, yavaş toparlanma ve ITAE kaybıyla birlikte geliyor.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Ağırlıklar sonuçlar görüldükten sonra ayarlandı.</w:t>
      </w:r>
      <w:r>
        <w:t xml:space="preserve"> Aşım ve çukur ağırlığı (150) gözlenen aşım sorununa tepki olarak artırıldı; kontrol eforu ağırlığı sabit kazanç taramasına bakılarak seçildi. Raporda şeffafça yazılmalı, ağırlığa karşı ITAE–titreşim trade-off eğrisi çıkarılmalı.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Adil taban eksik.</w:t>
      </w:r>
      <w:r>
        <w:t xml:space="preserve"> ×1.4 üç kazancı aynı oranda ölçekliyor. Aynı maliyet için ayrı ayrı optimize edilmiş sabit PID (Kp, Ki, Kd bağımsız) henüz yok; düşük aşım onunla da yakalanabilir.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Tek seed, tek koşu.</w:t>
      </w:r>
      <w:r>
        <w:t xml:space="preserve"> Çoklu seed ve güven aralığı yok.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Kararlılık ifadesi.</w:t>
      </w:r>
      <w:r>
        <w:t xml:space="preserve"> Routh–Hurwitz analizi yalnızca dondurulmuş kazanç için geçerli; zamanla değişen kazanç için garanti değil. "Kararlılık garantili" başlığı yumuşatılmalı.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Gürültü Simulink'te yok.</w:t>
      </w:r>
      <w:r>
        <w:t xml:space="preserve"> Python'da ölçüm gürültülü test var, Simulink modeline gürültü blokları eklenmedi; Simulink sayısal tablosu belgeye girmedi.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Kütle değişimi / LPV fikri.</w:t>
      </w:r>
      <w:r>
        <w:t xml:space="preserve"> Kütle gizli bir parametre; ağ yalnızca e, ż, ∫e görüyor ve kütle düşüşünü rüzgârdan ayırt edemez. Routh analizine göre ±20% kütlede kararsızlık beklenmiyor, etki küçük olabilir. Önce sabit PID'nin bu senaryoda ne kadar bozulduğuna bakılmalı.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Gömülü hedef.</w:t>
      </w:r>
      <w:r>
        <w:t xml:space="preserve"> Scan cycle ve işlemci kısıtları ertelendi.</w:t>
      </w:r>
    </w:p>
    <w:p>
      <w:pPr>
        <w:pStyle w:val="Heading3"/>
      </w:pPr>
      <w:r>
        <w:t xml:space="preserve">Hocaya sorular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Kapsam:</w:t>
      </w:r>
      <w:r>
        <w:t xml:space="preserve"> Sadece irtifa (1D) yeterli mi, yoksa roll/pitch/yaw da eklenmeli mi? Kaç boyutlu kontrol bekleniyor?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Başarı ölçütü:</w:t>
      </w:r>
      <w:r>
        <w:t xml:space="preserve"> MLP'nin hangi koşulda üstün çıkması beklenir: gürültü, kütle değişimi, değişen rüzgâr rejimi?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Adil kıyas:</w:t>
      </w:r>
      <w:r>
        <w:t xml:space="preserve"> Sabit PID tabanı ×1.4 yeterli mi, yoksa aynı maliyete göre optimize edilmiş sabit PID mi gerekli?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Maliyet fonksiyonu:</w:t>
      </w:r>
      <w:r>
        <w:t xml:space="preserve"> Yerleşme süresi veya kalıcı hata terimi eklemek doğru yön mü?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Gömülü hedef:</w:t>
      </w:r>
      <w:r>
        <w:t xml:space="preserve"> Algoritma hangi işlemcide ve hangi döngü hızında çalışacak; MLP bu bütçeye sığmalı mı?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NAGS-PID 1D Quadrotor İrtifa Kontrolü – Durum Özeti</dc:title>
  <dc:description>Claude Docs node/4f878245-03a0@5 docx-w7</dc:description>
  <cp:revision>5</cp:revision>
</cp:coreProperties>
</file>