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C17F31">
      <w:pPr>
        <w:jc w:val="center"/>
      </w:pPr>
      <w:r>
        <w:rPr>
          <w:b/>
          <w:color w:val="1B365D"/>
          <w:sz w:val="32"/>
        </w:rPr>
        <w:t>YAPAY SİNİR AĞI TABANLI ADAPTİF KAZANÇ AYARLAMALI PID (NAGS-PID) KONTROL MİMARİSİ VE EVRİMSEL EĞİTİM YÖNTEMİ</w:t>
      </w:r>
      <w:r>
        <w:rPr>
          <w:b/>
          <w:color w:val="1B365D"/>
          <w:sz w:val="32"/>
        </w:rPr>
        <w:br w:type="textWrapping"/>
      </w:r>
    </w:p>
    <w:p w14:paraId="41C0B390"/>
    <w:p w14:paraId="410BC844">
      <w:pPr>
        <w:spacing w:before="240" w:after="80"/>
      </w:pPr>
      <w:r>
        <w:rPr>
          <w:b/>
          <w:color w:val="1B365D"/>
          <w:sz w:val="26"/>
        </w:rPr>
        <w:t>1. Giriş ve Teorik Motivasyon</w:t>
      </w:r>
    </w:p>
    <w:p w14:paraId="465503AC">
      <w:pPr>
        <w:spacing w:after="120" w:line="276" w:lineRule="auto"/>
      </w:pPr>
      <w:r>
        <w:t>Klasik PID kontrolcüler, sabitleştirilmiş kazanç parametreleri (Kp, Ki, Kd) ile lineer zamanla değişmeyen (LTI) sistemlerde yüksek performans sunarlar. Ancak, 1D dikey eksende hareket eden quadrotor sistemleri; aerodinamik hava sürüklemesi (cd*v*|v|), eyleyici doyumu (U_max) ve ani dış bozunumlar (d(t) rüzgar yükü) nedeniyle yüksek dereceden lineer olmayan (non-linear) dinamikler sergiler.</w:t>
      </w:r>
    </w:p>
    <w:p w14:paraId="53CA4692">
      <w:pPr>
        <w:spacing w:after="120" w:line="276" w:lineRule="auto"/>
      </w:pPr>
      <w:r>
        <w:t>Çalışma noktasının geniş bir yelpazede değiştiği durumlarda sabit kazançlı PID kontrolcüler aşım (overshoot), kararsızlık veya rüzgar altında hedeften sapma (wind drop) problemlerine yol açar. Bu çalışmada önerilen Neural Adaptive Gain-Scheduled PID (NAGS-PID) mimarisi, sistemin anlık durum hatalarını ve hızını işleyerek nominal PID kazançlarını gerçek zamanlı ve adaptif olarak modüle eder. Böylece hem klasik kontrolün kararlılık garantisi korunmakta hem de derin öğrenmenin esnek adaptasyon kabiliyeti sisteme entegre edilmektedir.</w:t>
      </w:r>
    </w:p>
    <w:p w14:paraId="29CE4D3A">
      <w:pPr>
        <w:spacing w:before="240" w:after="80"/>
      </w:pPr>
      <w:r>
        <w:rPr>
          <w:b/>
          <w:color w:val="1B365D"/>
          <w:sz w:val="26"/>
        </w:rPr>
        <w:t>2. Yapay Sinir Ağı (MLP) Mimarisi ve Güvenlik Katmanı</w:t>
      </w:r>
    </w:p>
    <w:p w14:paraId="519747B8">
      <w:r>
        <w:t>NAGS-PID yapısında kullanılan Çok Katmanlı Algılayıcı (MLP), sistem durumlarını alıp nominal kazançlara uygulanacak bağıntılı değişim katsayılarını (dKp, dKi, dKd) üreten sığ bir derin öğrenme modelidir.</w:t>
      </w:r>
    </w:p>
    <w:p w14:paraId="1B836911">
      <w:pPr>
        <w:spacing w:before="240" w:after="80"/>
      </w:pPr>
      <w:r>
        <w:rPr>
          <w:b/>
          <w:color w:val="005A9E"/>
          <w:sz w:val="24"/>
        </w:rPr>
        <w:t>2.1. Giriş Normalizasyonu</w:t>
      </w:r>
    </w:p>
    <w:p w14:paraId="171CF19A">
      <w:r>
        <w:t>Yapay sinir ağının gradyan kilitlenmesine girmesini önlemek ve eğitimin kararlılığını sağlamak amacıyla durum değişkenleri beklenen fiziki çalışma aralıklarına göre normalize edilerek x ∈ ℝ^(3x1) vektörü oluşturulur:</w:t>
      </w:r>
    </w:p>
    <w:p w14:paraId="3ABD5CD0">
      <w:pPr>
        <w:jc w:val="center"/>
      </w:pPr>
      <w:r>
        <w:rPr>
          <w:b/>
        </w:rPr>
        <w:t>x(t) = [ e(t) / 0.5 ,  v(t) / 2.0 ,  Ie(t) / 2.0 ]ᵀ</w:t>
      </w:r>
    </w:p>
    <w:p w14:paraId="5FD0380F">
      <w:r>
        <w:t>Burada e(t) = z_ref(t) - z(t) konum hatasını, v(t) = z_nokta(t) dikey hızı ve Ie(t) = ∫e(t)dt birikmiş entegral hatasını temsil eder.</w:t>
      </w:r>
    </w:p>
    <w:p w14:paraId="7165F686"/>
    <w:p w14:paraId="48C65170"/>
    <w:p w14:paraId="585489A3"/>
    <w:p w14:paraId="575F879F"/>
    <w:p w14:paraId="40E536CD"/>
    <w:p w14:paraId="688EAC49"/>
    <w:p w14:paraId="04BA04E3">
      <w:pPr>
        <w:spacing w:before="240" w:after="80"/>
      </w:pPr>
      <w:r>
        <w:rPr>
          <w:b/>
          <w:color w:val="005A9E"/>
          <w:sz w:val="24"/>
        </w:rPr>
        <w:t>2.2. Katman Yapısı ve Aktivasyon Fonksiyonları</w:t>
      </w:r>
    </w:p>
    <w:p w14:paraId="06F85545">
      <w:r>
        <w:t>Ağ mimarisi 3 → 16 → 16 → 3 şeklinde tasarlanmış olup toplam 387 adet eğitilebilir parametreye (ağırlıklar ve biyazlar) sahiptir:</w:t>
      </w:r>
    </w:p>
    <w:p w14:paraId="6029D8B3">
      <w:pPr>
        <w:jc w:val="center"/>
      </w:pPr>
      <w:r>
        <w:rPr>
          <w:b/>
        </w:rPr>
        <w:t>θ = [ vec(W1), b1ᵀ, vec(W2), b2ᵀ, vec(W3), b3ᵀ ]ᵀ ∈ ℝ³⁸⁷</w:t>
      </w:r>
    </w:p>
    <w:p w14:paraId="46D37CEB">
      <w:pPr>
        <w:pStyle w:val="23"/>
      </w:pPr>
      <w:r>
        <w:rPr>
          <w:b/>
        </w:rPr>
        <w:t xml:space="preserve">Gizli Katmanlar: </w:t>
      </w:r>
      <w:r>
        <w:t>Gizli katmanlarda doğrusal olmayan özellikleri yakalamak için ReLU (ReLU(a) = max(0, a)) aktivasyon fonksiyonu kullanılmıştır:</w:t>
      </w:r>
      <w:r>
        <w:br w:type="textWrapping"/>
      </w:r>
      <w:r>
        <w:t>h1 = ReLU(W1·x + b1),  h1 ∈ ℝ¹⁶ˣ¹</w:t>
      </w:r>
      <w:r>
        <w:br w:type="textWrapping"/>
      </w:r>
      <w:r>
        <w:t>h2 = ReLU(W2·h1 + b2),  h2 ∈ ℝ¹⁶ˣ¹</w:t>
      </w:r>
    </w:p>
    <w:p w14:paraId="2EFF2E5A">
      <w:pPr>
        <w:pStyle w:val="23"/>
      </w:pPr>
      <w:r>
        <w:rPr>
          <w:b/>
        </w:rPr>
        <w:t xml:space="preserve">Çıkış Katmanı: </w:t>
      </w:r>
      <w:r>
        <w:t>Ağın çıktıları [-1, +1] aralığına Tanh aktivasyonu ile sıkıştırılır:</w:t>
      </w:r>
      <w:r>
        <w:br w:type="textWrapping"/>
      </w:r>
      <w:r>
        <w:t>out = tanh(W3·h2 + b3),  out ∈ ℝ³ˣ¹</w:t>
      </w:r>
    </w:p>
    <w:p w14:paraId="396B3EF1">
      <w:pPr>
        <w:spacing w:before="240" w:after="80"/>
      </w:pPr>
      <w:r>
        <w:rPr>
          <w:b/>
          <w:color w:val="005A9E"/>
          <w:sz w:val="24"/>
        </w:rPr>
        <w:t>2.3. Güvenlik Sınırı (Safety Bound Scaling)</w:t>
      </w:r>
    </w:p>
    <w:p w14:paraId="37AFE15D">
      <w:r>
        <w:t>Kontrol sisteminde ağın başlangıçta rastgele üreteceği çıktılardan dolayı sistemin kararsızlığa girmesini engellemek adına, azami değişim oranı %40 (γ = 0.40) ile sınırlandırılmıştır. Aktif kontrol kazançları nominal kazançlar (Kp0, Ki0, Kd0) üzerinden şu şekilde hesaplanır:</w:t>
      </w:r>
    </w:p>
    <w:p w14:paraId="02BF6084">
      <w:pPr>
        <w:jc w:val="center"/>
      </w:pPr>
      <w:r>
        <w:t>dKp = out[0] · γ,   dKi = out[1] · γ,   dKd = out[2] · γ</w:t>
      </w:r>
      <w:r>
        <w:br w:type="textWrapping"/>
      </w:r>
      <w:r>
        <w:t>Kp(t) = Kp0 · (1 + dKp) ∈ [0.60 Kp0, 1.40 Kp0]</w:t>
      </w:r>
      <w:r>
        <w:br w:type="textWrapping"/>
      </w:r>
      <w:r>
        <w:t>Ki(t) = Ki0 · (1 + dKi) ∈ [0.60 Ki0, 1.40 Ki0]</w:t>
      </w:r>
      <w:r>
        <w:br w:type="textWrapping"/>
      </w:r>
      <w:r>
        <w:t>Kd(t) = Kd0 · (1 + dKd) ∈ [0.60 Kd0, 1.40 Kd0]</w:t>
      </w:r>
    </w:p>
    <w:p w14:paraId="04604115">
      <w:pPr>
        <w:spacing w:before="240" w:after="80"/>
      </w:pPr>
      <w:r>
        <w:rPr>
          <w:b/>
          <w:color w:val="1B365D"/>
          <w:sz w:val="26"/>
        </w:rPr>
        <w:t>3. Fiziksel Sistem Dinamiği ve Sayısal İntegrasyon</w:t>
      </w:r>
    </w:p>
    <w:p w14:paraId="34C8FF15">
      <w:r>
        <w:t>Quadrotorün 1D dikey eksendeki non-linear hareket denklemi Newton-Euler mantığıyla türetilmiştir:</w:t>
      </w:r>
    </w:p>
    <w:p w14:paraId="6D000D4E">
      <w:pPr>
        <w:jc w:val="center"/>
      </w:pPr>
      <w:r>
        <w:rPr>
          <w:b/>
        </w:rPr>
        <w:t>m · z_çift_nokta(t) = U_sat(t) - m·g - cd·v(t)·|v(t)| + d(t)</w:t>
      </w:r>
    </w:p>
    <w:p w14:paraId="0B1B959A">
      <w:r>
        <w:t>Burada m = 1.0 kg toplam kütleyi, g = 9.81 m/s² yerçekimi ivmesini, cd = 0.1 N/(m/s)² aerodinamik sürükleme katsayısını ve d(t) dış rüzgar kuvvetini temsil eder.</w:t>
      </w:r>
    </w:p>
    <w:p w14:paraId="68183307">
      <w:pPr>
        <w:spacing w:before="240" w:after="80"/>
      </w:pPr>
      <w:r>
        <w:rPr>
          <w:b/>
          <w:color w:val="005A9E"/>
          <w:sz w:val="24"/>
        </w:rPr>
        <w:t>3.1. Kontrol Yasası ve Anti-Windup Mekanizması</w:t>
      </w:r>
    </w:p>
    <w:p w14:paraId="57CC8A37">
      <w:r>
        <w:t>Türev patlamasını (Derivative Kick) engellemek amacıyla türev terimi konuma değil doğrudan ölçülen dikey hıza yazılmıştır (Derivative on Measurement). Kontrol sinyali ve doyum hesabı:</w:t>
      </w:r>
    </w:p>
    <w:p w14:paraId="70B3113E">
      <w:pPr>
        <w:jc w:val="center"/>
      </w:pPr>
      <w:r>
        <w:t>U_cmd(t) = m·g + Kp(t)·e(t) - Kd(t)·v(t) + Ki(t)·Ie(t)</w:t>
      </w:r>
      <w:r>
        <w:br w:type="textWrapping"/>
      </w:r>
      <w:r>
        <w:t>U_sat(t) = clamp(U_cmd(t), 0.0, 19.62 N)</w:t>
      </w:r>
    </w:p>
    <w:p w14:paraId="06392D89">
      <w:r>
        <w:t>Sistemin doyuma girdiği durumlarda entegral teriminin şişmesini engellemek için Clamping Anti-Windup uygulanır: e_int_türev(t) = e(t) (eğer 0 &lt; U_cmd &lt; U_max) aksi durumda 0.</w:t>
      </w:r>
    </w:p>
    <w:p w14:paraId="21768793"/>
    <w:p w14:paraId="0C58E3D5">
      <w:pPr>
        <w:spacing w:before="240" w:after="80"/>
      </w:pPr>
      <w:r>
        <w:rPr>
          <w:b/>
          <w:color w:val="005A9E"/>
          <w:sz w:val="24"/>
        </w:rPr>
        <w:t>3.2. 4. Derece Runge-Kutta (RK4) Sayısal İntegrasyonu</w:t>
      </w:r>
    </w:p>
    <w:p w14:paraId="14FF9B82">
      <w:r>
        <w:t>Simülasyon doğruluğunu ve sayısal kararlılığı sağlamak için Euler yöntemi yerine dt = 0.005 s (200 Hz) adım boyutuna sahip RK4 integratörü kullanılmıştır. Adım türevleri k1, k2, k3, k4 ağırlıklı ortalaması alınarak x_(k+1) = x_k + (dt/6)·(k1 + 2k2 + 2k3 + k4) biçiminde güncellenir.</w:t>
      </w:r>
    </w:p>
    <w:p w14:paraId="4D80F6F4">
      <w:pPr>
        <w:spacing w:before="240" w:after="80"/>
      </w:pPr>
      <w:r>
        <w:rPr>
          <w:b/>
          <w:color w:val="1B365D"/>
          <w:sz w:val="26"/>
        </w:rPr>
        <w:t>4. Gradyansız Evrimsel Stratejiler (ES) İle Optimizasyon</w:t>
      </w:r>
    </w:p>
    <w:p w14:paraId="61272E92">
      <w:r>
        <w:t>Simülasyon ortamında yer alan eyleyici doyumu (clip), zaman aralıklı rüzgar bozunumu ve RK4 sayısal entegrasyonu nedeniyle uçuş simülasyonunun analitik türevi (∂J/∂θ) alınamaz. Bu nedenle geri yayılım (Backprop) yerine Siyah-Kutu Gradyan Tahminleyicisi (Black-Box Gradient Estimation) mantığına dayanan Evrimsel Stratejiler (ES) algoritması seçilmiştir.</w:t>
      </w:r>
    </w:p>
    <w:p w14:paraId="733F5E73">
      <w:pPr>
        <w:spacing w:before="240" w:after="80"/>
      </w:pPr>
      <w:r>
        <w:rPr>
          <w:b/>
          <w:color w:val="005A9E"/>
          <w:sz w:val="24"/>
        </w:rPr>
        <w:t>4.1. Antitetik Örnekleme (Antithetic Sampling)</w:t>
      </w:r>
    </w:p>
    <w:p w14:paraId="6E3C446B">
      <w:r>
        <w:t>Varyansı düşürmek ve optimizasyon hızını iki katına çıkarmak için her jenerasyonda popülasyon boyutunun yarısı kadar (N_half = 25) ε ~ 𝒩(0, I) rastgele gürültü vektörü üretilir. Popülasyonun diğer yarısı ise bu gürültülerin tam ters işaretlilerinden oluşturulur. 50 adet bireyin parametreleri θ_i = θ_center + σ·ε_i (σ = 0.15) şeklinde mutasyona uğratılır.</w:t>
      </w:r>
    </w:p>
    <w:p w14:paraId="36961346">
      <w:pPr>
        <w:spacing w:before="240" w:after="80"/>
      </w:pPr>
      <w:r>
        <w:rPr>
          <w:b/>
          <w:color w:val="005A9E"/>
          <w:sz w:val="24"/>
        </w:rPr>
        <w:t>4.2. Performans Normalizasyonu ve Güncelleme Kuralı</w:t>
      </w:r>
    </w:p>
    <w:p w14:paraId="2985FD2E">
      <w:r>
        <w:t>Her bireyin maliyeti J_i z-score yöntemiyle normalize edilir: A_i = (J_i - μ_J) / (σ_J + 10⁻⁸). Gradyan yönü tahmini ve merkez parametre güncellemesi şu şekilde icra edilir:</w:t>
      </w:r>
    </w:p>
    <w:p w14:paraId="20BF4412">
      <w:pPr>
        <w:jc w:val="center"/>
      </w:pPr>
      <w:r>
        <w:rPr>
          <w:b/>
        </w:rPr>
        <w:t>grad = (1 / (N·σ)) · ∑ (A_i · ε_i)</w:t>
      </w:r>
      <w:r>
        <w:rPr>
          <w:b/>
        </w:rPr>
        <w:br w:type="textWrapping"/>
      </w:r>
      <w:r>
        <w:rPr>
          <w:b/>
        </w:rPr>
        <w:t>θ_center ← θ_center - α · grad  (α = 0.08)</w:t>
      </w:r>
    </w:p>
    <w:p w14:paraId="2558361C">
      <w:pPr>
        <w:spacing w:before="240" w:after="80"/>
      </w:pPr>
      <w:r>
        <w:rPr>
          <w:b/>
          <w:color w:val="1B365D"/>
          <w:sz w:val="26"/>
        </w:rPr>
        <w:t>5. Çok Amaçlı Maliyet (Cost / Loss) Fonksiyonu Tasarımı</w:t>
      </w:r>
    </w:p>
    <w:p w14:paraId="1FC1F3DC">
      <w:r>
        <w:t>Sistemin hedeflenen tüm uçuş kriterlerini tek bir skalar değer üzerinden optimize edebilmesi için 6 bileşenli ağırlıklı maliyet fonksiyonu J tanımlanmıştır:</w:t>
      </w:r>
    </w:p>
    <w:p w14:paraId="6C9F0680">
      <w:pPr>
        <w:jc w:val="center"/>
        <w:rPr>
          <w:b/>
        </w:rPr>
      </w:pPr>
      <w:r>
        <w:rPr>
          <w:b/>
        </w:rPr>
        <w:t>J = w1·J_ITAE + w2·J_drop + w3·J_peak + w4·J_rms + w5·J_chatter + w6·J_sat</w:t>
      </w:r>
    </w:p>
    <w:p w14:paraId="6BF74D87">
      <w:pPr>
        <w:jc w:val="center"/>
        <w:rPr>
          <w:b/>
        </w:rPr>
      </w:pPr>
    </w:p>
    <w:p w14:paraId="4BB40B2F">
      <w:pPr>
        <w:jc w:val="center"/>
        <w:rPr>
          <w:b/>
        </w:rPr>
      </w:pPr>
    </w:p>
    <w:p w14:paraId="758B9AD7">
      <w:pPr>
        <w:jc w:val="both"/>
        <w:rPr>
          <w:b/>
        </w:rPr>
      </w:pPr>
    </w:p>
    <w:p w14:paraId="6DAE6E26">
      <w:pPr>
        <w:jc w:val="center"/>
        <w:rPr>
          <w:b/>
        </w:rPr>
      </w:pPr>
    </w:p>
    <w:p w14:paraId="2F554F24">
      <w:pPr>
        <w:jc w:val="both"/>
        <w:rPr>
          <w:b/>
        </w:rPr>
      </w:pPr>
      <w:bookmarkStart w:id="0" w:name="_GoBack"/>
      <w:bookmarkEnd w:id="0"/>
    </w:p>
    <w:p w14:paraId="56EE6073">
      <w:pPr>
        <w:jc w:val="both"/>
        <w:rPr>
          <w:b/>
        </w:rPr>
      </w:pPr>
    </w:p>
    <w:p w14:paraId="51037716">
      <w:pPr>
        <w:jc w:val="center"/>
        <w:rPr>
          <w:b/>
        </w:rPr>
      </w:pPr>
    </w:p>
    <w:p w14:paraId="4BB21A0A">
      <w:pPr>
        <w:spacing w:before="240" w:after="80"/>
      </w:pPr>
      <w:r>
        <w:rPr>
          <w:b/>
          <w:color w:val="005A9E"/>
          <w:sz w:val="24"/>
        </w:rPr>
        <w:t>5.1. Maliyet Bileşenleri ve Tasarım Gerekçeleri</w:t>
      </w:r>
    </w:p>
    <w:tbl>
      <w:tblPr>
        <w:tblStyle w:val="12"/>
        <w:tblW w:w="0" w:type="auto"/>
        <w:jc w:val="center"/>
        <w:tblLayout w:type="autofit"/>
        <w:tblCellMar>
          <w:top w:w="0" w:type="dxa"/>
          <w:left w:w="108" w:type="dxa"/>
          <w:bottom w:w="0" w:type="dxa"/>
          <w:right w:w="108" w:type="dxa"/>
        </w:tblCellMar>
      </w:tblPr>
      <w:tblGrid>
        <w:gridCol w:w="1728"/>
        <w:gridCol w:w="1440"/>
        <w:gridCol w:w="1872"/>
        <w:gridCol w:w="4320"/>
      </w:tblGrid>
      <w:tr w14:paraId="6332C40F">
        <w:tblPrEx>
          <w:tblCellMar>
            <w:top w:w="0" w:type="dxa"/>
            <w:left w:w="108" w:type="dxa"/>
            <w:bottom w:w="0" w:type="dxa"/>
            <w:right w:w="108" w:type="dxa"/>
          </w:tblCellMar>
        </w:tblPrEx>
        <w:trPr>
          <w:jc w:val="center"/>
        </w:trPr>
        <w:tc>
          <w:tcPr>
            <w:tcW w:w="1728" w:type="dxa"/>
            <w:shd w:val="clear" w:color="auto" w:fill="1B365D"/>
            <w:tcMar>
              <w:top w:w="120" w:type="dxa"/>
              <w:left w:w="150" w:type="dxa"/>
              <w:bottom w:w="120" w:type="dxa"/>
              <w:right w:w="150" w:type="dxa"/>
            </w:tcMar>
          </w:tcPr>
          <w:p w14:paraId="0F6061B5">
            <w:r>
              <w:rPr>
                <w:b/>
                <w:color w:val="FFFFFF"/>
              </w:rPr>
              <w:t>Maliyet Bileşeni</w:t>
            </w:r>
          </w:p>
        </w:tc>
        <w:tc>
          <w:tcPr>
            <w:tcW w:w="1440" w:type="dxa"/>
            <w:shd w:val="clear" w:color="auto" w:fill="1B365D"/>
            <w:tcMar>
              <w:top w:w="120" w:type="dxa"/>
              <w:left w:w="150" w:type="dxa"/>
              <w:bottom w:w="120" w:type="dxa"/>
              <w:right w:w="150" w:type="dxa"/>
            </w:tcMar>
          </w:tcPr>
          <w:p w14:paraId="0FC541A8">
            <w:r>
              <w:rPr>
                <w:b/>
                <w:color w:val="FFFFFF"/>
              </w:rPr>
              <w:t>Katsayı (wi)</w:t>
            </w:r>
          </w:p>
        </w:tc>
        <w:tc>
          <w:tcPr>
            <w:tcW w:w="1872" w:type="dxa"/>
            <w:shd w:val="clear" w:color="auto" w:fill="1B365D"/>
            <w:tcMar>
              <w:top w:w="120" w:type="dxa"/>
              <w:left w:w="150" w:type="dxa"/>
              <w:bottom w:w="120" w:type="dxa"/>
              <w:right w:w="150" w:type="dxa"/>
            </w:tcMar>
          </w:tcPr>
          <w:p w14:paraId="4E903011">
            <w:r>
              <w:rPr>
                <w:b/>
                <w:color w:val="FFFFFF"/>
              </w:rPr>
              <w:t>Büyüklük Mertebesi</w:t>
            </w:r>
          </w:p>
        </w:tc>
        <w:tc>
          <w:tcPr>
            <w:tcW w:w="4320" w:type="dxa"/>
            <w:shd w:val="clear" w:color="auto" w:fill="1B365D"/>
            <w:tcMar>
              <w:top w:w="120" w:type="dxa"/>
              <w:left w:w="150" w:type="dxa"/>
              <w:bottom w:w="120" w:type="dxa"/>
              <w:right w:w="150" w:type="dxa"/>
            </w:tcMar>
          </w:tcPr>
          <w:p w14:paraId="220B8F2A">
            <w:r>
              <w:rPr>
                <w:b/>
                <w:color w:val="FFFFFF"/>
              </w:rPr>
              <w:t>Mühendislik Amacı ve Tasarım Gerekçesi</w:t>
            </w:r>
          </w:p>
        </w:tc>
      </w:tr>
      <w:tr w14:paraId="1E5CC185">
        <w:tblPrEx>
          <w:tblCellMar>
            <w:top w:w="0" w:type="dxa"/>
            <w:left w:w="108" w:type="dxa"/>
            <w:bottom w:w="0" w:type="dxa"/>
            <w:right w:w="108" w:type="dxa"/>
          </w:tblCellMar>
        </w:tblPrEx>
        <w:trPr>
          <w:jc w:val="center"/>
        </w:trPr>
        <w:tc>
          <w:tcPr>
            <w:tcW w:w="1728" w:type="dxa"/>
            <w:shd w:val="clear" w:color="auto" w:fill="F2F4F7"/>
            <w:tcMar>
              <w:top w:w="100" w:type="dxa"/>
              <w:left w:w="150" w:type="dxa"/>
              <w:bottom w:w="100" w:type="dxa"/>
              <w:right w:w="150" w:type="dxa"/>
            </w:tcMar>
          </w:tcPr>
          <w:p w14:paraId="49361FCD">
            <w:r>
              <w:t>J_ITAE</w:t>
            </w:r>
          </w:p>
        </w:tc>
        <w:tc>
          <w:tcPr>
            <w:tcW w:w="1440" w:type="dxa"/>
            <w:shd w:val="clear" w:color="auto" w:fill="F2F4F7"/>
            <w:tcMar>
              <w:top w:w="100" w:type="dxa"/>
              <w:left w:w="150" w:type="dxa"/>
              <w:bottom w:w="100" w:type="dxa"/>
              <w:right w:w="150" w:type="dxa"/>
            </w:tcMar>
          </w:tcPr>
          <w:p w14:paraId="1F65F84B">
            <w:r>
              <w:t>1.0</w:t>
            </w:r>
          </w:p>
        </w:tc>
        <w:tc>
          <w:tcPr>
            <w:tcW w:w="1872" w:type="dxa"/>
            <w:shd w:val="clear" w:color="auto" w:fill="F2F4F7"/>
            <w:tcMar>
              <w:top w:w="100" w:type="dxa"/>
              <w:left w:w="150" w:type="dxa"/>
              <w:bottom w:w="100" w:type="dxa"/>
              <w:right w:w="150" w:type="dxa"/>
            </w:tcMar>
          </w:tcPr>
          <w:p w14:paraId="55E335BF">
            <w:r>
              <w:t>~ 10 - 15</w:t>
            </w:r>
          </w:p>
        </w:tc>
        <w:tc>
          <w:tcPr>
            <w:tcW w:w="4320" w:type="dxa"/>
            <w:shd w:val="clear" w:color="auto" w:fill="F2F4F7"/>
            <w:tcMar>
              <w:top w:w="100" w:type="dxa"/>
              <w:left w:w="150" w:type="dxa"/>
              <w:bottom w:w="100" w:type="dxa"/>
              <w:right w:w="150" w:type="dxa"/>
            </w:tcMar>
          </w:tcPr>
          <w:p w14:paraId="5DB53740">
            <w:r>
              <w:t>Sistem yükselme süresini optimize eder. Geç zaman hatalarını katlanarak cezalandırır.</w:t>
            </w:r>
          </w:p>
        </w:tc>
      </w:tr>
      <w:tr w14:paraId="359CCB03">
        <w:tblPrEx>
          <w:tblCellMar>
            <w:top w:w="0" w:type="dxa"/>
            <w:left w:w="108" w:type="dxa"/>
            <w:bottom w:w="0" w:type="dxa"/>
            <w:right w:w="108" w:type="dxa"/>
          </w:tblCellMar>
        </w:tblPrEx>
        <w:trPr>
          <w:jc w:val="center"/>
        </w:trPr>
        <w:tc>
          <w:tcPr>
            <w:tcW w:w="1728" w:type="dxa"/>
            <w:shd w:val="clear" w:color="auto" w:fill="FFFFFF"/>
            <w:tcMar>
              <w:top w:w="100" w:type="dxa"/>
              <w:left w:w="150" w:type="dxa"/>
              <w:bottom w:w="100" w:type="dxa"/>
              <w:right w:w="150" w:type="dxa"/>
            </w:tcMar>
          </w:tcPr>
          <w:p w14:paraId="65F16299">
            <w:r>
              <w:t>J_drop</w:t>
            </w:r>
          </w:p>
        </w:tc>
        <w:tc>
          <w:tcPr>
            <w:tcW w:w="1440" w:type="dxa"/>
            <w:shd w:val="clear" w:color="auto" w:fill="FFFFFF"/>
            <w:tcMar>
              <w:top w:w="100" w:type="dxa"/>
              <w:left w:w="150" w:type="dxa"/>
              <w:bottom w:w="100" w:type="dxa"/>
              <w:right w:w="150" w:type="dxa"/>
            </w:tcMar>
          </w:tcPr>
          <w:p w14:paraId="6D7CCAAD">
            <w:r>
              <w:t>12.0</w:t>
            </w:r>
          </w:p>
        </w:tc>
        <w:tc>
          <w:tcPr>
            <w:tcW w:w="1872" w:type="dxa"/>
            <w:shd w:val="clear" w:color="auto" w:fill="FFFFFF"/>
            <w:tcMar>
              <w:top w:w="100" w:type="dxa"/>
              <w:left w:w="150" w:type="dxa"/>
              <w:bottom w:w="100" w:type="dxa"/>
              <w:right w:w="150" w:type="dxa"/>
            </w:tcMar>
          </w:tcPr>
          <w:p w14:paraId="1461E1B1">
            <w:r>
              <w:t>~ 1.5 - 2.5</w:t>
            </w:r>
          </w:p>
        </w:tc>
        <w:tc>
          <w:tcPr>
            <w:tcW w:w="4320" w:type="dxa"/>
            <w:shd w:val="clear" w:color="auto" w:fill="FFFFFF"/>
            <w:tcMar>
              <w:top w:w="100" w:type="dxa"/>
              <w:left w:w="150" w:type="dxa"/>
              <w:bottom w:w="100" w:type="dxa"/>
              <w:right w:w="150" w:type="dxa"/>
            </w:tcMar>
          </w:tcPr>
          <w:p w14:paraId="3035526D">
            <w:r>
              <w:t>5-8 s arasındaki -6 N rüzgarda drone'un aşağı çökmesini engeller. Ağa rüzgarı hissettiği an kazançları artırma refleksini öğretir.</w:t>
            </w:r>
          </w:p>
        </w:tc>
      </w:tr>
      <w:tr w14:paraId="1D6D6FC2">
        <w:tblPrEx>
          <w:tblCellMar>
            <w:top w:w="0" w:type="dxa"/>
            <w:left w:w="108" w:type="dxa"/>
            <w:bottom w:w="0" w:type="dxa"/>
            <w:right w:w="108" w:type="dxa"/>
          </w:tblCellMar>
        </w:tblPrEx>
        <w:trPr>
          <w:jc w:val="center"/>
        </w:trPr>
        <w:tc>
          <w:tcPr>
            <w:tcW w:w="1728" w:type="dxa"/>
            <w:shd w:val="clear" w:color="auto" w:fill="F2F4F7"/>
            <w:tcMar>
              <w:top w:w="100" w:type="dxa"/>
              <w:left w:w="150" w:type="dxa"/>
              <w:bottom w:w="100" w:type="dxa"/>
              <w:right w:w="150" w:type="dxa"/>
            </w:tcMar>
          </w:tcPr>
          <w:p w14:paraId="5135B734">
            <w:r>
              <w:t>J_peak</w:t>
            </w:r>
          </w:p>
        </w:tc>
        <w:tc>
          <w:tcPr>
            <w:tcW w:w="1440" w:type="dxa"/>
            <w:shd w:val="clear" w:color="auto" w:fill="F2F4F7"/>
            <w:tcMar>
              <w:top w:w="100" w:type="dxa"/>
              <w:left w:w="150" w:type="dxa"/>
              <w:bottom w:w="100" w:type="dxa"/>
              <w:right w:w="150" w:type="dxa"/>
            </w:tcMar>
          </w:tcPr>
          <w:p w14:paraId="2B386192">
            <w:r>
              <w:t>12.0</w:t>
            </w:r>
          </w:p>
        </w:tc>
        <w:tc>
          <w:tcPr>
            <w:tcW w:w="1872" w:type="dxa"/>
            <w:shd w:val="clear" w:color="auto" w:fill="F2F4F7"/>
            <w:tcMar>
              <w:top w:w="100" w:type="dxa"/>
              <w:left w:w="150" w:type="dxa"/>
              <w:bottom w:w="100" w:type="dxa"/>
              <w:right w:w="150" w:type="dxa"/>
            </w:tcMar>
          </w:tcPr>
          <w:p w14:paraId="66678714">
            <w:r>
              <w:t>~ 1.5 - 2.5</w:t>
            </w:r>
          </w:p>
        </w:tc>
        <w:tc>
          <w:tcPr>
            <w:tcW w:w="4320" w:type="dxa"/>
            <w:shd w:val="clear" w:color="auto" w:fill="F2F4F7"/>
            <w:tcMar>
              <w:top w:w="100" w:type="dxa"/>
              <w:left w:w="150" w:type="dxa"/>
              <w:bottom w:w="100" w:type="dxa"/>
              <w:right w:w="150" w:type="dxa"/>
            </w:tcMar>
          </w:tcPr>
          <w:p w14:paraId="09BDBDC2">
            <w:r>
              <w:t>8. saniyede rüzgar aniden kesildiğinde biriken entegralden dolayı drone'un yukarı fırlamasını (overshoot) engeller.</w:t>
            </w:r>
          </w:p>
        </w:tc>
      </w:tr>
      <w:tr w14:paraId="6C3EADE2">
        <w:tblPrEx>
          <w:tblCellMar>
            <w:top w:w="0" w:type="dxa"/>
            <w:left w:w="108" w:type="dxa"/>
            <w:bottom w:w="0" w:type="dxa"/>
            <w:right w:w="108" w:type="dxa"/>
          </w:tblCellMar>
        </w:tblPrEx>
        <w:trPr>
          <w:jc w:val="center"/>
        </w:trPr>
        <w:tc>
          <w:tcPr>
            <w:tcW w:w="1728" w:type="dxa"/>
            <w:shd w:val="clear" w:color="auto" w:fill="FFFFFF"/>
            <w:tcMar>
              <w:top w:w="100" w:type="dxa"/>
              <w:left w:w="150" w:type="dxa"/>
              <w:bottom w:w="100" w:type="dxa"/>
              <w:right w:w="150" w:type="dxa"/>
            </w:tcMar>
          </w:tcPr>
          <w:p w14:paraId="192C8706">
            <w:r>
              <w:t>J_sine</w:t>
            </w:r>
          </w:p>
        </w:tc>
        <w:tc>
          <w:tcPr>
            <w:tcW w:w="1440" w:type="dxa"/>
            <w:shd w:val="clear" w:color="auto" w:fill="FFFFFF"/>
            <w:tcMar>
              <w:top w:w="100" w:type="dxa"/>
              <w:left w:w="150" w:type="dxa"/>
              <w:bottom w:w="100" w:type="dxa"/>
              <w:right w:w="150" w:type="dxa"/>
            </w:tcMar>
          </w:tcPr>
          <w:p w14:paraId="4C0D62FD">
            <w:r>
              <w:t>20.0</w:t>
            </w:r>
          </w:p>
        </w:tc>
        <w:tc>
          <w:tcPr>
            <w:tcW w:w="1872" w:type="dxa"/>
            <w:shd w:val="clear" w:color="auto" w:fill="FFFFFF"/>
            <w:tcMar>
              <w:top w:w="100" w:type="dxa"/>
              <w:left w:w="150" w:type="dxa"/>
              <w:bottom w:w="100" w:type="dxa"/>
              <w:right w:w="150" w:type="dxa"/>
            </w:tcMar>
          </w:tcPr>
          <w:p w14:paraId="1215E382">
            <w:r>
              <w:t>~ 1.0 - 2.0</w:t>
            </w:r>
          </w:p>
        </w:tc>
        <w:tc>
          <w:tcPr>
            <w:tcW w:w="4320" w:type="dxa"/>
            <w:shd w:val="clear" w:color="auto" w:fill="FFFFFF"/>
            <w:tcMar>
              <w:top w:w="100" w:type="dxa"/>
              <w:left w:w="150" w:type="dxa"/>
              <w:bottom w:w="100" w:type="dxa"/>
              <w:right w:w="150" w:type="dxa"/>
            </w:tcMar>
          </w:tcPr>
          <w:p w14:paraId="6DB799BA">
            <w:r>
              <w:t>12-20 s aralığındaki sinüzoidal türbülansta referans izleme hassasiyetini artırır.</w:t>
            </w:r>
          </w:p>
        </w:tc>
      </w:tr>
      <w:tr w14:paraId="095B7CCC">
        <w:tblPrEx>
          <w:tblCellMar>
            <w:top w:w="0" w:type="dxa"/>
            <w:left w:w="108" w:type="dxa"/>
            <w:bottom w:w="0" w:type="dxa"/>
            <w:right w:w="108" w:type="dxa"/>
          </w:tblCellMar>
        </w:tblPrEx>
        <w:trPr>
          <w:jc w:val="center"/>
        </w:trPr>
        <w:tc>
          <w:tcPr>
            <w:tcW w:w="1728" w:type="dxa"/>
            <w:shd w:val="clear" w:color="auto" w:fill="F2F4F7"/>
            <w:tcMar>
              <w:top w:w="100" w:type="dxa"/>
              <w:left w:w="150" w:type="dxa"/>
              <w:bottom w:w="100" w:type="dxa"/>
              <w:right w:w="150" w:type="dxa"/>
            </w:tcMar>
          </w:tcPr>
          <w:p w14:paraId="05321690">
            <w:r>
              <w:t>J_chatter</w:t>
            </w:r>
          </w:p>
        </w:tc>
        <w:tc>
          <w:tcPr>
            <w:tcW w:w="1440" w:type="dxa"/>
            <w:shd w:val="clear" w:color="auto" w:fill="F2F4F7"/>
            <w:tcMar>
              <w:top w:w="100" w:type="dxa"/>
              <w:left w:w="150" w:type="dxa"/>
              <w:bottom w:w="100" w:type="dxa"/>
              <w:right w:w="150" w:type="dxa"/>
            </w:tcMar>
          </w:tcPr>
          <w:p w14:paraId="7BC7F38A">
            <w:r>
              <w:t>0.001</w:t>
            </w:r>
          </w:p>
        </w:tc>
        <w:tc>
          <w:tcPr>
            <w:tcW w:w="1872" w:type="dxa"/>
            <w:shd w:val="clear" w:color="auto" w:fill="F2F4F7"/>
            <w:tcMar>
              <w:top w:w="100" w:type="dxa"/>
              <w:left w:w="150" w:type="dxa"/>
              <w:bottom w:w="100" w:type="dxa"/>
              <w:right w:w="150" w:type="dxa"/>
            </w:tcMar>
          </w:tcPr>
          <w:p w14:paraId="0F3DC155">
            <w:r>
              <w:t>~ 1.0 - 3.0</w:t>
            </w:r>
          </w:p>
        </w:tc>
        <w:tc>
          <w:tcPr>
            <w:tcW w:w="4320" w:type="dxa"/>
            <w:shd w:val="clear" w:color="auto" w:fill="F2F4F7"/>
            <w:tcMar>
              <w:top w:w="100" w:type="dxa"/>
              <w:left w:w="150" w:type="dxa"/>
              <w:bottom w:w="100" w:type="dxa"/>
              <w:right w:w="150" w:type="dxa"/>
            </w:tcMar>
          </w:tcPr>
          <w:p w14:paraId="058D3D28">
            <w:r>
              <w:t>Kazanç türevlerinin karesini cezalandırarak Kp, Ki, Kd değişimlerinin pürüzsüz olmasını sağlar, motor titreşimini engeller.</w:t>
            </w:r>
          </w:p>
        </w:tc>
      </w:tr>
      <w:tr w14:paraId="564F76CE">
        <w:tblPrEx>
          <w:tblCellMar>
            <w:top w:w="0" w:type="dxa"/>
            <w:left w:w="108" w:type="dxa"/>
            <w:bottom w:w="0" w:type="dxa"/>
            <w:right w:w="108" w:type="dxa"/>
          </w:tblCellMar>
        </w:tblPrEx>
        <w:trPr>
          <w:jc w:val="center"/>
        </w:trPr>
        <w:tc>
          <w:tcPr>
            <w:tcW w:w="1728" w:type="dxa"/>
            <w:shd w:val="clear" w:color="auto" w:fill="FFFFFF"/>
            <w:tcMar>
              <w:top w:w="100" w:type="dxa"/>
              <w:left w:w="150" w:type="dxa"/>
              <w:bottom w:w="100" w:type="dxa"/>
              <w:right w:w="150" w:type="dxa"/>
            </w:tcMar>
          </w:tcPr>
          <w:p w14:paraId="56E9EE99">
            <w:r>
              <w:t>J_sat</w:t>
            </w:r>
          </w:p>
        </w:tc>
        <w:tc>
          <w:tcPr>
            <w:tcW w:w="1440" w:type="dxa"/>
            <w:shd w:val="clear" w:color="auto" w:fill="FFFFFF"/>
            <w:tcMar>
              <w:top w:w="100" w:type="dxa"/>
              <w:left w:w="150" w:type="dxa"/>
              <w:bottom w:w="100" w:type="dxa"/>
              <w:right w:w="150" w:type="dxa"/>
            </w:tcMar>
          </w:tcPr>
          <w:p w14:paraId="02DC9EC0">
            <w:r>
              <w:t>50.0</w:t>
            </w:r>
          </w:p>
        </w:tc>
        <w:tc>
          <w:tcPr>
            <w:tcW w:w="1872" w:type="dxa"/>
            <w:shd w:val="clear" w:color="auto" w:fill="FFFFFF"/>
            <w:tcMar>
              <w:top w:w="100" w:type="dxa"/>
              <w:left w:w="150" w:type="dxa"/>
              <w:bottom w:w="100" w:type="dxa"/>
              <w:right w:w="150" w:type="dxa"/>
            </w:tcMar>
          </w:tcPr>
          <w:p w14:paraId="30009791">
            <w:r>
              <w:t>Sert Kısıt</w:t>
            </w:r>
          </w:p>
        </w:tc>
        <w:tc>
          <w:tcPr>
            <w:tcW w:w="4320" w:type="dxa"/>
            <w:shd w:val="clear" w:color="auto" w:fill="FFFFFF"/>
            <w:tcMar>
              <w:top w:w="100" w:type="dxa"/>
              <w:left w:w="150" w:type="dxa"/>
              <w:bottom w:w="100" w:type="dxa"/>
              <w:right w:w="150" w:type="dxa"/>
            </w:tcMar>
          </w:tcPr>
          <w:p w14:paraId="2CAB0F00">
            <w:r>
              <w:t>Motor komutu 19.62 N limitini aştığı an ağa devasa ceza basarak motor doyumu ihlalini engeller.</w:t>
            </w:r>
          </w:p>
        </w:tc>
      </w:tr>
    </w:tbl>
    <w:p w14:paraId="7D3F8741"/>
    <w:p w14:paraId="74F9EFEF">
      <w:pPr>
        <w:spacing w:before="240" w:after="80"/>
      </w:pPr>
      <w:r>
        <w:rPr>
          <w:b/>
          <w:color w:val="1B365D"/>
          <w:sz w:val="26"/>
        </w:rPr>
        <w:t>6. Yöntemin Derin Öğrenme ve Kontrol Literatüründeki Yeri</w:t>
      </w:r>
    </w:p>
    <w:p w14:paraId="511CCB1A">
      <w:r>
        <w:t>Bu projede geliştirilen NAGS-PID mimarisi, klasik gain-scheduling yaklaşımlarındaki tablolama (Look-up Table) zorunluluğunu ortadan kaldırmaktadır. Çevrimdışı evrimsel optimizasyon sayesinde model, türev gereksinimi duymadan karmaşık simülasyon ortamında eğitilmiş; elde edilen ağırlık matrisleri ise doğrudan MATLAB/Simulink ortamına yerleştirilebilir JSON formatına ('nags_pid_weights.json') aktarılmıştır. Mimari, düşük işlem gücüne sahip mikrodenetleyicilerde (örneğin STM32) mikro-saniye mertebesinde ileri besleme (Forward Pass) koşturulabilecek hafiflikte (387 parametre) tasarlanmıştır.</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3F7A9A"/>
    <w:rsid w:val="653B31E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color w:val="222222"/>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996</Words>
  <Characters>6077</Characters>
  <Lines>0</Lines>
  <Paragraphs>0</Paragraphs>
  <TotalTime>0</TotalTime>
  <ScaleCrop>false</ScaleCrop>
  <LinksUpToDate>false</LinksUpToDate>
  <CharactersWithSpaces>7004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Egemen Uğurlu</cp:lastModifiedBy>
  <dcterms:modified xsi:type="dcterms:W3CDTF">2026-10-19T14:20:06Z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eyJoZGlkIjoiNzQ3ZjVlN2YxMmYwNTFiMWU0MWQwODhlZjhhOTYwMmMiLCJ1c2VySWQiOiI4ODEzOTYxMDE1Mjk1In0=</vt:lpwstr>
  </property>
  <property fmtid="{D5CDD505-2E9C-101B-9397-08002B2CF9AE}" pid="3" name="KSOProductBuildVer">
    <vt:lpwstr>1055-12.1.0.29162</vt:lpwstr>
  </property>
  <property fmtid="{D5CDD505-2E9C-101B-9397-08002B2CF9AE}" pid="4" name="ICV">
    <vt:lpwstr>23E434552A06430080399ABD559FC3F2_12</vt:lpwstr>
  </property>
</Properties>
</file>