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olor w:val="595959"/>
          <w:sz w:val="28"/>
          <w:szCs w:val="28"/>
        </w:rPr>
        <w:t xml:space="preserve">Medical Research Reports (MRR)</w:t>
      </w:r>
    </w:p>
    <w:p>
      <w:pPr>
        <w:spacing w:after="240"/>
      </w:pPr>
      <w:r>
        <w:rPr>
          <w:b/>
          <w:bCs/>
          <w:color w:val="1F4E79"/>
          <w:sz w:val="44"/>
          <w:szCs w:val="44"/>
        </w:rPr>
        <w:t xml:space="preserve">DOAJ Ret Kararı Analizi ve Düzeltme Raporu</w:t>
      </w:r>
    </w:p>
    <w:p>
      <w:pPr>
        <w:pBdr>
          <w:bottom w:val="single" w:color="1F4E79" w:sz="8" w:space="8"/>
        </w:pBdr>
        <w:spacing w:after="480"/>
      </w:pPr>
      <w:r>
        <w:rPr>
          <w:color w:val="404040"/>
          <w:sz w:val="24"/>
          <w:szCs w:val="24"/>
        </w:rPr>
        <w:t xml:space="preserve">Yeniden başvuru öncesi dergi web sitesinde ve belgelerde yapılması gereken değişiklikler</w:t>
      </w:r>
    </w:p>
    <w:p>
      <w:pPr>
        <w:spacing w:after="120" w:line="276"/>
      </w:pPr>
      <w:r>
        <w:rPr>
          <w:b/>
          <w:bCs/>
        </w:rPr>
        <w:t xml:space="preserve">Hazırlanma tarihi:</w:t>
      </w:r>
      <w:r>
        <w:t xml:space="preserve"> 28 Eylül 2026 (Sürüm 2: dergi sitesi incelemesi eklendi)</w:t>
      </w:r>
    </w:p>
    <w:p>
      <w:pPr>
        <w:spacing w:after="120" w:line="276"/>
      </w:pPr>
      <w:r>
        <w:rPr>
          <w:b/>
          <w:bCs/>
        </w:rPr>
        <w:t xml:space="preserve">Dergi adresi:</w:t>
      </w:r>
      <w:r>
        <w:t xml:space="preserve"> https://dergipark.org.tr/en/pub/mrr</w:t>
      </w:r>
    </w:p>
    <w:p>
      <w:pPr>
        <w:spacing w:after="120" w:line="276"/>
      </w:pPr>
      <w:r>
        <w:rPr>
          <w:b/>
          <w:bCs/>
        </w:rPr>
        <w:t xml:space="preserve">Kaynaklar:</w:t>
      </w:r>
      <w:r>
        <w:t xml:space="preserve"> DOAJ ret e-postası, DOAJ “Guide to applying” ve temel kriterleri (https://doaj.org/apply/guide/)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Kapsam ve sınırlılık notu</w:t>
            </w:r>
          </w:p>
          <w:p>
            <w:pPr>
              <w:spacing w:after="80" w:line="264"/>
            </w:pPr>
            <w:r>
              <w:rPr>
                <w:sz w:val="20"/>
                <w:szCs w:val="20"/>
              </w:rPr>
              <w:t xml:space="preserve">Bu rapor, DOAJ’ın ret e-postasında alıntıladığı ifadelere ve DOAJ’ın yayımlanmış temel kabul kriterlerine dayanmaktadır. Raporun hazırlandığı ortamdan dergipark.org.tr ve doaj.org adreslerine doğrudan erişim yoktu. Derginin sayfaları (Ana sayfa, About, Aim &amp; Scope, Author Guidelines) bu nedenle arama motorunun dizinlediği içerik üzerinden incelendi (Sürüm 2). Bulgular Bölüm 1.2’de yer alıyor. Arama motoru içeriği güncel sayfanın birebir aynısı olmayabilir, bu yüzden alıntılanan ifadeleri sitede ayrıca doğrulayın.</w:t>
            </w:r>
          </w:p>
        </w:tc>
      </w:tr>
    </w:tbl>
    <w:p>
      <w:r>
        <w:br w:type="page"/>
      </w:r>
    </w:p>
    <w:p>
      <w:pPr>
        <w:spacing w:after="200"/>
      </w:pPr>
      <w:r>
        <w:rPr>
          <w:b/>
          <w:bCs/>
          <w:color w:val="1F4E79"/>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spacing w:after="120" w:line="276"/>
      </w:pPr>
      <w:r>
        <w:rPr>
          <w:i/>
          <w:iCs/>
          <w:color w:val="7F7F7F"/>
          <w:sz w:val="18"/>
          <w:szCs w:val="18"/>
        </w:rPr>
        <w:t xml:space="preserve">(İçindekiler tablosu görünmüyorsa Word’de tabloya sağ tıklayıp “Alanı Güncelleştir” seçeneğini kullanın.)</w:t>
      </w:r>
    </w:p>
    <w:p>
      <w:r>
        <w:br w:type="page"/>
      </w:r>
    </w:p>
    <w:p>
      <w:pPr>
        <w:pStyle w:val="Heading1"/>
        <w:spacing w:after="160" w:before="360"/>
      </w:pPr>
      <w:r>
        <w:t xml:space="preserve">1. Yönetici özeti</w:t>
      </w:r>
    </w:p>
    <w:p>
      <w:pPr>
        <w:spacing w:after="120" w:line="276"/>
      </w:pPr>
      <w:r>
        <w:t xml:space="preserve">DOAJ başvuruyu üç gerekçeyle reddetti. Hepsi web sitesindeki politika metinlerinden ve belgelerden kaynaklanıyor. Derginin bilimsel içeriğiyle ilgili bir sorun belirtilmemiş. Yani sorunların tamamı editoryal olarak düzeltilebilir.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1"/>
        <w:gridCol w:w="4680"/>
        <w:gridCol w:w="1895"/>
      </w:tblGrid>
      <w:tr>
        <w:trPr>
          <w:tblHeader/>
        </w:trPr>
        <w:tc>
          <w:tcPr>
            <w:tcW w:type="dxa" w:w="2451"/>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Ret gerekçesi</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Özet sorun</w:t>
            </w:r>
          </w:p>
        </w:tc>
        <w:tc>
          <w:tcPr>
            <w:tcW w:type="dxa" w:w="1895"/>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Öncelik</w:t>
            </w:r>
          </w:p>
        </w:tc>
      </w:tr>
      <w:tr>
        <w:tc>
          <w:tcPr>
            <w:tcW w:type="dxa" w:w="245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1. Telif hakkı (Copyright)</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Telif hakkının kimde olduğu sitede birbiriyle çelişen şekillerde anlatılıyor. Lisans açıklaması CC BY-NC ile uyuşmuyor ve “değiştirmeden kullanma” ifadesi aslında CC BY-ND’yi tarif ediyor. Telif devir formu kendi içinde çelişkili.</w:t>
            </w:r>
          </w:p>
        </w:tc>
        <w:tc>
          <w:tcPr>
            <w:tcW w:type="dxa" w:w="189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Kritik. Önceki başvuruda da belirtilmiş (“still very contradictory”).</w:t>
            </w:r>
          </w:p>
        </w:tc>
      </w:tr>
      <w:tr>
        <w:tc>
          <w:tcPr>
            <w:tcW w:type="dxa" w:w="245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2. Hakem değerlendirmesi (Peer review)</w:t>
            </w:r>
          </w:p>
        </w:tc>
        <w:tc>
          <w:tcPr>
            <w:tcW w:type="dxa" w:w="468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Hakemlerin yayın kurulu dışından mı olduğu, hakem kimliklerinin yazarlardan gizlenip gizlenmediği ve özel sayı politikası belirtilmemiş.</w:t>
            </w:r>
          </w:p>
        </w:tc>
        <w:tc>
          <w:tcPr>
            <w:tcW w:type="dxa" w:w="189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Kritik</w:t>
            </w:r>
          </w:p>
        </w:tc>
      </w:tr>
      <w:tr>
        <w:tc>
          <w:tcPr>
            <w:tcW w:type="dxa" w:w="245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3. Standart dışı metrikler</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Index Copernicus, ResearchBib, CiteFactor, Europub, Scientific Indexing Services ve ESJI’nin adları ve logoları sitede yer alıyor.</w:t>
            </w:r>
          </w:p>
        </w:tc>
        <w:tc>
          <w:tcPr>
            <w:tcW w:type="dxa" w:w="189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Zorunlu, kolay düzeltilir</w:t>
            </w:r>
          </w:p>
        </w:tc>
      </w:tr>
    </w:tbl>
    <w:p>
      <w:pPr>
        <w:spacing w:after="120"/>
      </w:pPr>
    </w:p>
    <w:p>
      <w:pPr>
        <w:spacing w:after="120" w:line="276"/>
      </w:pPr>
      <w:r>
        <w:rPr>
          <w:b/>
          <w:bCs/>
        </w:rPr>
        <w:t xml:space="preserve">Önemli uyarı:</w:t>
      </w:r>
      <w:r>
        <w:t xml:space="preserve"> DOAJ, telif hakkı sorununun bir önceki başvurudan beri çözülmediğini açıkça yazmış. Bu yüzden yeniden başvuruda en çok bu noktaya bakılacaktır. Metinlerin yalnızca bir kısmını düzeltmek yetmez. Telif ve lisansla ilgili ifadelerin </w:t>
      </w:r>
      <w:r>
        <w:rPr>
          <w:b/>
          <w:bCs/>
        </w:rPr>
        <w:t xml:space="preserve">sitenin her yerinde, formlarda, makale PDF’lerinde ve DergiPark ayarlarında aynı</w:t>
      </w:r>
      <w:r>
        <w:t xml:space="preserve"> olması gerekir.</w:t>
      </w:r>
    </w:p>
    <w:p>
      <w:pPr>
        <w:pStyle w:val="Heading2"/>
        <w:spacing w:after="120" w:before="240"/>
      </w:pPr>
      <w:r>
        <w:t xml:space="preserve">1.1 E-postadaki dergi adı / ISSN tutarsızlığı</w:t>
      </w:r>
    </w:p>
    <w:p>
      <w:pPr>
        <w:spacing w:after="120" w:line="276"/>
      </w:pPr>
      <w:r>
        <w:t xml:space="preserve">Ret e-postasının girişinde dergi “Journal of European Internal Medicine Professionals (JEIMP) (ISSN: 2980-0617)” olarak anılıyor. Buna karşın e-postadaki bütün bağlantılar Medical Research Reports’a (dergipark.org.tr/en/pub/mrr) gidiyor. Büyük olasılıkla DOAJ şablonundan kalmış bir hata. Yine de şunları yapmanızı öneririz:</w:t>
      </w:r>
    </w:p>
    <w:p>
      <w:pPr>
        <w:pStyle w:val="ListParagraph"/>
        <w:numPr>
          <w:ilvl w:val="0"/>
          <w:numId w:val="2"/>
        </w:numPr>
        <w:spacing w:after="80" w:line="276"/>
      </w:pPr>
      <w:r>
        <w:t xml:space="preserve">DOAJ başvuru panelinde başvurunun gerçekten MRR adına ve MRR’nin ISSN’iyle kayıtlı olduğunu kontrol edin.</w:t>
      </w:r>
    </w:p>
    <w:p>
      <w:pPr>
        <w:pStyle w:val="ListParagraph"/>
        <w:numPr>
          <w:ilvl w:val="0"/>
          <w:numId w:val="2"/>
        </w:numPr>
        <w:spacing w:after="80" w:line="276"/>
      </w:pPr>
      <w:r>
        <w:t xml:space="preserve">Yeniden başvururken ön yazıda bu tutarsızlığa kısaca değinin ve doğru dergi adını ve ISSN’i yazın.</w:t>
      </w:r>
    </w:p>
    <w:p>
      <w:pPr>
        <w:pStyle w:val="ListParagraph"/>
        <w:numPr>
          <w:ilvl w:val="0"/>
          <w:numId w:val="2"/>
        </w:numPr>
        <w:spacing w:after="80" w:line="276"/>
      </w:pPr>
      <w:r>
        <w:t xml:space="preserve">Sitede, PDF’lerde ve başvuru formunda dergi adı ve ISSN’in (basılı/elektronik) ISSN portalındaki kayıtla birebir aynı olduğundan emin olun.</w:t>
      </w:r>
    </w:p>
    <w:p>
      <w:pPr>
        <w:pStyle w:val="Heading2"/>
        <w:spacing w:after="120" w:before="240"/>
      </w:pPr>
      <w:r>
        <w:t xml:space="preserve">1.2 Dergi sitesinin incelenmesi: yeni bulgular</w:t>
      </w:r>
    </w:p>
    <w:p>
      <w:pPr>
        <w:spacing w:after="120" w:line="276"/>
      </w:pPr>
      <w:r>
        <w:t xml:space="preserve">dergipark.org.tr/en/pub/mrr adresinin Ana sayfa, About, Aim &amp; Scope ve Author Guidelines sayfalarında DOAJ’ın e-postada saymadığı ama yeniden başvuruda sorun çıkaracak ifadeler var: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3610"/>
        <w:gridCol w:w="3110"/>
      </w:tblGrid>
      <w:tr>
        <w:trPr>
          <w:tblHeader/>
        </w:trPr>
        <w:tc>
          <w:tcPr>
            <w:tcW w:type="dxa" w:w="2306"/>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Bulgu</w:t>
            </w:r>
          </w:p>
        </w:tc>
        <w:tc>
          <w:tcPr>
            <w:tcW w:type="dxa" w:w="361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Sitede görünen ifade</w:t>
            </w:r>
          </w:p>
        </w:tc>
        <w:tc>
          <w:tcPr>
            <w:tcW w:type="dxa" w:w="311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Sorun / yapılacak</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b/>
                <w:bCs/>
              </w:rPr>
              <w:t xml:space="preserve">Telif: 5. çelişki (YENİ)</w:t>
            </w:r>
          </w:p>
        </w:tc>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“The published article is the property of the journal and the publishing rights are transferred to the journal.” (Ana sayfa / About)</w:t>
            </w:r>
          </w:p>
        </w:tc>
        <w:tc>
          <w:tcPr>
            <w:tcW w:type="dxa" w:w="3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Bu cümle telifin dergide olduğunu söylüyor. 12771 ve 12772 numaralı sayfalar ise “authors own the copyright” diyor. DOAJ’ın saydığı dört çelişkiye ek olarak beşinci bir çelişki. Cümle silinmeli ve yerine standart metin (Bölüm 2.3) konmalı.</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rPr>
                <w:b/>
                <w:bCs/>
              </w:rPr>
              <w:t xml:space="preserve">Lisans adı yanlış (YENİ)</w:t>
            </w:r>
          </w:p>
        </w:tc>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“All site content is licensed under a Creative Commons Attribution Licence (CC-BY-NC 4.0)”</w:t>
            </w:r>
          </w:p>
        </w:tc>
        <w:tc>
          <w:tcPr>
            <w:tcW w:type="dxa" w:w="31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“Creative Commons Attribution Licence” CC BY’nin adıdır. CC BY-NC’nin doğru adı “Creative Commons Attribution-NonCommercial 4.0 International License”. Ayrıca lisansın yalnızca “site content” için değil, </w:t>
            </w:r>
            <w:r>
              <w:rPr>
                <w:b/>
                <w:bCs/>
              </w:rPr>
              <w:t xml:space="preserve">yayımlanan makaleler</w:t>
            </w:r>
            <w:r>
              <w:t xml:space="preserve"> için geçerli olduğu yazılmalı.</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b/>
                <w:bCs/>
              </w:rPr>
              <w:t xml:space="preserve">Yayın dili çelişkisi (YENİ)</w:t>
            </w:r>
          </w:p>
        </w:tc>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Bir yerde “Published papers in this journal will be in English and Turkish”, başka bir yerde “Starting in 2026, the journal will exclusively consider manuscripts submitted in English”.</w:t>
            </w:r>
          </w:p>
        </w:tc>
        <w:tc>
          <w:tcPr>
            <w:tcW w:type="dxa" w:w="3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DOAJ başvuru formunda yayın dili soruluyor. Tek bir politika belirlenmeli (ör. “Since 2026, the journal publishes articles in English only.”) ve bütün sayfalar buna göre güncellenmeli.</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Hakem türü: kısmen mevcut</w:t>
            </w:r>
          </w:p>
        </w:tc>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“…based on the principles of independent, unbiased, double-blind review”</w:t>
            </w:r>
          </w:p>
        </w:tc>
        <w:tc>
          <w:tcPr>
            <w:tcW w:type="dxa" w:w="31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Çift kör değerlendirme ana sayfada yazıyor ama DOAJ bunu hakem süreci sayfasında (13691) göremediğini belirtmiş. Bölüm 3.2’deki metin 13691’e eklenmeli. Hakemlerin yayın kurulu dışından olduğu ise hiçbir yerde yazmıyor.</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Ücretler: uygun</w:t>
            </w:r>
          </w:p>
        </w:tc>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“…open-access journal and the registration, submit and publication of the article is free.”</w:t>
            </w:r>
          </w:p>
        </w:tc>
        <w:tc>
          <w:tcPr>
            <w:tcW w:type="dxa" w:w="3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Uygun. DOAJ formunda “No APC” olarak işaretleyin. Metin İngilizce olarak şöyle düzeltilebilir: “The journal does not charge any submission, processing or publication fees.”</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Yayın sıklığı: uygun</w:t>
            </w:r>
          </w:p>
        </w:tc>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“…published every four (4) months, three (3) times a year.”</w:t>
            </w:r>
          </w:p>
        </w:tc>
        <w:tc>
          <w:tcPr>
            <w:tcW w:type="dxa" w:w="31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Uygun. Ayların (ör. Nisan, Ağustos, Aralık) belirtilmesi ve sayıların zamanında çıkması önerilir.</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Kalıcı tanımlayıcı: uygun</w:t>
            </w:r>
          </w:p>
        </w:tc>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Makalelerde DOI var (10.55517/mrr.…).</w:t>
            </w:r>
          </w:p>
        </w:tc>
        <w:tc>
          <w:tcPr>
            <w:tcW w:type="dxa" w:w="3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Uygun. Başvuru formunda DOI kullanıldığını belirtin.</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PDF üst bilgisinde yazım hatası</w:t>
            </w:r>
          </w:p>
        </w:tc>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Bir makale PDF’inin üst bilgisinde “REWİE Med Res Rep 2023;6(3)” görünüyor.</w:t>
            </w:r>
          </w:p>
        </w:tc>
        <w:tc>
          <w:tcPr>
            <w:tcW w:type="dxa" w:w="31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Makale türü etiketi “REVIEW” olmalı. Mizanpaj şablonundaki makale türü etiketlerini kontrol edin.</w:t>
            </w:r>
          </w:p>
        </w:tc>
      </w:tr>
    </w:tbl>
    <w:p>
      <w:pPr>
        <w:spacing w:after="120"/>
      </w:pPr>
    </w:p>
    <w:p>
      <w:pPr>
        <w:spacing w:after="120" w:line="276"/>
      </w:pPr>
      <w:r>
        <w:rPr>
          <w:b/>
          <w:bCs/>
        </w:rPr>
        <w:t xml:space="preserve">Sonuç:</w:t>
      </w:r>
      <w:r>
        <w:t xml:space="preserve"> Sitede telif hakkıyla ilgili en az </w:t>
      </w:r>
      <w:r>
        <w:rPr>
          <w:b/>
          <w:bCs/>
        </w:rPr>
        <w:t xml:space="preserve">beş</w:t>
      </w:r>
      <w:r>
        <w:t xml:space="preserve"> farklı ifade var ve en az üç farklı sayfada lisans anlatımı birbirinden farklı. Bu yüzden Bölüm 2.4’teki tablo, Ana sayfa ve About sayfası eklenerek güncellendi.</w:t>
      </w:r>
    </w:p>
    <w:p>
      <w:r>
        <w:br w:type="page"/>
      </w:r>
    </w:p>
    <w:p>
      <w:pPr>
        <w:pStyle w:val="Heading1"/>
        <w:spacing w:after="160" w:before="360"/>
      </w:pPr>
      <w:r>
        <w:t xml:space="preserve">2. Telif hakkı ve lisans</w:t>
      </w:r>
    </w:p>
    <w:p>
      <w:pPr>
        <w:pStyle w:val="Heading2"/>
        <w:spacing w:after="120" w:before="240"/>
      </w:pPr>
      <w:r>
        <w:t xml:space="preserve">2.1 DOAJ’ın tespit ettiği çelişkiler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309"/>
        <w:gridCol w:w="3712"/>
      </w:tblGrid>
      <w:tr>
        <w:trPr>
          <w:tblHeader/>
        </w:trPr>
        <w:tc>
          <w:tcPr>
            <w:tcW w:type="dxa" w:w="2005"/>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Yer</w:t>
            </w:r>
          </w:p>
        </w:tc>
        <w:tc>
          <w:tcPr>
            <w:tcW w:type="dxa" w:w="3309"/>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Sitede yazan</w:t>
            </w:r>
          </w:p>
        </w:tc>
        <w:tc>
          <w:tcPr>
            <w:tcW w:type="dxa" w:w="3712"/>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Neden sorunlu</w:t>
            </w:r>
          </w:p>
        </w:tc>
      </w:tr>
      <w:tr>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Sayfa 12771</w:t>
            </w:r>
          </w:p>
        </w:tc>
        <w:tc>
          <w:tcPr>
            <w:tcW w:type="dxa" w:w="330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“authors own the copyright but license exclusive rights in their article to the publisher”</w:t>
            </w:r>
          </w:p>
        </w:tc>
        <w:tc>
          <w:tcPr>
            <w:tcW w:type="dxa" w:w="371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Yazar yayıncıya münhasır (exclusive) hak veriyorsa telif pratikte artık yazarda değildir. “Yazar telif sahibidir” ifadesiyle çelişir.</w:t>
            </w:r>
          </w:p>
        </w:tc>
      </w:tr>
      <w:tr>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Sayfa 12772</w:t>
            </w:r>
          </w:p>
        </w:tc>
        <w:tc>
          <w:tcPr>
            <w:tcW w:type="dxa" w:w="3309"/>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“authors sign an exclusive license agreement in which they own the copyright but license exclusive rights…”</w:t>
            </w:r>
          </w:p>
        </w:tc>
        <w:tc>
          <w:tcPr>
            <w:tcW w:type="dxa" w:w="3712"/>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Aynı çelişki, ikinci bir sayfada ve biraz farklı ifadeyle.</w:t>
            </w:r>
          </w:p>
        </w:tc>
      </w:tr>
      <w:tr>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Sayfa 12774</w:t>
            </w:r>
          </w:p>
        </w:tc>
        <w:tc>
          <w:tcPr>
            <w:tcW w:type="dxa" w:w="330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Lisans CC BY-NC, ancak metinde “…as long as they don’t change the original one”</w:t>
            </w:r>
          </w:p>
        </w:tc>
        <w:tc>
          <w:tcPr>
            <w:tcW w:type="dxa" w:w="371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“Orijinali değiştirmeme” şartı CC BY-ND’ye (türetilemez) aittir. CC BY-NC uyarlamaya/değiştirmeye izin verir, yalnızca ticari kullanımı yasaklar.</w:t>
            </w:r>
          </w:p>
        </w:tc>
      </w:tr>
      <w:tr>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Telif Devir Formu (Google Drive)</w:t>
            </w:r>
          </w:p>
        </w:tc>
        <w:tc>
          <w:tcPr>
            <w:tcW w:type="dxa" w:w="3309"/>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“transfer to the MRR Editorial Board” ve aynı belgede “intellectual property rights… are reserved”</w:t>
            </w:r>
          </w:p>
        </w:tc>
        <w:tc>
          <w:tcPr>
            <w:tcW w:type="dxa" w:w="3712"/>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Telif yayın kuruluna devrediliyorsa yazarda saklı kalan bir fikri mülkiyet hakkı olamaz. Belge kendi içinde çelişkili. Ayrıca devralan taraf olarak “Editorial Board” gösterilmesi hukuken belirsiz, doğrusu yayıncı veya dergi olmalı.</w:t>
            </w:r>
          </w:p>
        </w:tc>
      </w:tr>
    </w:tbl>
    <w:p>
      <w:pPr>
        <w:pStyle w:val="Heading2"/>
        <w:spacing w:after="120" w:before="240"/>
      </w:pPr>
      <w:r>
        <w:t xml:space="preserve">2.2 Önce karar: telif hakkı kimde olacak?</w:t>
      </w:r>
    </w:p>
    <w:p>
      <w:pPr>
        <w:spacing w:after="120" w:line="276"/>
      </w:pPr>
      <w:r>
        <w:t xml:space="preserve">DOAJ’ın da önerdiği gibi, önce tek bir karar verilmeli ve bütün metinler bu karara göre yeniden yazılmalı. İki seçenek var: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810"/>
        <w:gridCol w:w="3712"/>
      </w:tblGrid>
      <w:tr>
        <w:trPr>
          <w:tblHeader/>
        </w:trPr>
        <w:tc>
          <w:tcPr>
            <w:tcW w:type="dxa" w:w="1504"/>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p>
        </w:tc>
        <w:tc>
          <w:tcPr>
            <w:tcW w:type="dxa" w:w="381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Seçenek A: Telif yazarda (önerilen)</w:t>
            </w:r>
          </w:p>
        </w:tc>
        <w:tc>
          <w:tcPr>
            <w:tcW w:type="dxa" w:w="3712"/>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Seçenek B: Telif dergide/yayıncıda</w:t>
            </w:r>
          </w:p>
        </w:tc>
      </w:tr>
      <w:t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Yazarın durumu</w:t>
            </w:r>
          </w:p>
        </w:tc>
        <w:tc>
          <w:tcPr>
            <w:tcW w:type="dxa" w:w="38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Telif hakkı kısıtlamasız yazarda kalır. Yazar dergiye yalnızca münhasır olmayan (non-exclusive) yayımlama lisansı verir.</w:t>
            </w:r>
          </w:p>
        </w:tc>
        <w:tc>
          <w:tcPr>
            <w:tcW w:type="dxa" w:w="371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Yazar telifi yayıncıya devreder. Yayıncı, makaleyi CC BY-NC ile herkese açar.</w:t>
            </w:r>
          </w:p>
        </w:tc>
      </w:tr>
      <w:tr>
        <w:tc>
          <w:tcPr>
            <w:tcW w:type="dxa" w:w="15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Form</w:t>
            </w:r>
          </w:p>
        </w:tc>
        <w:tc>
          <w:tcPr>
            <w:tcW w:type="dxa" w:w="38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“Copyright Transfer Form” yerine “License to Publish / Author Agreement”</w:t>
            </w:r>
          </w:p>
        </w:tc>
        <w:tc>
          <w:tcPr>
            <w:tcW w:type="dxa" w:w="3712"/>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“Copyright Transfer Agreement” kalır ama çelişkili maddeler çıkarılır.</w:t>
            </w:r>
          </w:p>
        </w:tc>
      </w:tr>
      <w:t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DOAJ açısından</w:t>
            </w:r>
          </w:p>
        </w:tc>
        <w:tc>
          <w:tcPr>
            <w:tcW w:type="dxa" w:w="38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DOAJ’ın tercih ettiği, en az soru çıkaran model. Mevcut metinlerin çoğu zaten “authors own the copyright” diyor, bu yüzden daha az değişiklik gerekir.</w:t>
            </w:r>
          </w:p>
        </w:tc>
        <w:tc>
          <w:tcPr>
            <w:tcW w:type="dxa" w:w="371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Kabul edilir. Ancak her yerde “copyright: MRR/Publisher” demek ve “authors own the copyright” ifadelerinin hepsini kaldırmak gerekir.</w:t>
            </w:r>
          </w:p>
        </w:tc>
      </w:tr>
      <w:tr>
        <w:tc>
          <w:tcPr>
            <w:tcW w:type="dxa" w:w="15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Kaçınılacak ifade</w:t>
            </w:r>
          </w:p>
        </w:tc>
        <w:tc>
          <w:tcPr>
            <w:tcW w:type="dxa" w:w="38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“exclusive”, “transfer”, “devir” sözcükleri</w:t>
            </w:r>
          </w:p>
        </w:tc>
        <w:tc>
          <w:tcPr>
            <w:tcW w:type="dxa" w:w="3712"/>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“authors own/retain the copyright”, “rights are reserved to the authors”</w:t>
            </w:r>
          </w:p>
        </w:tc>
      </w:tr>
    </w:tbl>
    <w:p>
      <w:pPr>
        <w:spacing w:after="120"/>
      </w:pPr>
    </w:p>
    <w:p>
      <w:pPr>
        <w:spacing w:after="120" w:line="276"/>
      </w:pPr>
      <w:r>
        <w:rPr>
          <w:b/>
          <w:bCs/>
        </w:rPr>
        <w:t xml:space="preserve">Önerimiz Seçenek A’dır.</w:t>
      </w:r>
      <w:r>
        <w:t xml:space="preserve"> Yazarlar telif hakkını korur, makaleler CC BY-NC 4.0 ile yayımlanır ve dergi yalnızca ilk yayın hakkını alır. Aşağıdaki metinler bu seçeneğe göre hazırlandı. Seçenek B tercih edilirse 2.5. bölümdeki alternatif metin kullanılabilir.</w:t>
      </w:r>
    </w:p>
    <w:p>
      <w:pPr>
        <w:pStyle w:val="Heading2"/>
        <w:spacing w:after="120" w:before="240"/>
      </w:pPr>
      <w:r>
        <w:t xml:space="preserve">2.3 Sitenin her yerinde kullanılacak standart metin (Seçenek A)</w:t>
      </w:r>
    </w:p>
    <w:p>
      <w:pPr>
        <w:spacing w:after="120" w:line="276"/>
      </w:pPr>
      <w:r>
        <w:t xml:space="preserve">DOAJ, telif bilgisinin birden fazla sayfada yer alması durumunda </w:t>
      </w:r>
      <w:r>
        <w:rPr>
          <w:b/>
          <w:bCs/>
        </w:rPr>
        <w:t xml:space="preserve">aynı ifadenin</w:t>
      </w:r>
      <w:r>
        <w:t xml:space="preserve"> kullanılmasını tavsiye ediyor. Aşağıdaki metni 12771, 12772, 12774 numaralı sayfalara, yazar rehberine ve makale PDF şablonuna değiştirmeden koyun. Farklı sayfalarda farklı özetler yazmayın.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COPYRIGHT AND LICENSE (İngilizce, sitede kullanılacak metin)</w:t>
            </w:r>
          </w:p>
          <w:p>
            <w:pPr>
              <w:spacing w:after="80" w:line="264"/>
            </w:pPr>
            <w:r>
              <w:rPr>
                <w:b/>
                <w:bCs/>
                <w:sz w:val="20"/>
                <w:szCs w:val="20"/>
              </w:rPr>
              <w:t xml:space="preserve">Copyright.</w:t>
            </w:r>
            <w:r>
              <w:rPr>
                <w:sz w:val="20"/>
                <w:szCs w:val="20"/>
              </w:rPr>
              <w:t xml:space="preserve"> Authors who publish in Medical Research Reports retain the copyright of their articles without restrictions. Authors grant the journal a non-exclusive license to publish the article and to identify itself as its original publisher.</w:t>
            </w:r>
          </w:p>
          <w:p>
            <w:pPr>
              <w:spacing w:after="80" w:line="264"/>
            </w:pPr>
            <w:r>
              <w:rPr>
                <w:b/>
                <w:bCs/>
                <w:sz w:val="20"/>
                <w:szCs w:val="20"/>
              </w:rPr>
              <w:t xml:space="preserve">License.</w:t>
            </w:r>
            <w:r>
              <w:rPr>
                <w:sz w:val="20"/>
                <w:szCs w:val="20"/>
              </w:rPr>
              <w:t xml:space="preserve"> All articles are published open access under the Creative Commons Attribution-NonCommercial 4.0 International License (CC BY-NC 4.0) — https://creativecommons.org/licenses/by-nc/4.0/.</w:t>
            </w:r>
          </w:p>
          <w:p>
            <w:pPr>
              <w:spacing w:after="80" w:line="264"/>
            </w:pPr>
            <w:r>
              <w:rPr>
                <w:sz w:val="20"/>
                <w:szCs w:val="20"/>
              </w:rPr>
              <w:t xml:space="preserve">Under this license, anyone may copy and redistribute the material in any medium or format, and remix, transform and build upon the material, for non-commercial purposes, provided that appropriate credit is given to the original authors and the source, a link to the license is provided, and any changes made are indicated.</w:t>
            </w:r>
          </w:p>
          <w:p>
            <w:pPr>
              <w:spacing w:after="80" w:line="264"/>
            </w:pPr>
            <w:r>
              <w:rPr>
                <w:b/>
                <w:bCs/>
                <w:sz w:val="20"/>
                <w:szCs w:val="20"/>
              </w:rPr>
              <w:t xml:space="preserve">Author rights.</w:t>
            </w:r>
            <w:r>
              <w:rPr>
                <w:sz w:val="20"/>
                <w:szCs w:val="20"/>
              </w:rPr>
              <w:t xml:space="preserve"> Because authors retain copyright, they may reuse their work, deposit any version of it in institutional or subject repositories, and share it on personal or academic websites, with acknowledgement of its initial publication in Medical Research Reports.</w:t>
            </w:r>
          </w:p>
          <w:p>
            <w:pPr>
              <w:spacing w:after="80" w:line="264"/>
            </w:pPr>
            <w:r>
              <w:rPr>
                <w:b/>
                <w:bCs/>
                <w:sz w:val="20"/>
                <w:szCs w:val="20"/>
              </w:rPr>
              <w:t xml:space="preserve">Copyright notice on articles.</w:t>
            </w:r>
            <w:r>
              <w:rPr>
                <w:sz w:val="20"/>
                <w:szCs w:val="20"/>
              </w:rPr>
              <w:t xml:space="preserve"> Each article displays: “© [Year] The Author(s). Published by Medical Research Reports under the CC BY-NC 4.0 license.”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TELİF HAKKI VE LİSANS (Türkçe karşılık)</w:t>
            </w:r>
          </w:p>
          <w:p>
            <w:pPr>
              <w:spacing w:after="80" w:line="264"/>
            </w:pPr>
            <w:r>
              <w:rPr>
                <w:b/>
                <w:bCs/>
                <w:sz w:val="20"/>
                <w:szCs w:val="20"/>
              </w:rPr>
              <w:t xml:space="preserve">Telif hakkı.</w:t>
            </w:r>
            <w:r>
              <w:rPr>
                <w:sz w:val="20"/>
                <w:szCs w:val="20"/>
              </w:rPr>
              <w:t xml:space="preserve"> Medical Research Reports’ta yayımlanan makalelerin telif hakkı, herhangi bir kısıtlama olmaksızın yazarlara aittir. Yazarlar, dergiye makaleyi yayımlama ve derginin makalenin ilk yayıncısı olarak anılması için münhasır olmayan bir lisans verir.</w:t>
            </w:r>
          </w:p>
          <w:p>
            <w:pPr>
              <w:spacing w:after="80" w:line="264"/>
            </w:pPr>
            <w:r>
              <w:rPr>
                <w:b/>
                <w:bCs/>
                <w:sz w:val="20"/>
                <w:szCs w:val="20"/>
              </w:rPr>
              <w:t xml:space="preserve">Lisans.</w:t>
            </w:r>
            <w:r>
              <w:rPr>
                <w:sz w:val="20"/>
                <w:szCs w:val="20"/>
              </w:rPr>
              <w:t xml:space="preserve"> Tüm makaleler Creative Commons Atıf-GayriTicari 4.0 Uluslararası (CC BY-NC 4.0) lisansıyla açık erişim olarak yayımlanır.</w:t>
            </w:r>
          </w:p>
          <w:p>
            <w:pPr>
              <w:spacing w:after="80" w:line="264"/>
            </w:pPr>
            <w:r>
              <w:rPr>
                <w:sz w:val="20"/>
                <w:szCs w:val="20"/>
              </w:rPr>
              <w:t xml:space="preserve">Bu lisans kapsamında herkes, uygun atıf yapmak, lisansa bağlantı vermek ve yapılan değişiklikleri belirtmek koşuluyla, materyali ticari olmayan amaçlarla kopyalayabilir, dağıtabilir, uyarlayabilir, dönüştürebilir ve materyalin üzerine inşa edebilir.</w:t>
            </w:r>
          </w:p>
        </w:tc>
      </w:tr>
    </w:tbl>
    <w:p>
      <w:pPr>
        <w:pStyle w:val="Heading2"/>
        <w:spacing w:after="120" w:before="240"/>
      </w:pPr>
      <w:r>
        <w:t xml:space="preserve">2.4 Sayfa sayfa yapılacak değişiklikler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6720"/>
      </w:tblGrid>
      <w:tr>
        <w:trPr>
          <w:tblHeader/>
        </w:trPr>
        <w:tc>
          <w:tcPr>
            <w:tcW w:type="dxa" w:w="2306"/>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Yer</w:t>
            </w:r>
          </w:p>
        </w:tc>
        <w:tc>
          <w:tcPr>
            <w:tcW w:type="dxa" w:w="672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Yapılacak</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Ana sayfa ve About sayfası (YENİ)</w:t>
            </w:r>
          </w:p>
        </w:tc>
        <w:tc>
          <w:tcPr>
            <w:tcW w:type="dxa" w:w="67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“The published article is the property of the journal and the publishing rights are transferred to the journal.” cümlesini silin. “Creative Commons Attribution Licence (CC-BY-NC 4.0)” ifadesini “Creative Commons Attribution-NonCommercial 4.0 International License (CC BY-NC 4.0)” olarak düzeltin. Lisansın makaleler için geçerli olduğunu yazın.</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Sayfa 12771</w:t>
            </w:r>
          </w:p>
        </w:tc>
        <w:tc>
          <w:tcPr>
            <w:tcW w:type="dxa" w:w="672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“authors own the copyright but license exclusive rights…” cümlesini silin. Yerine 2.3’teki standart metni koyun.</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Sayfa 12772</w:t>
            </w:r>
          </w:p>
        </w:tc>
        <w:tc>
          <w:tcPr>
            <w:tcW w:type="dxa" w:w="67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“exclusive license agreement…” cümlesini silin. Yerine standart metni koyun. Sayfa başlığında “Copyright Transfer” ifadesi geçiyorsa “Copyright and License” olarak değiştirin.</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Sayfa 12774</w:t>
            </w:r>
          </w:p>
        </w:tc>
        <w:tc>
          <w:tcPr>
            <w:tcW w:type="dxa" w:w="672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“…as long as they don’t change the original one” ifadesini tamamen kaldırın. CC BY-NC’nin gerçekte izin verdiği hakları anlatan metni (standart metnin “License” paragrafı) koyun ve lisans sayfasına bağlantı verin.</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Telif Devir Formu</w:t>
            </w:r>
          </w:p>
        </w:tc>
        <w:tc>
          <w:tcPr>
            <w:tcW w:type="dxa" w:w="67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Google Drive’daki formu yayından kaldırın. Yerine 2.6’daki “Author Agreement and License to Publish” formunu koyun ve formu DergiPark içinde barındırın (Drive bağlantıları erişim sorunu çıkarabilir). Formda “transfer to the MRR Editorial Board” ve “intellectual property rights… are reserved” ifadeleri kalmamalı.</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DergiPark dergi ayarları</w:t>
            </w:r>
          </w:p>
        </w:tc>
        <w:tc>
          <w:tcPr>
            <w:tcW w:type="dxa" w:w="672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 yöneticisi panelindeki lisans/telif alanında CC BY-NC 4.0’ın seçili olduğunu ve telif sahibi bilgisinin “Author(s)” olduğunu kontrol edin. Makale künye sayfalarında görünen lisans bilgisi bu ayardan gelir.</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Makale PDF şablonu</w:t>
            </w:r>
          </w:p>
        </w:tc>
        <w:tc>
          <w:tcPr>
            <w:tcW w:type="dxa" w:w="67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Her makalenin ilk sayfasına telif notunu ve CC BY-NC 4.0 logosunu/bağlantısını ekleyin. Geçmiş sayılardaki PDF’ler eski ifadeyi (ör. “All rights reserved”, “copyright transferred”) içeriyorsa en azından son iki yılın PDF’lerini güncelleyin.</w:t>
            </w:r>
          </w:p>
        </w:tc>
      </w:tr>
      <w:tr>
        <w:tc>
          <w:tcPr>
            <w:tcW w:type="dxa" w:w="230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Yazar rehberi, gönderim adımları, “About”, open access sayfası</w:t>
            </w:r>
          </w:p>
        </w:tc>
        <w:tc>
          <w:tcPr>
            <w:tcW w:type="dxa" w:w="672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Telif veya lisanstan söz eden her yerde yalnızca standart metni ya da ona bağlantı verin. Farklı özetler yazmayın.</w:t>
            </w:r>
          </w:p>
        </w:tc>
      </w:tr>
      <w:tr>
        <w:tc>
          <w:tcPr>
            <w:tcW w:type="dxa" w:w="23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Türkçe sayfalar</w:t>
            </w:r>
          </w:p>
        </w:tc>
        <w:tc>
          <w:tcPr>
            <w:tcW w:type="dxa" w:w="67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Sitenin Türkçe arayüzündeki karşılık sayfalarda da aynı politika (2.3’teki Türkçe metin) olmalı. DOAJ iki dil arasındaki çelişkiyi de ret gerekçesi yapabilir.</w:t>
            </w:r>
          </w:p>
        </w:tc>
      </w:tr>
    </w:tbl>
    <w:p>
      <w:pPr>
        <w:pStyle w:val="Heading2"/>
        <w:spacing w:after="120" w:before="240"/>
      </w:pPr>
      <w:r>
        <w:t xml:space="preserve">2.5 Alternatif: Seçenek B seçilirse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COPYRIGHT AND LICENSE — Option B (telif dergide)</w:t>
            </w:r>
          </w:p>
          <w:p>
            <w:pPr>
              <w:spacing w:after="80" w:line="264"/>
            </w:pPr>
            <w:r>
              <w:rPr>
                <w:b/>
                <w:bCs/>
                <w:sz w:val="20"/>
                <w:szCs w:val="20"/>
              </w:rPr>
              <w:t xml:space="preserve">Copyright.</w:t>
            </w:r>
            <w:r>
              <w:rPr>
                <w:sz w:val="20"/>
                <w:szCs w:val="20"/>
              </w:rPr>
              <w:t xml:space="preserve"> Upon acceptance, authors transfer the copyright of their article to [Publisher legal name / Medical Research Reports]. The copyright holder is the publisher, not the authors.</w:t>
            </w:r>
          </w:p>
          <w:p>
            <w:pPr>
              <w:spacing w:after="80" w:line="264"/>
            </w:pPr>
            <w:r>
              <w:rPr>
                <w:b/>
                <w:bCs/>
                <w:sz w:val="20"/>
                <w:szCs w:val="20"/>
              </w:rPr>
              <w:t xml:space="preserve">License.</w:t>
            </w:r>
            <w:r>
              <w:rPr>
                <w:sz w:val="20"/>
                <w:szCs w:val="20"/>
              </w:rPr>
              <w:t xml:space="preserve"> The publisher makes all articles available open access under the CC BY-NC 4.0 license, which allows anyone to share and adapt the article for non-commercial purposes with appropriate credit.</w:t>
            </w:r>
          </w:p>
          <w:p>
            <w:pPr>
              <w:spacing w:after="80" w:line="264"/>
            </w:pPr>
            <w:r>
              <w:rPr>
                <w:sz w:val="20"/>
                <w:szCs w:val="20"/>
              </w:rPr>
              <w:t xml:space="preserve">Bu seçenekte “authors own/retain the copyright” ve “rights are reserved to the authors” ifadelerinin hepsi siteden ve formdan kaldırılmalıdır.</w:t>
            </w:r>
          </w:p>
        </w:tc>
      </w:tr>
    </w:tbl>
    <w:p>
      <w:pPr>
        <w:pStyle w:val="Heading2"/>
        <w:spacing w:after="120" w:before="240"/>
      </w:pPr>
      <w:r>
        <w:t xml:space="preserve">2.6 Yeni yazar sözleşmesi (formun yerine)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AUTHOR AGREEMENT AND LICENSE TO PUBLISH (taslak)</w:t>
            </w:r>
          </w:p>
          <w:p>
            <w:pPr>
              <w:spacing w:after="80" w:line="264"/>
            </w:pPr>
            <w:r>
              <w:rPr>
                <w:sz w:val="20"/>
                <w:szCs w:val="20"/>
              </w:rPr>
              <w:t xml:space="preserve">Manuscript title: ________________________   Corresponding author: ________________________</w:t>
            </w:r>
          </w:p>
          <w:p>
            <w:pPr>
              <w:spacing w:after="80" w:line="264"/>
            </w:pPr>
            <w:r>
              <w:rPr>
                <w:sz w:val="20"/>
                <w:szCs w:val="20"/>
              </w:rPr>
              <w:t xml:space="preserve">1. The author(s) retain the copyright of the above manuscript without restrictions.</w:t>
            </w:r>
          </w:p>
          <w:p>
            <w:pPr>
              <w:spacing w:after="80" w:line="264"/>
            </w:pPr>
            <w:r>
              <w:rPr>
                <w:sz w:val="20"/>
                <w:szCs w:val="20"/>
              </w:rPr>
              <w:t xml:space="preserve">2. The author(s) grant Medical Research Reports a non-exclusive license to publish the manuscript, if accepted, and to be identified as its original publisher.</w:t>
            </w:r>
          </w:p>
          <w:p>
            <w:pPr>
              <w:spacing w:after="80" w:line="264"/>
            </w:pPr>
            <w:r>
              <w:rPr>
                <w:sz w:val="20"/>
                <w:szCs w:val="20"/>
              </w:rPr>
              <w:t xml:space="preserve">3. The author(s) agree that the article will be published open access under the Creative Commons Attribution-NonCommercial 4.0 International License (CC BY-NC 4.0).</w:t>
            </w:r>
          </w:p>
          <w:p>
            <w:pPr>
              <w:spacing w:after="80" w:line="264"/>
            </w:pPr>
            <w:r>
              <w:rPr>
                <w:sz w:val="20"/>
                <w:szCs w:val="20"/>
              </w:rPr>
              <w:t xml:space="preserve">4. The author(s) confirm that the manuscript is original, has not been published elsewhere and is not under consideration by another journal, and that all authors have approved the submission.</w:t>
            </w:r>
          </w:p>
          <w:p>
            <w:pPr>
              <w:spacing w:after="80" w:line="264"/>
            </w:pPr>
            <w:r>
              <w:rPr>
                <w:sz w:val="20"/>
                <w:szCs w:val="20"/>
              </w:rPr>
              <w:t xml:space="preserve">5. The author(s) confirm that permission has been obtained for any third-party material included in the manuscript.</w:t>
            </w:r>
          </w:p>
          <w:p>
            <w:pPr>
              <w:spacing w:after="80" w:line="264"/>
            </w:pPr>
            <w:r>
              <w:rPr>
                <w:sz w:val="20"/>
                <w:szCs w:val="20"/>
              </w:rPr>
              <w:t xml:space="preserve">Names, signatures and dates of all authors: ________________________</w:t>
            </w:r>
          </w:p>
        </w:tc>
      </w:tr>
    </w:tbl>
    <w:p>
      <w:pPr>
        <w:spacing w:after="120" w:line="276"/>
      </w:pPr>
      <w:r>
        <w:rPr>
          <w:sz w:val="20"/>
          <w:szCs w:val="20"/>
        </w:rPr>
        <w:t xml:space="preserve">Not: Mevcut formdaki “patent hakları gibi fikri mülkiyet hakları saklıdır” maddesine Seçenek A’da gerek kalmaz, çünkü telif zaten yazarda kalıyor. Kurum ya da patent hakları için ayrıca bir madde istenirse şöyle yazılabilir: “This agreement does not affect any patent or other intellectual property rights of the authors or their employers.”</w:t>
      </w:r>
    </w:p>
    <w:p>
      <w:r>
        <w:br w:type="page"/>
      </w:r>
    </w:p>
    <w:p>
      <w:pPr>
        <w:pStyle w:val="Heading1"/>
        <w:spacing w:after="160" w:before="360"/>
      </w:pPr>
      <w:r>
        <w:t xml:space="preserve">3. Hakem değerlendirmesi</w:t>
      </w:r>
    </w:p>
    <w:p>
      <w:pPr>
        <w:pStyle w:val="Heading2"/>
        <w:spacing w:after="120" w:before="240"/>
      </w:pPr>
      <w:r>
        <w:t xml:space="preserve">3.1 Sayfa 13691’de eksik olan bilgiler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DOAJ’ın sorusu</w:t>
            </w:r>
          </w:p>
        </w:tc>
        <w:tc>
          <w:tcPr>
            <w:tcW w:type="dxa" w:w="6018"/>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Sayfada açıkça yazması gereken</w:t>
            </w:r>
          </w:p>
        </w:tc>
      </w:tr>
      <w:t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Hakemler yayın kurulu dışından mı?</w:t>
            </w:r>
          </w:p>
        </w:tc>
        <w:tc>
          <w:tcPr>
            <w:tcW w:type="dxa" w:w="601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Hakemlerin yayın kurulu dışından (external), bağımsız uzmanlar olduğu. Kaç hakem kullanıldığı (en az iki önerilir).</w:t>
            </w:r>
          </w:p>
        </w:tc>
      </w:tr>
      <w:tr>
        <w:tc>
          <w:tcPr>
            <w:tcW w:type="dxa" w:w="3008"/>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Hakemler yazarlara karşı anonim mi?</w:t>
            </w:r>
          </w:p>
        </w:tc>
        <w:tc>
          <w:tcPr>
            <w:tcW w:type="dxa" w:w="6018"/>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Hakem değerlendirmesinin türü: ör. “double-blind”, yani hakemler yazarları, yazarlar hakemleri bilmez.</w:t>
            </w:r>
          </w:p>
        </w:tc>
      </w:tr>
      <w:t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Özel sayılar (dossiers)</w:t>
            </w:r>
          </w:p>
        </w:tc>
        <w:tc>
          <w:tcPr>
            <w:tcW w:type="dxa" w:w="601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Dergi özel sayı yayımlıyorsa DOAJ’ın beş ek kriterini karşılayan bir politika. Yayımlamıyorsa bunun açıkça belirtilmesi.</w:t>
            </w:r>
          </w:p>
        </w:tc>
      </w:tr>
    </w:tbl>
    <w:p>
      <w:pPr>
        <w:spacing w:after="120"/>
      </w:pPr>
    </w:p>
    <w:p>
      <w:pPr>
        <w:spacing w:after="120" w:line="276"/>
      </w:pPr>
      <w:r>
        <w:t xml:space="preserve">Ek öneri: DOAJ, hakem sürecinin adım adım anlatılmasını da bekler: ön inceleme, benzerlik taraması, hakem ataması, olası kararlar, ortalama süre, itiraz ve editörlerin kendi makaleleri. Aşağıdaki metin bunların hepsini kapsıyor. Köşeli parantez içindeki değerleri derginin gerçek uygulamasına göre doldurun. </w:t>
      </w:r>
      <w:r>
        <w:rPr>
          <w:b/>
          <w:bCs/>
        </w:rPr>
        <w:t xml:space="preserve">Metin, derginin gerçekte yaptığını anlatmalı.</w:t>
      </w:r>
      <w:r>
        <w:t xml:space="preserve"> DOAJ yayımlanan makalelerden örnek alıp tutarlılığı kontrol edebilir.</w:t>
      </w:r>
    </w:p>
    <w:p>
      <w:pPr>
        <w:pStyle w:val="Heading2"/>
        <w:spacing w:after="120" w:before="240"/>
      </w:pPr>
      <w:r>
        <w:t xml:space="preserve">3.2 Önerilen hakem süreci metni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PEER REVIEW PROCESS (İngilizce, sayfa 13691 için)</w:t>
            </w:r>
          </w:p>
          <w:p>
            <w:pPr>
              <w:spacing w:after="80" w:line="264"/>
            </w:pPr>
            <w:r>
              <w:rPr>
                <w:b/>
                <w:bCs/>
                <w:sz w:val="20"/>
                <w:szCs w:val="20"/>
              </w:rPr>
              <w:t xml:space="preserve">Type of review.</w:t>
            </w:r>
            <w:r>
              <w:rPr>
                <w:sz w:val="20"/>
                <w:szCs w:val="20"/>
              </w:rPr>
              <w:t xml:space="preserve"> Medical Research Reports uses a </w:t>
            </w:r>
            <w:r>
              <w:rPr>
                <w:b/>
                <w:bCs/>
                <w:sz w:val="20"/>
                <w:szCs w:val="20"/>
              </w:rPr>
              <w:t xml:space="preserve">double-blind peer review</w:t>
            </w:r>
            <w:r>
              <w:rPr>
                <w:sz w:val="20"/>
                <w:szCs w:val="20"/>
              </w:rPr>
              <w:t xml:space="preserve"> process: the identities of the authors are concealed from the reviewers, and the identities of the reviewers are concealed from the authors.</w:t>
            </w:r>
          </w:p>
          <w:p>
            <w:pPr>
              <w:spacing w:after="80" w:line="264"/>
            </w:pPr>
            <w:r>
              <w:rPr>
                <w:b/>
                <w:bCs/>
                <w:sz w:val="20"/>
                <w:szCs w:val="20"/>
              </w:rPr>
              <w:t xml:space="preserve">Reviewers.</w:t>
            </w:r>
            <w:r>
              <w:rPr>
                <w:sz w:val="20"/>
                <w:szCs w:val="20"/>
              </w:rPr>
              <w:t xml:space="preserve"> Every research article is reviewed by </w:t>
            </w:r>
            <w:r>
              <w:rPr>
                <w:b/>
                <w:bCs/>
                <w:sz w:val="20"/>
                <w:szCs w:val="20"/>
              </w:rPr>
              <w:t xml:space="preserve">at least two independent external reviewers</w:t>
            </w:r>
            <w:r>
              <w:rPr>
                <w:sz w:val="20"/>
                <w:szCs w:val="20"/>
              </w:rPr>
              <w:t xml:space="preserve"> who are experts in the field and who are </w:t>
            </w:r>
            <w:r>
              <w:rPr>
                <w:b/>
                <w:bCs/>
                <w:sz w:val="20"/>
                <w:szCs w:val="20"/>
              </w:rPr>
              <w:t xml:space="preserve">not members of the journal’s editorial board</w:t>
            </w:r>
            <w:r>
              <w:rPr>
                <w:sz w:val="20"/>
                <w:szCs w:val="20"/>
              </w:rPr>
              <w:t xml:space="preserve">. Reviewers are required to declare any conflict of interest and to decline the invitation if a conflict exists.</w:t>
            </w:r>
          </w:p>
          <w:p>
            <w:pPr>
              <w:spacing w:after="80" w:line="264"/>
            </w:pPr>
            <w:r>
              <w:rPr>
                <w:b/>
                <w:bCs/>
                <w:sz w:val="20"/>
                <w:szCs w:val="20"/>
              </w:rPr>
              <w:t xml:space="preserve">Process.</w:t>
            </w:r>
            <w:r>
              <w:rPr>
                <w:sz w:val="20"/>
                <w:szCs w:val="20"/>
              </w:rPr>
              <w:t xml:space="preserve"> (1) Submissions are first checked by the editorial office for scope, formatting and compliance with the author guidelines, and screened for similarity with [iThenticate/Turnitin]. (2) The Editor-in-Chief or a section editor performs an initial assessment and may reject a manuscript without external review. (3) Manuscripts passing initial assessment are sent to at least two external reviewers. (4) Based on the reviewers’ reports, the handling editor makes one of the following decisions: accept, minor revision, major revision or reject. If the reviewers disagree, a third reviewer is consulted. (5) The final decision rests with the Editor-in-Chief.</w:t>
            </w:r>
          </w:p>
          <w:p>
            <w:pPr>
              <w:spacing w:after="80" w:line="264"/>
            </w:pPr>
            <w:r>
              <w:rPr>
                <w:b/>
                <w:bCs/>
                <w:sz w:val="20"/>
                <w:szCs w:val="20"/>
              </w:rPr>
              <w:t xml:space="preserve">Timeline.</w:t>
            </w:r>
            <w:r>
              <w:rPr>
                <w:sz w:val="20"/>
                <w:szCs w:val="20"/>
              </w:rPr>
              <w:t xml:space="preserve"> The average time from submission to first decision is approximately [X] weeks.</w:t>
            </w:r>
          </w:p>
          <w:p>
            <w:pPr>
              <w:spacing w:after="80" w:line="264"/>
            </w:pPr>
            <w:r>
              <w:rPr>
                <w:b/>
                <w:bCs/>
                <w:sz w:val="20"/>
                <w:szCs w:val="20"/>
              </w:rPr>
              <w:t xml:space="preserve">Submissions by editors.</w:t>
            </w:r>
            <w:r>
              <w:rPr>
                <w:sz w:val="20"/>
                <w:szCs w:val="20"/>
              </w:rPr>
              <w:t xml:space="preserve"> Manuscripts submitted by the Editor-in-Chief, editors or editorial board members are handled by another editor who has no conflict of interest, are reviewed through the same double-blind external process, and the submitting editor is excluded from all decisions about the manuscript.</w:t>
            </w:r>
          </w:p>
          <w:p>
            <w:pPr>
              <w:spacing w:after="80" w:line="264"/>
            </w:pPr>
            <w:r>
              <w:rPr>
                <w:b/>
                <w:bCs/>
                <w:sz w:val="20"/>
                <w:szCs w:val="20"/>
              </w:rPr>
              <w:t xml:space="preserve">Appeals.</w:t>
            </w:r>
            <w:r>
              <w:rPr>
                <w:sz w:val="20"/>
                <w:szCs w:val="20"/>
              </w:rPr>
              <w:t xml:space="preserve"> Authors may appeal an editorial decision by writing to the Editor-in-Chief with a justification; appeals are assessed by an editor not involved in the original decision.</w:t>
            </w:r>
          </w:p>
        </w:tc>
      </w:tr>
    </w:tbl>
    <w:p>
      <w:pPr>
        <w:pStyle w:val="Heading2"/>
        <w:spacing w:after="120" w:before="240"/>
      </w:pPr>
      <w:r>
        <w:t xml:space="preserve">3.3 Özel sayı politikası</w:t>
      </w:r>
    </w:p>
    <w:p>
      <w:pPr>
        <w:spacing w:after="120" w:line="276"/>
      </w:pPr>
      <w:r>
        <w:t xml:space="preserve">Derginin durumuna göre aşağıdaki iki metinden biri seçilmeli ve hakem süreci sayfasına (ayrıca istenirse ayrı bir “Special Issues Policy” sayfasına) eklenmelidir.</w:t>
      </w:r>
    </w:p>
    <w:p>
      <w:pPr>
        <w:pStyle w:val="Heading3"/>
        <w:spacing w:after="100" w:before="200"/>
      </w:pPr>
      <w:r>
        <w:t xml:space="preserve">Seçenek 1: Dergi özel sayı yayımlamıyorsa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SPECIAL ISSUES</w:t>
            </w:r>
          </w:p>
          <w:p>
            <w:pPr>
              <w:spacing w:after="80" w:line="264"/>
            </w:pPr>
            <w:r>
              <w:rPr>
                <w:sz w:val="20"/>
                <w:szCs w:val="20"/>
              </w:rPr>
              <w:t xml:space="preserve">Medical Research Reports does not currently publish special issues or other content curated by guest editors. Should this change, the journal will publish a special issues policy in line with DOAJ criteria before any special issue is announced.</w:t>
            </w:r>
          </w:p>
        </w:tc>
      </w:tr>
    </w:tbl>
    <w:p>
      <w:pPr>
        <w:spacing w:after="120"/>
      </w:pPr>
    </w:p>
    <w:p>
      <w:pPr>
        <w:pStyle w:val="Heading3"/>
        <w:spacing w:after="100" w:before="200"/>
      </w:pPr>
      <w:r>
        <w:t xml:space="preserve">Seçenek 2: Dergi özel sayı yayımlıyorsa (DOAJ’ın beş kriterini karşılayan metin)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SPECIAL ISSUES POLICY</w:t>
            </w:r>
          </w:p>
          <w:p>
            <w:pPr>
              <w:spacing w:after="80" w:line="264"/>
            </w:pPr>
            <w:r>
              <w:rPr>
                <w:sz w:val="20"/>
                <w:szCs w:val="20"/>
              </w:rPr>
              <w:t xml:space="preserve">1. The Editor-in-Chief is responsible for the content of the entire journal, including all special issues. Every special issue must fall within the aims and scope of the journal.</w:t>
            </w:r>
          </w:p>
          <w:p>
            <w:pPr>
              <w:spacing w:after="80" w:line="264"/>
            </w:pPr>
            <w:r>
              <w:rPr>
                <w:sz w:val="20"/>
                <w:szCs w:val="20"/>
              </w:rPr>
              <w:t xml:space="preserve">2. Articles in special issues are subject to the same editorial oversight and the same double-blind external peer review as regular articles, and are clearly labelled as part of the special issue.</w:t>
            </w:r>
          </w:p>
          <w:p>
            <w:pPr>
              <w:spacing w:after="80" w:line="264"/>
            </w:pPr>
            <w:r>
              <w:rPr>
                <w:sz w:val="20"/>
                <w:szCs w:val="20"/>
              </w:rPr>
              <w:t xml:space="preserve">3. Special issue proposals are evaluated by the Editor-in-Chief and the editorial board. The credentials of the proposed guest editors are checked and approved before the issue is announced.</w:t>
            </w:r>
          </w:p>
          <w:p>
            <w:pPr>
              <w:spacing w:after="80" w:line="264"/>
            </w:pPr>
            <w:r>
              <w:rPr>
                <w:sz w:val="20"/>
                <w:szCs w:val="20"/>
              </w:rPr>
              <w:t xml:space="preserve">4. The Editor-in-Chief or a designated editorial board member oversees the guest editors throughout the process and approves all final decisions.</w:t>
            </w:r>
          </w:p>
          <w:p>
            <w:pPr>
              <w:spacing w:after="80" w:line="264"/>
            </w:pPr>
            <w:r>
              <w:rPr>
                <w:sz w:val="20"/>
                <w:szCs w:val="20"/>
              </w:rPr>
              <w:t xml:space="preserve">5. Papers submitted by the guest editor(s) to their own special issue are handled independently by another editor, and such papers make up no more than 25% of the total content of the issue.</w:t>
            </w:r>
          </w:p>
        </w:tc>
      </w:tr>
    </w:tbl>
    <w:p>
      <w:r>
        <w:br w:type="page"/>
      </w:r>
    </w:p>
    <w:p>
      <w:pPr>
        <w:pStyle w:val="Heading1"/>
        <w:spacing w:after="160" w:before="360"/>
      </w:pPr>
      <w:r>
        <w:t xml:space="preserve">4. Standart dışı metrikler ve indeksler</w:t>
      </w:r>
    </w:p>
    <w:p>
      <w:pPr>
        <w:spacing w:after="120" w:line="276"/>
      </w:pPr>
      <w:r>
        <w:t xml:space="preserve">DOAJ, Impact Factor ve benzeri sıralama metriklerini desteklemiyor. Aşağıdaki kuruluşların </w:t>
      </w:r>
      <w:r>
        <w:rPr>
          <w:b/>
          <w:bCs/>
        </w:rPr>
        <w:t xml:space="preserve">adları ve logoları</w:t>
      </w:r>
      <w:r>
        <w:t xml:space="preserve"> sitenin tamamından kaldırılmalıdır. Yalnızca indexes sayfasından kaldırmak yetmez.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Kaldırılacak</w:t>
            </w:r>
          </w:p>
        </w:tc>
        <w:tc>
          <w:tcPr>
            <w:tcW w:type="dxa" w:w="5416"/>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Aranacak yerler</w:t>
            </w:r>
          </w:p>
        </w:tc>
      </w:tr>
      <w:tr>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Index Copernicus (ICV değeri dahil)</w:t>
            </w:r>
          </w:p>
        </w:tc>
        <w:tc>
          <w:tcPr>
            <w:tcW w:type="dxa" w:w="541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Indexes sayfası (dergipark.org.tr/en/pub/mrr/indexes)</w:t>
            </w:r>
          </w:p>
        </w:tc>
      </w:tr>
      <w:tr>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Academic Resource Index (ResearchBib)</w:t>
            </w:r>
          </w:p>
        </w:tc>
        <w:tc>
          <w:tcPr>
            <w:tcW w:type="dxa" w:w="541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Ana sayfa, kenar çubuğu, duyurular</w:t>
            </w:r>
          </w:p>
        </w:tc>
      </w:tr>
      <w:tr>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CiteFactor</w:t>
            </w:r>
          </w:p>
        </w:tc>
        <w:tc>
          <w:tcPr>
            <w:tcW w:type="dxa" w:w="541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Makale PDF’lerinin kapak/başlık sayfaları, sayı kapakları</w:t>
            </w:r>
          </w:p>
        </w:tc>
      </w:tr>
      <w:tr>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Europub</w:t>
            </w:r>
          </w:p>
        </w:tc>
        <w:tc>
          <w:tcPr>
            <w:tcW w:type="dxa" w:w="541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Yazar rehberi, “About/Hakkında” metinleri</w:t>
            </w:r>
          </w:p>
        </w:tc>
      </w:tr>
      <w:tr>
        <w:tc>
          <w:tcPr>
            <w:tcW w:type="dxa" w:w="36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Scientific Indexing Services (SIS)</w:t>
            </w:r>
          </w:p>
        </w:tc>
        <w:tc>
          <w:tcPr>
            <w:tcW w:type="dxa" w:w="541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Başvuru e-posta şablonları, sosyal medya hesapları, tanıtım broşürleri</w:t>
            </w:r>
          </w:p>
        </w:tc>
      </w:tr>
      <w:tr>
        <w:tc>
          <w:tcPr>
            <w:tcW w:type="dxa" w:w="3610"/>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Eurasian Scientific Journal Index (ESJI)</w:t>
            </w:r>
          </w:p>
        </w:tc>
        <w:tc>
          <w:tcPr>
            <w:tcW w:type="dxa" w:w="5416"/>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Sitede “impact factor”, “IF”, “ICV” gibi değerlerin geçtiği her yer</w:t>
            </w:r>
          </w:p>
        </w:tc>
      </w:tr>
    </w:tbl>
    <w:p>
      <w:pPr>
        <w:spacing w:after="120"/>
      </w:pPr>
    </w:p>
    <w:p>
      <w:pPr>
        <w:spacing w:after="120" w:line="276"/>
      </w:pPr>
      <w:r>
        <w:rPr>
          <w:b/>
          <w:bCs/>
        </w:rPr>
        <w:t xml:space="preserve">Nasıl yapılır:</w:t>
      </w:r>
      <w:r>
        <w:t xml:space="preserve"> DergiPark dergi yönetim panelindeki “Indexes/Dizinler” bölümünden ilgili kayıtları silin. Ardından sitede bu adları tek tek arayın (tarayıcıda Ctrl+F). Yalnızca tanınmış indeksleri ve veritabanlarını bırakın; örneğin TR Dizin, Google Scholar, Crossref, EBSCO ve dergi gerçekten dahilse diğer veritabanları. Bu listelerdeki her kaydın doğrulanabilir olması gerekir. Dergi “indexed” olarak gösterildiği hâlde gerçekte indekslenmiyorsa bu da ret sebebidir.</w:t>
      </w:r>
    </w:p>
    <w:p>
      <w:pPr>
        <w:spacing w:after="120" w:line="276"/>
      </w:pPr>
      <w:r>
        <w:t xml:space="preserve">Siteye “Journal metrics” gibi bir bölüm konulacaksa yalnızca derginin kendi verilerini içermelidir: kabul oranı, ortalama karar süresi, yıllık makale sayısı gibi.</w:t>
      </w:r>
    </w:p>
    <w:p>
      <w:r>
        <w:br w:type="page"/>
      </w:r>
    </w:p>
    <w:p>
      <w:pPr>
        <w:pStyle w:val="Heading1"/>
        <w:spacing w:after="160" w:before="360"/>
      </w:pPr>
      <w:r>
        <w:t xml:space="preserve">5. Genel uyum kontrol listesi (diğer DOAJ kriterleri)</w:t>
      </w:r>
    </w:p>
    <w:p>
      <w:pPr>
        <w:spacing w:after="120" w:line="276"/>
      </w:pPr>
      <w:r>
        <w:t xml:space="preserve">Ret e-postası yalnızca üç konuyu belirtiyor. Ancak yeniden başvuru baştan değerlendirilecek ve bu sırada yeni eksikler de bulunabilir. Aşağıdaki maddeleri yeniden başvurudan önce sitede tek tek kontrol edin.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5215"/>
        <w:gridCol w:w="1204"/>
      </w:tblGrid>
      <w:tr>
        <w:trPr>
          <w:tblHeader/>
        </w:trPr>
        <w:tc>
          <w:tcPr>
            <w:tcW w:type="dxa" w:w="2607"/>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Kriter</w:t>
            </w:r>
          </w:p>
        </w:tc>
        <w:tc>
          <w:tcPr>
            <w:tcW w:type="dxa" w:w="5215"/>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Kontrol edilecek</w:t>
            </w:r>
          </w:p>
        </w:tc>
        <w:tc>
          <w:tcPr>
            <w:tcW w:type="dxa" w:w="1204"/>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Durum</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Açık erişim beyanı</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Tüm içeriğin yayımlandığı anda, kayıt ya da ücret gerektirmeden ücretsiz olarak erişilebilir olduğunu belirten açık bir “Open Access Policy” (tercihen BOAI tanımına atıfla).</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Amaç ve kapsam</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“Aims &amp; Scope” sayfası mevcut (tıp ve diş hekimliği). Güncel ve dil politikasıyla uyumlu olmalı.</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 Mevcut</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Yayın kurulu</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Baş editör ve tüm kurul üyeleri ad, unvan ve kurum bilgisiyle listelenmiş. En az 5 kişi önerilir ve üyeler tek bir kurumdan olmamalı.</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İletişim ve yayıncı</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Yayıncının tam adı, posta adresi ve derginin kurumsal iletişim e-postası sitede görünüyor.</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Ücretler (APC)</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Makale işlem/yayın ücreti alınıp alınmadığı açıkça yazılı. Sitede “ücretsiz” yazıyor, ifadeyi Bölüm 1.2’deki gibi netleştirin.</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 Mevcut</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Yayın dili</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Tüm sayfalarda tek bir dil politikası (Bölüm 1.2).</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 Çelişkili</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Yayın etiği</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COPE ilkelerine atıfla yayın etiği politikası; intihal (benzerlik) politikası ve kullanılan yazılım; çıkar çatışması, düzeltme/geri çekme politikası.</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Arşivleme / uzun süreli koruma</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Derginin kullandığı dijital arşivleme hizmeti (DergiPark’ın sağladığı hizmet vb.) belirtilmiş. Başvuruda da aynı bilgi verilmeli.</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Depolama (self-archiving) politikası</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Yazarların hangi sürümü (preprint, kabul edilmiş, yayımlanmış) nereye koyabileceği yazılı. Seçenek A ile uyumlu olmalı.</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Kalıcı tanımlayıcı</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Makalelerde DOI var ve DOI’ler çalışıyor.</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 Mevcut</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Yayın sayısı</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Son yılda en az 5 araştırma makalesi yayımlanmış.</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Makale düzeyi lisans</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Her makale sayfasında ve PDF’inde lisans bilgisi (CC BY-NC 4.0) görünüyor.</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ISSN ve dergi adı</w:t>
            </w:r>
          </w:p>
        </w:tc>
        <w:tc>
          <w:tcPr>
            <w:tcW w:type="dxa" w:w="521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Dergi adı ve ISSN sitede, PDF’lerde ve ISSN portalında aynı.</w:t>
            </w:r>
          </w:p>
        </w:tc>
        <w:tc>
          <w:tcPr>
            <w:tcW w:type="dxa" w:w="12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r>
        <w:tc>
          <w:tcPr>
            <w:tcW w:type="dxa" w:w="26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İki dil tutarlılığı</w:t>
            </w:r>
          </w:p>
        </w:tc>
        <w:tc>
          <w:tcPr>
            <w:tcW w:type="dxa" w:w="521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Türkçe ve İngilizce sayfalardaki politikalar birebir aynı.</w:t>
            </w:r>
          </w:p>
        </w:tc>
        <w:tc>
          <w:tcPr>
            <w:tcW w:type="dxa" w:w="1204"/>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w:t>
            </w:r>
          </w:p>
        </w:tc>
      </w:tr>
    </w:tbl>
    <w:p>
      <w:r>
        <w:br w:type="page"/>
      </w:r>
    </w:p>
    <w:p>
      <w:pPr>
        <w:pStyle w:val="Heading1"/>
        <w:spacing w:after="160" w:before="360"/>
      </w:pPr>
      <w:r>
        <w:t xml:space="preserve">6. Eylem planı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4613"/>
        <w:gridCol w:w="2005"/>
        <w:gridCol w:w="1907"/>
      </w:tblGrid>
      <w:tr>
        <w:trPr>
          <w:tblHeader/>
        </w:trPr>
        <w:tc>
          <w:tcPr>
            <w:tcW w:type="dxa" w:w="501"/>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w:t>
            </w:r>
          </w:p>
        </w:tc>
        <w:tc>
          <w:tcPr>
            <w:tcW w:type="dxa" w:w="4613"/>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İş</w:t>
            </w:r>
          </w:p>
        </w:tc>
        <w:tc>
          <w:tcPr>
            <w:tcW w:type="dxa" w:w="2005"/>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Sorumlu (öneri)</w:t>
            </w:r>
          </w:p>
        </w:tc>
        <w:tc>
          <w:tcPr>
            <w:tcW w:type="dxa" w:w="1907"/>
            <w:tcBorders>
              <w:top w:val="single" w:color="BFBFBF" w:sz="4"/>
              <w:left w:val="single" w:color="BFBFBF" w:sz="4"/>
              <w:bottom w:val="single" w:color="BFBFBF" w:sz="4"/>
              <w:right w:val="single" w:color="BFBFBF" w:sz="4"/>
            </w:tcBorders>
            <w:shd w:fill="1F4E79" w:color="auto" w:val="clear"/>
            <w:tcMar>
              <w:top w:type="dxa" w:w="80"/>
              <w:left w:type="dxa" w:w="100"/>
              <w:bottom w:type="dxa" w:w="80"/>
              <w:right w:type="dxa" w:w="100"/>
            </w:tcMar>
          </w:tcPr>
          <w:p>
            <w:pPr>
              <w:spacing w:after="40"/>
            </w:pPr>
            <w:r>
              <w:rPr>
                <w:b/>
                <w:bCs/>
                <w:color w:val="FFFFFF"/>
              </w:rPr>
              <w:t xml:space="preserve">Öncelik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1</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Yayın kurulu toplantısında telif modeline karar verin (Seçenek A önerilir).</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Baş editör + kurul</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Kritik, önce bu</w:t>
            </w:r>
          </w:p>
        </w:tc>
      </w:tr>
      <w:tr>
        <w:tc>
          <w:tcPr>
            <w:tcW w:type="dxa" w:w="50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2</w:t>
            </w:r>
          </w:p>
        </w:tc>
        <w:tc>
          <w:tcPr>
            <w:tcW w:type="dxa" w:w="4613"/>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Ana sayfa, About, 12771, 12772 ve 12774’e standart telif/lisans metnini koyun; lisans adını düzeltin.</w:t>
            </w:r>
          </w:p>
        </w:tc>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 yöneticisi</w:t>
            </w:r>
          </w:p>
        </w:tc>
        <w:tc>
          <w:tcPr>
            <w:tcW w:type="dxa" w:w="19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Kritik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3</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Telif devir formunu kaldırın; yeni “Author Agreement and License to Publish” formunu DergiPark’a yükleyin.</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Dergi yöneticisi</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Kritik</w:t>
            </w:r>
          </w:p>
        </w:tc>
      </w:tr>
      <w:tr>
        <w:tc>
          <w:tcPr>
            <w:tcW w:type="dxa" w:w="50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4</w:t>
            </w:r>
          </w:p>
        </w:tc>
        <w:tc>
          <w:tcPr>
            <w:tcW w:type="dxa" w:w="4613"/>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DergiPark lisans ayarını ve makale PDF şablonunu güncelleyin.</w:t>
            </w:r>
          </w:p>
        </w:tc>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Dergi yöneticisi / mizanpaj</w:t>
            </w:r>
          </w:p>
        </w:tc>
        <w:tc>
          <w:tcPr>
            <w:tcW w:type="dxa" w:w="19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Kritik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5</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Sayfa 13691’i yeni hakem süreci metniyle güncelleyin.</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Baş editör</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Kritik</w:t>
            </w:r>
          </w:p>
        </w:tc>
      </w:tr>
      <w:tr>
        <w:tc>
          <w:tcPr>
            <w:tcW w:type="dxa" w:w="50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6</w:t>
            </w:r>
          </w:p>
        </w:tc>
        <w:tc>
          <w:tcPr>
            <w:tcW w:type="dxa" w:w="4613"/>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Özel sayı politikasını (Seçenek 1 veya 2) ekleyin.</w:t>
            </w:r>
          </w:p>
        </w:tc>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Baş editör</w:t>
            </w:r>
          </w:p>
        </w:tc>
        <w:tc>
          <w:tcPr>
            <w:tcW w:type="dxa" w:w="19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Kritik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7</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Altı standart dışı metriğin adını ve logosunu sitenin her yerinden kaldırın.</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Dergi yöneticisi</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Zorunlu</w:t>
            </w:r>
          </w:p>
        </w:tc>
      </w:tr>
      <w:tr>
        <w:tc>
          <w:tcPr>
            <w:tcW w:type="dxa" w:w="50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8</w:t>
            </w:r>
          </w:p>
        </w:tc>
        <w:tc>
          <w:tcPr>
            <w:tcW w:type="dxa" w:w="4613"/>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Genel uyum kontrol listesini (Bölüm 5) tamamlayın.</w:t>
            </w:r>
          </w:p>
        </w:tc>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Editör yardımcısı</w:t>
            </w:r>
          </w:p>
        </w:tc>
        <w:tc>
          <w:tcPr>
            <w:tcW w:type="dxa" w:w="19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Yüksek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9</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Türkçe arayüzdeki sayfaları İngilizce ile eşitleyin; yayın dili politikasını tekleştirin.</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Dergi yöneticisi</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Yüksek</w:t>
            </w:r>
          </w:p>
        </w:tc>
      </w:tr>
      <w:tr>
        <w:tc>
          <w:tcPr>
            <w:tcW w:type="dxa" w:w="501"/>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10</w:t>
            </w:r>
          </w:p>
        </w:tc>
        <w:tc>
          <w:tcPr>
            <w:tcW w:type="dxa" w:w="4613"/>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Son kontrol: sitede “exclusive”, “transfer”, “property of the journal”, “don’t change”, “impact factor” ifadelerini arayın.</w:t>
            </w:r>
          </w:p>
        </w:tc>
        <w:tc>
          <w:tcPr>
            <w:tcW w:type="dxa" w:w="2005"/>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İki farklı kişi</w:t>
            </w:r>
          </w:p>
        </w:tc>
        <w:tc>
          <w:tcPr>
            <w:tcW w:type="dxa" w:w="1907"/>
            <w:tcBorders>
              <w:top w:val="single" w:color="BFBFBF" w:sz="4"/>
              <w:left w:val="single" w:color="BFBFBF" w:sz="4"/>
              <w:bottom w:val="single" w:color="BFBFBF" w:sz="4"/>
              <w:right w:val="single" w:color="BFBFBF" w:sz="4"/>
            </w:tcBorders>
            <w:shd w:fill="F2F6FA" w:color="auto" w:val="clear"/>
            <w:tcMar>
              <w:top w:type="dxa" w:w="80"/>
              <w:left w:type="dxa" w:w="100"/>
              <w:bottom w:type="dxa" w:w="80"/>
              <w:right w:type="dxa" w:w="100"/>
            </w:tcMar>
          </w:tcPr>
          <w:p>
            <w:pPr>
              <w:spacing w:after="40"/>
            </w:pPr>
            <w:r>
              <w:t xml:space="preserve">Yüksek</w:t>
            </w:r>
          </w:p>
        </w:tc>
      </w:tr>
      <w:tr>
        <w:tc>
          <w:tcPr>
            <w:tcW w:type="dxa" w:w="501"/>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11</w:t>
            </w:r>
          </w:p>
        </w:tc>
        <w:tc>
          <w:tcPr>
            <w:tcW w:type="dxa" w:w="46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Bekleme süresi dolunca ön yazıyla yeniden başvurun (Bölüm 7).</w:t>
            </w:r>
          </w:p>
        </w:tc>
        <w:tc>
          <w:tcPr>
            <w:tcW w:type="dxa" w:w="20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Baş editör</w:t>
            </w:r>
          </w:p>
        </w:tc>
        <w:tc>
          <w:tcPr>
            <w:tcW w:type="dxa" w:w="1907"/>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t xml:space="preserve">—</w:t>
            </w:r>
          </w:p>
        </w:tc>
      </w:tr>
    </w:tbl>
    <w:p>
      <w:pPr>
        <w:pStyle w:val="Heading1"/>
        <w:spacing w:after="160" w:before="360"/>
      </w:pPr>
      <w:r>
        <w:t xml:space="preserve">7. Yeniden başvuru</w:t>
      </w:r>
    </w:p>
    <w:p>
      <w:pPr>
        <w:pStyle w:val="ListParagraph"/>
        <w:numPr>
          <w:ilvl w:val="0"/>
          <w:numId w:val="2"/>
        </w:numPr>
        <w:spacing w:after="80" w:line="276"/>
      </w:pPr>
      <w:r>
        <w:rPr>
          <w:b/>
          <w:bCs/>
        </w:rPr>
        <w:t xml:space="preserve">Bekleme süresi:</w:t>
      </w:r>
      <w:r>
        <w:t xml:space="preserve"> DOAJ reddedilen dergilerin yeniden başvurusu için genellikle ret tarihinden itibaren </w:t>
      </w:r>
      <w:r>
        <w:rPr>
          <w:b/>
          <w:bCs/>
        </w:rPr>
        <w:t xml:space="preserve">6 ay</w:t>
      </w:r>
      <w:r>
        <w:t xml:space="preserve"> bekleme süresi uygular. Ret e-postasının tamamında farklı bir süre yazıyorsa o süre geçerlidir. Bu süreyi değişiklikleri yapmak ve siteyi bir süre yeni hâliyle yayında tutmak için kullanın.</w:t>
      </w:r>
    </w:p>
    <w:p>
      <w:pPr>
        <w:pStyle w:val="ListParagraph"/>
        <w:numPr>
          <w:ilvl w:val="0"/>
          <w:numId w:val="2"/>
        </w:numPr>
        <w:spacing w:after="80" w:line="276"/>
      </w:pPr>
      <w:r>
        <w:rPr>
          <w:b/>
          <w:bCs/>
        </w:rPr>
        <w:t xml:space="preserve">Başvuru formu:</w:t>
      </w:r>
      <w:r>
        <w:t xml:space="preserve"> Formdaki telif, lisans, hakem süreci ve APC yanıtları sitedeki yeni metinlerle </w:t>
      </w:r>
      <w:r>
        <w:rPr>
          <w:b/>
          <w:bCs/>
        </w:rPr>
        <w:t xml:space="preserve">birebir</w:t>
      </w:r>
      <w:r>
        <w:t xml:space="preserve"> aynı olmalı. Her yanıtın yanına ilgili sayfanın doğrudan bağlantısını verin.</w:t>
      </w:r>
    </w:p>
    <w:p>
      <w:pPr>
        <w:pStyle w:val="ListParagraph"/>
        <w:numPr>
          <w:ilvl w:val="0"/>
          <w:numId w:val="2"/>
        </w:numPr>
        <w:spacing w:after="80" w:line="276"/>
      </w:pPr>
      <w:r>
        <w:rPr>
          <w:b/>
          <w:bCs/>
        </w:rPr>
        <w:t xml:space="preserve">Ön yazı:</w:t>
      </w:r>
      <w:r>
        <w:t xml:space="preserve"> DOAJ’ın önceki ret gerekçelerini madde madde sıralayıp her biri için ne yapıldığını ve bağlantısını yazan kısa bir açıklama ekleyin. Aşağıda bir taslak var.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9D5" w:sz="4"/>
              <w:left w:val="single" w:color="1F4E79" w:sz="24"/>
              <w:bottom w:val="single" w:color="9DB9D5" w:sz="4"/>
              <w:right w:val="single" w:color="9DB9D5" w:sz="4"/>
            </w:tcBorders>
            <w:shd w:fill="EEF3F8" w:color="auto" w:val="clear"/>
            <w:tcMar>
              <w:top w:type="dxa" w:w="120"/>
              <w:left w:type="dxa" w:w="200"/>
              <w:bottom w:type="dxa" w:w="120"/>
              <w:right w:type="dxa" w:w="200"/>
            </w:tcMar>
          </w:tcPr>
          <w:p>
            <w:pPr>
              <w:spacing w:after="100"/>
            </w:pPr>
            <w:r>
              <w:rPr>
                <w:b/>
                <w:bCs/>
                <w:color w:val="1F4E79"/>
              </w:rPr>
              <w:t xml:space="preserve">Ön yazı taslağı (başvurudaki not alanı veya e-posta için)</w:t>
            </w:r>
          </w:p>
          <w:p>
            <w:pPr>
              <w:spacing w:after="80" w:line="264"/>
            </w:pPr>
            <w:r>
              <w:rPr>
                <w:sz w:val="20"/>
                <w:szCs w:val="20"/>
              </w:rPr>
              <w:t xml:space="preserve">Dear DOAJ Editorial Team,</w:t>
            </w:r>
          </w:p>
          <w:p>
            <w:pPr>
              <w:spacing w:after="80" w:line="264"/>
            </w:pPr>
            <w:r>
              <w:rPr>
                <w:sz w:val="20"/>
                <w:szCs w:val="20"/>
              </w:rPr>
              <w:t xml:space="preserve">Following your previous decision on our application for Medical Research Reports (ISSN: [____]), we have revised our policies as follows:</w:t>
            </w:r>
          </w:p>
          <w:p>
            <w:pPr>
              <w:spacing w:after="80" w:line="264"/>
            </w:pPr>
            <w:r>
              <w:rPr>
                <w:b/>
                <w:bCs/>
                <w:sz w:val="20"/>
                <w:szCs w:val="20"/>
              </w:rPr>
              <w:t xml:space="preserve">1. Copyright:</w:t>
            </w:r>
            <w:r>
              <w:rPr>
                <w:sz w:val="20"/>
                <w:szCs w:val="20"/>
              </w:rPr>
              <w:t xml:space="preserve"> Authors now retain copyright without restrictions and grant the journal a non-exclusive license to publish. All articles are published under CC BY-NC 4.0. The same wording is used on every page that mentions copyright ([links]). The former Copyright Transfer Form has been replaced by an Author Agreement and License to Publish ([link]).</w:t>
            </w:r>
          </w:p>
          <w:p>
            <w:pPr>
              <w:spacing w:after="80" w:line="264"/>
            </w:pPr>
            <w:r>
              <w:rPr>
                <w:b/>
                <w:bCs/>
                <w:sz w:val="20"/>
                <w:szCs w:val="20"/>
              </w:rPr>
              <w:t xml:space="preserve">2. Peer review:</w:t>
            </w:r>
            <w:r>
              <w:rPr>
                <w:sz w:val="20"/>
                <w:szCs w:val="20"/>
              </w:rPr>
              <w:t xml:space="preserve"> Our peer review page ([link]) now states that we use double-blind review by at least two external reviewers who are not members of the editorial board, and includes our special issues policy.</w:t>
            </w:r>
          </w:p>
          <w:p>
            <w:pPr>
              <w:spacing w:after="80" w:line="264"/>
            </w:pPr>
            <w:r>
              <w:rPr>
                <w:b/>
                <w:bCs/>
                <w:sz w:val="20"/>
                <w:szCs w:val="20"/>
              </w:rPr>
              <w:t xml:space="preserve">3. Non-standard metrics:</w:t>
            </w:r>
            <w:r>
              <w:rPr>
                <w:sz w:val="20"/>
                <w:szCs w:val="20"/>
              </w:rPr>
              <w:t xml:space="preserve"> All references to Index Copernicus, ResearchBib, CiteFactor, Europub, Scientific Indexing Services and ESJI, including names and logos, have been removed from the website.</w:t>
            </w:r>
          </w:p>
          <w:p>
            <w:pPr>
              <w:spacing w:after="80" w:line="264"/>
            </w:pPr>
            <w:r>
              <w:rPr>
                <w:sz w:val="20"/>
                <w:szCs w:val="20"/>
              </w:rPr>
              <w:t xml:space="preserve">We also note that the previous decision letter referred to “Journal of European Internal Medicine Professionals (ISSN: 2980-0617)”; our journal is Medical Research Reports.</w:t>
            </w:r>
          </w:p>
          <w:p>
            <w:pPr>
              <w:spacing w:after="80" w:line="264"/>
            </w:pPr>
            <w:r>
              <w:rPr>
                <w:sz w:val="20"/>
                <w:szCs w:val="20"/>
              </w:rPr>
              <w:t xml:space="preserve">Kind regards, [Name], Editor-in-Chief</w:t>
            </w:r>
          </w:p>
        </w:tc>
      </w:tr>
    </w:tbl>
    <w:p>
      <w:pPr>
        <w:pStyle w:val="Heading1"/>
        <w:spacing w:after="160" w:before="360"/>
      </w:pPr>
      <w:r>
        <w:t xml:space="preserve">8. Kaynaklar</w:t>
      </w:r>
    </w:p>
    <w:p>
      <w:pPr>
        <w:pStyle w:val="ListParagraph"/>
        <w:numPr>
          <w:ilvl w:val="0"/>
          <w:numId w:val="2"/>
        </w:numPr>
        <w:spacing w:after="80" w:line="276"/>
      </w:pPr>
      <w:r>
        <w:t xml:space="preserve">DOAJ ret e-postası (dergiye iletilen metin)</w:t>
      </w:r>
    </w:p>
    <w:p>
      <w:pPr>
        <w:pStyle w:val="ListParagraph"/>
        <w:numPr>
          <w:ilvl w:val="0"/>
          <w:numId w:val="2"/>
        </w:numPr>
        <w:spacing w:after="80" w:line="276"/>
      </w:pPr>
      <w:r>
        <w:t xml:space="preserve">DOAJ – Guide to applying: https://doaj.org/apply/guide/</w:t>
      </w:r>
    </w:p>
    <w:p>
      <w:pPr>
        <w:pStyle w:val="ListParagraph"/>
        <w:numPr>
          <w:ilvl w:val="0"/>
          <w:numId w:val="2"/>
        </w:numPr>
        <w:spacing w:after="80" w:line="276"/>
      </w:pPr>
      <w:r>
        <w:t xml:space="preserve">Medical Research Reports – Home: https://dergipark.org.tr/en/pub/mrr</w:t>
      </w:r>
    </w:p>
    <w:p>
      <w:pPr>
        <w:pStyle w:val="ListParagraph"/>
        <w:numPr>
          <w:ilvl w:val="0"/>
          <w:numId w:val="2"/>
        </w:numPr>
        <w:spacing w:after="80" w:line="276"/>
      </w:pPr>
      <w:r>
        <w:t xml:space="preserve">Medical Research Reports – About: https://dergipark.org.tr/en/pub/mrr/about-journal</w:t>
      </w:r>
    </w:p>
    <w:p>
      <w:pPr>
        <w:pStyle w:val="ListParagraph"/>
        <w:numPr>
          <w:ilvl w:val="0"/>
          <w:numId w:val="2"/>
        </w:numPr>
        <w:spacing w:after="80" w:line="276"/>
      </w:pPr>
      <w:r>
        <w:t xml:space="preserve">Medical Research Reports – Aim &amp; Scope: https://dergipark.org.tr/en/pub/mrr/aim-and-scope</w:t>
      </w:r>
    </w:p>
    <w:p>
      <w:pPr>
        <w:pStyle w:val="ListParagraph"/>
        <w:numPr>
          <w:ilvl w:val="0"/>
          <w:numId w:val="2"/>
        </w:numPr>
        <w:spacing w:after="80" w:line="276"/>
      </w:pPr>
      <w:r>
        <w:t xml:space="preserve">Medical Research Reports – Author Guidelines: https://dergipark.org.tr/en/pub/mrr/writing-rules</w:t>
      </w:r>
    </w:p>
    <w:p>
      <w:pPr>
        <w:pStyle w:val="ListParagraph"/>
        <w:numPr>
          <w:ilvl w:val="0"/>
          <w:numId w:val="2"/>
        </w:numPr>
        <w:spacing w:after="80" w:line="276"/>
      </w:pPr>
      <w:r>
        <w:t xml:space="preserve">Medical Research Reports – Journal Boards: https://dergipark.org.tr/en/pub/mrr/board</w:t>
      </w:r>
    </w:p>
    <w:p>
      <w:pPr>
        <w:pStyle w:val="ListParagraph"/>
        <w:numPr>
          <w:ilvl w:val="0"/>
          <w:numId w:val="2"/>
        </w:numPr>
        <w:spacing w:after="80" w:line="276"/>
      </w:pPr>
      <w:r>
        <w:t xml:space="preserve">Medical Research Reports – Indexes: https://dergipark.org.tr/en/pub/mrr/indexes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MRR – DOAJ Düzeltme Raporu   |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DOAJ Ret Kararı Analizi ve Düzeltme Raporu</dc:title>
  <dc:creator>Medical Research Reports</dc:creator>
  <cp:lastModifiedBy>Un-named</cp:lastModifiedBy>
  <cp:revision>1</cp:revision>
  <dcterms:created xsi:type="dcterms:W3CDTF">2026-09-28T07:02:46.059Z</dcterms:created>
  <dcterms:modified xsi:type="dcterms:W3CDTF">2026-09-28T07:02:46.083Z</dcterms:modified>
</cp:coreProperties>
</file>

<file path=docProps/custom.xml><?xml version="1.0" encoding="utf-8"?>
<Properties xmlns="http://schemas.openxmlformats.org/officeDocument/2006/custom-properties" xmlns:vt="http://schemas.openxmlformats.org/officeDocument/2006/docPropsVTypes"/>
</file>