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Somali’de</w:t>
      </w:r>
      <w:r>
        <w:t xml:space="preserve"> </w:t>
      </w:r>
      <w:r>
        <w:t xml:space="preserve">Yaşayan</w:t>
      </w:r>
      <w:r>
        <w:t xml:space="preserve"> </w:t>
      </w:r>
      <w:r>
        <w:t xml:space="preserve">Kadın</w:t>
      </w:r>
      <w:r>
        <w:t xml:space="preserve"> </w:t>
      </w:r>
      <w:r>
        <w:t xml:space="preserve">ve</w:t>
      </w:r>
      <w:r>
        <w:t xml:space="preserve"> </w:t>
      </w:r>
      <w:r>
        <w:t xml:space="preserve">Erkeklerde</w:t>
      </w:r>
      <w:r>
        <w:t xml:space="preserve"> </w:t>
      </w:r>
      <w:r>
        <w:t xml:space="preserve">Kadın</w:t>
      </w:r>
      <w:r>
        <w:t xml:space="preserve"> </w:t>
      </w:r>
      <w:r>
        <w:t xml:space="preserve">Sünnetine</w:t>
      </w:r>
      <w:r>
        <w:t xml:space="preserve"> </w:t>
      </w:r>
      <w:r>
        <w:t xml:space="preserve">Yönelik</w:t>
      </w:r>
      <w:r>
        <w:t xml:space="preserve"> </w:t>
      </w:r>
      <w:r>
        <w:t xml:space="preserve">Sağlığın</w:t>
      </w:r>
      <w:r>
        <w:t xml:space="preserve"> </w:t>
      </w:r>
      <w:r>
        <w:t xml:space="preserve">Geliştirilmesi:</w:t>
      </w:r>
      <w:r>
        <w:t xml:space="preserve"> </w:t>
      </w:r>
      <w:r>
        <w:t xml:space="preserve">Garowe</w:t>
      </w:r>
      <w:r>
        <w:t xml:space="preserve"> </w:t>
      </w:r>
      <w:r>
        <w:t xml:space="preserve">Yerinden</w:t>
      </w:r>
      <w:r>
        <w:t xml:space="preserve"> </w:t>
      </w:r>
      <w:r>
        <w:t xml:space="preserve">Edilmiş</w:t>
      </w:r>
      <w:r>
        <w:t xml:space="preserve"> </w:t>
      </w:r>
      <w:r>
        <w:t xml:space="preserve">Kişiler</w:t>
      </w:r>
      <w:r>
        <w:t xml:space="preserve"> </w:t>
      </w:r>
      <w:r>
        <w:t xml:space="preserve">Kamplarında</w:t>
      </w:r>
      <w:r>
        <w:t xml:space="preserve"> </w:t>
      </w:r>
      <w:r>
        <w:t xml:space="preserve">Bir</w:t>
      </w:r>
      <w:r>
        <w:t xml:space="preserve"> </w:t>
      </w:r>
      <w:r>
        <w:t xml:space="preserve">Müdahale</w:t>
      </w:r>
      <w:r>
        <w:t xml:space="preserve"> </w:t>
      </w:r>
      <w:r>
        <w:t xml:space="preserve">Çalışması</w:t>
      </w:r>
    </w:p>
    <w:p>
      <w:pPr>
        <w:pStyle w:val="FirstParagraph"/>
      </w:pPr>
      <w:r>
        <w:rPr>
          <w:bCs/>
          <w:b/>
        </w:rPr>
        <w:t xml:space="preserve">Fatma Warsame</w:t>
      </w:r>
      <w:r>
        <w:t xml:space="preserve">¹,</w:t>
      </w:r>
      <w:r>
        <w:t xml:space="preserve"> </w:t>
      </w:r>
      <w:r>
        <w:rPr>
          <w:bCs/>
          <w:b/>
        </w:rPr>
        <w:t xml:space="preserve">Egemen Ünal</w:t>
      </w:r>
      <w:r>
        <w:t xml:space="preserve">¹</w:t>
      </w:r>
    </w:p>
    <w:p>
      <w:pPr>
        <w:pStyle w:val="BodyText"/>
      </w:pPr>
      <w:r>
        <w:t xml:space="preserve">¹ Ankara Yıldırım Beyazıt Üniversitesi, Halk Sağlığı Enstitüsü, Sağlık Politikaları ve Küresel Sağlık Programı, Ankara, Türkiye</w:t>
      </w:r>
    </w:p>
    <w:p>
      <w:pPr>
        <w:pStyle w:val="BodyText"/>
      </w:pPr>
      <w:r>
        <w:rPr>
          <w:iCs/>
          <w:i/>
        </w:rPr>
        <w:t xml:space="preserve">Bu makale, Fatma Warsame’nin Egemen Ünal danışmanlığında 2025 yılında Ankara Yıldırım Beyazıt Üniversitesi Halk Sağlığı Enstitüsü’nde tamamladığı</w:t>
      </w:r>
      <w:r>
        <w:rPr>
          <w:iCs/>
          <w:i/>
        </w:rPr>
        <w:t xml:space="preserve"> </w:t>
      </w:r>
      <w:r>
        <w:rPr>
          <w:iCs/>
          <w:i/>
        </w:rPr>
        <w:t xml:space="preserve">“</w:t>
      </w:r>
      <w:r>
        <w:rPr>
          <w:iCs/>
          <w:i/>
        </w:rPr>
        <w:t xml:space="preserve">Somali’de Yaşayan Kadın ve Erkeklerde Kadın Sünnetine Yönelik Sağlığın Geliştirilmesi: Bir Müdahale Çalışması</w:t>
      </w:r>
      <w:r>
        <w:rPr>
          <w:iCs/>
          <w:i/>
        </w:rPr>
        <w:t xml:space="preserve">”</w:t>
      </w:r>
      <w:r>
        <w:rPr>
          <w:iCs/>
          <w:i/>
        </w:rPr>
        <w:t xml:space="preserve"> </w:t>
      </w:r>
      <w:r>
        <w:rPr>
          <w:iCs/>
          <w:i/>
        </w:rPr>
        <w:t xml:space="preserve">başlıklı yüksek lisans tezinden üretilmiştir.</w:t>
      </w:r>
    </w:p>
    <w:bookmarkStart w:id="20" w:name="özet"/>
    <w:p>
      <w:pPr>
        <w:pStyle w:val="Heading1"/>
      </w:pPr>
      <w:r>
        <w:t xml:space="preserve">Özet</w:t>
      </w:r>
    </w:p>
    <w:p>
      <w:pPr>
        <w:pStyle w:val="FirstParagraph"/>
      </w:pPr>
      <w:r>
        <w:rPr>
          <w:bCs/>
          <w:b/>
        </w:rPr>
        <w:t xml:space="preserve">Arka plan:</w:t>
      </w:r>
      <w:r>
        <w:t xml:space="preserve"> </w:t>
      </w:r>
      <w:r>
        <w:t xml:space="preserve">Kadın sünneti (FGM), özellikle eğitim olanaklarının sınırlı olduğu, kültürel inançların ve toplumsal baskıların güçlü olduğu Somali’de, yerinden edilmiş kişiler arasında yaygın ve derinlemesine kökleşmiş bir uygulama olmaya devam etmektedir. FGM’yi ortadan kaldırmaya yönelik küresel ve ulusal çabalara rağmen, insani yardım ortamlarında sağlık eğitimi müdahalelerinin etkisini değerlendiren çalışma sayısı oldukça sınırlıdır.</w:t>
      </w:r>
    </w:p>
    <w:p>
      <w:pPr>
        <w:pStyle w:val="BodyText"/>
      </w:pPr>
      <w:r>
        <w:rPr>
          <w:bCs/>
          <w:b/>
        </w:rPr>
        <w:t xml:space="preserve">Amaç:</w:t>
      </w:r>
      <w:r>
        <w:t xml:space="preserve"> </w:t>
      </w:r>
      <w:r>
        <w:t xml:space="preserve">Bu çalışma, Somali’nin Garowe kentindeki yerinden edilmiş kişiler kamplarında yaşayan bireylerin FGM’ye ilişkin bilgi, tutum ve uygulamalarını değerlendirmeyi ve verilen sağlık eğitimi oturumunun katılımcıların FGM ile ilgili algı ve tutumlarına etkisini ölçmeyi amaçlamaktadır.</w:t>
      </w:r>
    </w:p>
    <w:p>
      <w:pPr>
        <w:pStyle w:val="BodyText"/>
      </w:pPr>
      <w:r>
        <w:rPr>
          <w:bCs/>
          <w:b/>
        </w:rPr>
        <w:t xml:space="preserve">Yöntem:</w:t>
      </w:r>
      <w:r>
        <w:t xml:space="preserve"> </w:t>
      </w:r>
      <w:r>
        <w:t xml:space="preserve">Garowe’deki yerinden edilmiş kişiler kamplarında yaşayan 363 kadın ve erkek katılımcıyla, müdahale öncesi ve sonrası tasarıma sahip bir çalışma yürütülmüştür. Katılımcılar kartopu örnekleme yöntemiyle seçilmiştir. Müdahaleden önce ve FGM konulu sağlık eğitimi oturumundan sonra yapılandırılmış bir anket uygulanmıştır. Veriler tanımlayıcı istatistikler, ki-kare, Kruskal-Wallis ve McNemar testleri kullanılarak analiz edilmiştir.</w:t>
      </w:r>
    </w:p>
    <w:p>
      <w:pPr>
        <w:pStyle w:val="BodyText"/>
      </w:pPr>
      <w:r>
        <w:rPr>
          <w:bCs/>
          <w:b/>
        </w:rPr>
        <w:t xml:space="preserve">Bulgular:</w:t>
      </w:r>
      <w:r>
        <w:t xml:space="preserve"> </w:t>
      </w:r>
      <w:r>
        <w:t xml:space="preserve">Başlangıçta katılımcıların tamamı FGM’nin varlığından haberdardı; ancak yalnızca %44,9’u bunu zararlı olarak değerlendirdi ve %70,2’si Sünni tipin gelecekte de sürmesini destekledi. Eğitim ve meslek durumu FGM’ye yönelik tutumlarla anlamlı şekilde ilişkiliydi (p&lt;0,001). Müdahale sonrasında FGM’nin enfeksiyonlara yol açtığını bilenlerin oranı %49’dan %85’e, doğum komplikasyonlarına ilişkin farkındalık ise %40’tan %81’e yükseldi (p&lt;0,001). Kız çocuklarını sünnet ettirme isteği %42’den %19’a düştü. Katılımcıların %75,6’sı tutumlarının değiştiğini, %70,7’si ise FGM hakkında konuşma konusunda daha fazla özgüven kazandığını bildirdi.</w:t>
      </w:r>
    </w:p>
    <w:p>
      <w:pPr>
        <w:pStyle w:val="BodyText"/>
      </w:pPr>
      <w:r>
        <w:rPr>
          <w:bCs/>
          <w:b/>
        </w:rPr>
        <w:t xml:space="preserve">Sonuç:</w:t>
      </w:r>
      <w:r>
        <w:t xml:space="preserve"> </w:t>
      </w:r>
      <w:r>
        <w:t xml:space="preserve">Bulgular, kısa ve hedefe yönelik sağlık eğitiminin, kaynakların sınırlı olduğu ve kültürel olarak muhafazakâr ortamlarda bile FGM’ye ilişkin bilgi düzeyini artırabileceğini ve tutumları olumlu yönde değiştirebileceğini göstermektedir. Somali’deki halk sağlığı programları, kadın ve erkeklerin katılımını sağlayan, din adamlarını sürece dâhil eden ve FGM’yi sürdüren sosyokültürel etkenleri ele alan eğitim müdahalelerini içermelidir.</w:t>
      </w:r>
    </w:p>
    <w:p>
      <w:pPr>
        <w:pStyle w:val="BodyText"/>
      </w:pPr>
      <w:r>
        <w:rPr>
          <w:bCs/>
          <w:b/>
        </w:rPr>
        <w:t xml:space="preserve">Anahtar kelimeler:</w:t>
      </w:r>
      <w:r>
        <w:t xml:space="preserve"> </w:t>
      </w:r>
      <w:r>
        <w:t xml:space="preserve">FGM, Somali, yerinden edilmiş kişiler kampları, sağlık eğitimi, davranış değişikliği, toplumsal cinsiyet</w:t>
      </w:r>
    </w:p>
    <w:bookmarkEnd w:id="20"/>
    <w:bookmarkStart w:id="21" w:name="giriş"/>
    <w:p>
      <w:pPr>
        <w:pStyle w:val="Heading1"/>
      </w:pPr>
      <w:r>
        <w:t xml:space="preserve">Giriş</w:t>
      </w:r>
    </w:p>
    <w:p>
      <w:pPr>
        <w:pStyle w:val="FirstParagraph"/>
      </w:pPr>
      <w:r>
        <w:t xml:space="preserve">Kadın sünneti (FGM), onu uygulayan toplulukların kültürel, sosyal, geleneksel ve dinsel inançlarına gömülü, derin kökleri olan bir uygulamadır. Uygulama en çok Afrika’da, Orta Doğu’da ve Asya’nın bazı bölgelerinde görülmektedir. Dünya Sağlık Örgütü (DSÖ), tıbbi olmayan nedenlerle dış kadın genital organlarının kısmen ya da tamamen çıkarılmasını veya kadın genital organlarına verilen diğer zararları kapsayan tüm işlemleri FGM olarak tanımlamakta ve dört tipe ayırmaktadır (World Health Organization [WHO], t.y.). Dünya genelinde 200 milyondan fazla kadın ve kız çocuğu FGM’ye maruz kalmıştır ve Somali %98 ile en yüksek yaygınlığa sahip ülkeler arasındadır (UNICEF, t.y.). Uluslararası toplum FGM’ye son vermek için önemli çaba harcamış olsa da uygulama Somali’de, özellikle yerinden edilmiş kişiler (YEK) gibi kırılgan topluluklarda yaygınlığını korumaktadır (International Organization for Migration [IOM], t.y.).</w:t>
      </w:r>
    </w:p>
    <w:p>
      <w:pPr>
        <w:pStyle w:val="BodyText"/>
      </w:pPr>
      <w:r>
        <w:t xml:space="preserve">Somali’de FGM; evlenebilirlik, iffet ve saflık inançlarıyla ilişkilendirilmektedir (UNFPA Somalia, t.y.). Bu nedenle uygulama, yerinden edilmiş topluluklarda bile toplumsal baskı, dışlanma korkusu ve zararları konusundaki farkındalık eksikliği nedeniyle sürmektedir (El-Gibaly vd., 2019). Kırsal bölgelerdeki kadınlar bu uygulamaya kentlerdekilere göre biraz daha fazla maruz kalmakta, göçebe kadınlar ise özellikle etkilenmektedir (El-Dirani vd., 2022). Somali’de en sık görülen tip, Tip 3 FGM’ye (infibülasyon) karşılık gelen firavunik tiptir. 2020 Somali Demografik ve Sağlık Araştırması’na göre Somalili kadınların yaklaşık %64’ü bu tipe maruz kalmıştır (Farih vd., 2025).</w:t>
      </w:r>
    </w:p>
    <w:p>
      <w:pPr>
        <w:pStyle w:val="BodyText"/>
      </w:pPr>
      <w:r>
        <w:t xml:space="preserve">FGM’nin tüm biçimleri artmış tıbbi komplikasyon riskiyle ilişkilidir ve bu risk Tip 3 gibi daha ağır biçimlerde yükselmektedir. Kısa vadeli sonuçlar arasında şiddetli ağrı, aşırı kanama, genital şişlik, ateş, tetanos gibi enfeksiyonlar, idrar yapmada güçlük, yaranın geç iyileşmesi ve hatta ölüm yer alabilir. Uzun vadede FGM; kronik idrar yolu enfeksiyonlarına, adet güçlüklerine, skar dokusu ya da keloid oluşumuna, ağrı ve doyum azalması dâhil cinsel sorunlara ve sezaryen gereksinimi, hatta yenidoğan ölümü gibi ciddi obstetrik komplikasyonlara yol açabilir (Reisel ve Creighton, 2015). Genitoüriner enfeksiyonlar, apse oluşumu, septisemi ve hatta HIV enfeksiyonu FGM ile, özellikle de en ağır komplikasyonlarla ilişkili olan Tip III ile ilişkilendirilmiştir (Iavazzo vd., 2013). Uygulama ayrıca disparoni, perine yırtıkları ve uzamış doğum eylemine de neden olabilir (Lurie vd., 2020).</w:t>
      </w:r>
    </w:p>
    <w:p>
      <w:pPr>
        <w:pStyle w:val="BodyText"/>
      </w:pPr>
      <w:r>
        <w:t xml:space="preserve">FGM’nin tüm biçimlerinin sağlık riski taşıdığı konusunda açık bir küresel uzlaşı bulunmasına karşın, başta Somali olmak üzere pek çok topluluk Sünni tip gibi bazı biçimleri zararsız ya da tıbben kabul edilebilir saymaktadır (Obianwu vd., 2018). Somali, Sudan ve Afrika Boynuzu’nun diğer bölgelerindeki pek çok toplulukta FGM yerel olarak iki biçimde sınıflandırılmaktadır:</w:t>
      </w:r>
      <w:r>
        <w:t xml:space="preserve"> </w:t>
      </w:r>
      <w:r>
        <w:t xml:space="preserve">“</w:t>
      </w:r>
      <w:r>
        <w:t xml:space="preserve">firavunik</w:t>
      </w:r>
      <w:r>
        <w:t xml:space="preserve">”</w:t>
      </w:r>
      <w:r>
        <w:t xml:space="preserve"> </w:t>
      </w:r>
      <w:r>
        <w:t xml:space="preserve">(Tip III ya da infibülasyon) ve genellikle klitorisin ve/veya prepusyumun kısmen ya da tamamen çıkarılmasını içeren daha hafif bir biçim olan</w:t>
      </w:r>
      <w:r>
        <w:t xml:space="preserve"> </w:t>
      </w:r>
      <w:r>
        <w:t xml:space="preserve">“</w:t>
      </w:r>
      <w:r>
        <w:t xml:space="preserve">Sünni</w:t>
      </w:r>
      <w:r>
        <w:t xml:space="preserve">”</w:t>
      </w:r>
      <w:r>
        <w:t xml:space="preserve"> </w:t>
      </w:r>
      <w:r>
        <w:t xml:space="preserve">tip. Her ikisi de tıbben gereksiz ve zararlı olduğu hâlde, FGM’nin sağlık ve hukuki sonuçlarına ilişkin farkındalığı artan topluluklarda Sünni tip giderek daha kabul edilebilir görülmektedir (Johansen, 2022). FGM’nin sağlık çalışanlarınca yapılması anlamına gelen tıbbileştirme eğilimi, uygulamaya ilişkin sahte bir güvenlik duygusu yaratmakta; FGM’yi tıbbi ortamda meşrulaştırıp algılanan zararı azaltarak sağlık eğitimi kampanyalarını zayıflatmaktadır (Leye vd., 2019). Mogadişu’daki Banadir Hastanesi’nde 144 kadın hekim ve hemşire ile yapılan bir çalışma bu inançların ne kadar derin olduğunu göstermiştir: katılımcıların yaklaşık %60’ı FGM’ye maruz kalmıştı ve çoğu uygulamayı zararlı bulup tıbbileştirilmesine karşı çıkmasına rağmen %76’sı FGM’nin zinaya karşı koruduğuna inanıyordu (Mehriban vd., 2023).</w:t>
      </w:r>
    </w:p>
    <w:p>
      <w:pPr>
        <w:pStyle w:val="BodyText"/>
      </w:pPr>
      <w:r>
        <w:t xml:space="preserve">FGM, hiçbir din tarafından emredilmemesine karşın çoğu zaman yanlışlıkla dinî bir yükümlülükle ilişkilendirilmektedir. Din adamları toplumsal normların biçimlenmesinde önemli bir rol oynamakta ve İslami öğretilerin yorumlanış biçimi toplulukların uygulamayı sürdürüp sürdürmeyeceğini önemli ölçüde etkilemektedir (Abdi ve Askew, 2009). Erkeklerin de bu süreçte rolü vardır. On beş Afrika ülkesini kapsayan 2015 tarihli bir sistematik derleme, pek çok erkeğin fiziksel ve psikoseksüel sonuçları nedeniyle FGM’nin sona ermesini istediğini; ancak toplumsal yükümlülüklerin ve cinsellik üzerine iletişim engellerinin başlıca engeller olduğunu ortaya koymuştur. Aynı derlemede eğitim, erkeklerin uygulamanın terk edilmesini desteklemesini etkileyen en önemli etken olarak belirlenmiştir (Varol vd., 2015). Somali ve Harari toplulukları arasında yapılan bir araştırma, evlenebilirliğin FGM’nin başlıca nedenlerinden biri olduğunu ve Somalili erkeklerin sıklıkla sünnetli kadınlarla evlenmeyi tercih ettiğini göstermiştir. Aynı araştırma kuşaklar arası bir değişimi de belgelemektedir: daha genç, özellikle daha eğitimli ya da FGM karşıtı mesajlarla karşılaşmış Somalili erkekler uygulamayı giderek daha fazla reddetmektedir (Abathun vd., 2016).</w:t>
      </w:r>
    </w:p>
    <w:p>
      <w:pPr>
        <w:pStyle w:val="BodyText"/>
      </w:pPr>
      <w:r>
        <w:t xml:space="preserve">İnsani yardım ortamlarında bu güçlükler daha da büyümektedir. Doğu Etiyopya’daki Somalili mülteciler arasında yapılan bir çalışmada FGM yaygınlığı yüksek bulunmuş ve uygulamanın sürmesine önemli bir destek saptanmıştır. Bu destek, zararlı sonuçlar konusundaki farkındalık eksikliğine ve yerinden edilmiş topluluklarda kültürel normların sürdürülmesine bağlanmıştır (Mitike ve Deressa, 2009). Farkındalık olduğunda bile uygulamaya destek yüksek kalabilmektedir. Bir raporda katılımcıların %76,4’ü, risklerinin farkında olmalarına karşın FGM’nin, özellikle Tip 1 gibi daha hafif biçimlerinin sürmesi gerektiğine inanmaktadır (Elnakib ve Metzler, 2022). Ayrıca pek çok müdahale, toplumsal cinsiyet ve cinselliğe ilişkin tutum ve davranışların biçimlenmesindeki önemlerine karşın erkekleri ve erkek çocukları yeterince sürece katamamaktadır (28 Too Many, 2019).</w:t>
      </w:r>
    </w:p>
    <w:p>
      <w:pPr>
        <w:pStyle w:val="BodyText"/>
      </w:pPr>
      <w:r>
        <w:t xml:space="preserve">FGM küresel ölçekte bir halk sağlığı ve insan hakları sorunu olarak kabul edilse de Somali’de, özellikle yerinden edilmiş topluluklarda, halkın bilgi, tutum ve uygulamalarını ya da sağlık eğitiminin uygulamayı azaltmadaki etkinliğini değerlendiren yeterli araştırma bulunmamaktadır. İyi hedeflenmiş müdahalelerin bir topluluğun bilgi ve tutumlarını nasıl etkilediğini anlamak, anlamlı bir ilerleme için vazgeçilmezdir. Bu nedenle bu çalışma, Somali’nin Garowe kentindeki YEK kamplarında yaşayan kadın ve erkeklerin FGM’ye ilişkin bilgi, tutum ve uygulamalarını değerlendirmeyi ve bir sağlık eğitimi oturumunun bu kişilerin algı ve tutumlarına etkisini ölçmeyi amaçlamıştır.</w:t>
      </w:r>
    </w:p>
    <w:bookmarkEnd w:id="21"/>
    <w:bookmarkStart w:id="29" w:name="gereç-ve-yöntem"/>
    <w:p>
      <w:pPr>
        <w:pStyle w:val="Heading1"/>
      </w:pPr>
      <w:r>
        <w:t xml:space="preserve">Gereç ve Yöntem</w:t>
      </w:r>
    </w:p>
    <w:bookmarkStart w:id="22" w:name="çalışmanın-tasarımı-ve-yeri"/>
    <w:p>
      <w:pPr>
        <w:pStyle w:val="Heading2"/>
      </w:pPr>
      <w:r>
        <w:t xml:space="preserve">Çalışmanın tasarımı ve yeri</w:t>
      </w:r>
    </w:p>
    <w:p>
      <w:pPr>
        <w:pStyle w:val="FirstParagraph"/>
      </w:pPr>
      <w:r>
        <w:t xml:space="preserve">Bu çalışma, kesitsel bir başlangıç taraması ile müdahale öncesi ve sonrası değerlendirmeyi içeren bir müdahale çalışmasıdır. Çalışma, Somali’nin kuzeydoğusundaki Puntland Eyaleti’nin başkenti Garowe’deki YEK kamplarında yürütülmüştür. Kentin çevresinde yer alan yaklaşık yirmi beş kamp, çatışma, doğal afet ve yoksulluktan etkilenen kırsal bölgelerden gelen binlerce yerinden edilmiş aileyi barındırmaktadır. Kamp sakinleri sağlık hizmetleri, hukuki koruma ve uygun barınma gibi temel hizmetlere erişimde ciddi güçlüklerle karşılaşmaktadır. Sakinler Somali’nin farklı bölgelerinden gelmekte; FGM’ye ilişkin farklı kültürel inanç, uygulama ve bilgilere sahip çeşitli toplum kesimlerini temsil etmektedir. Çalışma yerinin seçilmesinde ulaşılabilirlik, halkın katılım istekliliği ve bölgede FGM ile toplumsal cinsiyete dayalı sağlık sorunları üzerine çalışan insani yardım kuruluşlarının bulunması da etkili olmuştur.</w:t>
      </w:r>
    </w:p>
    <w:bookmarkEnd w:id="22"/>
    <w:bookmarkStart w:id="23" w:name="çalışma-evreni-ve-örneklem-büyüklüğü"/>
    <w:p>
      <w:pPr>
        <w:pStyle w:val="Heading2"/>
      </w:pPr>
      <w:r>
        <w:t xml:space="preserve">Çalışma evreni ve örneklem büyüklüğü</w:t>
      </w:r>
    </w:p>
    <w:p>
      <w:pPr>
        <w:pStyle w:val="FirstParagraph"/>
      </w:pPr>
      <w:r>
        <w:t xml:space="preserve">Çalışma evrenini Nisan–Temmuz 2024 döneminde Garowe’deki YEK kamplarında yaşayan kadın ve erkekler oluşturmuştur. Örneklem büyüklüğü, Jilab 2 YEK kampındaki yaklaşık 5.000 kişilik hedef nüfus için %95 güven düzeyi ve %5 hata payı kullanılarak hesaplanmıştır. Hesaplanan örneklem 360 kişidir; eksik veri ve katılmayı reddedenler göz önüne alınarak en az 380 kişiye ulaşılması hedeflenmiştir.</w:t>
      </w:r>
    </w:p>
    <w:bookmarkEnd w:id="23"/>
    <w:bookmarkStart w:id="24" w:name="örnekleme-ve-uygunluk-ölçütleri"/>
    <w:p>
      <w:pPr>
        <w:pStyle w:val="Heading2"/>
      </w:pPr>
      <w:r>
        <w:t xml:space="preserve">Örnekleme ve uygunluk ölçütleri</w:t>
      </w:r>
    </w:p>
    <w:p>
      <w:pPr>
        <w:pStyle w:val="FirstParagraph"/>
      </w:pPr>
      <w:r>
        <w:t xml:space="preserve">Jilab 2 YEK kampından katılımcılar amaçlı örnekleme ve kartopu tekniğiyle seçilmiştir: dahil edilme ölçütlerini karşılayan ilk katılımcılar belirlenmiş ve onlardan ölçütleri karşılayan başka kişileri yönlendirmeleri istenmiştir. Bu yaklaşım, FGM gibi hassas bir konuda ve toplulukta ulaşılması güç kişilere erişmede özellikle yararlıdır. Çalışma döneminde kampta yaşayan, 18 yaş ve üzerinde olan ve Somalice ya da İngilizce iletişim kurabilen kadın ve erkekler çalışmaya dahil edilmiştir. Ziyaretçiler, geçici çalışanlar ve kampın kalıcı sakini sayılmayan kişiler ile son 12 ay içinde FGM konulu benzer bir sağlık eğitimine katılmış olanlar çalışma dışı bırakılmıştır.</w:t>
      </w:r>
    </w:p>
    <w:bookmarkEnd w:id="24"/>
    <w:bookmarkStart w:id="25" w:name="veri-toplama-araçları"/>
    <w:p>
      <w:pPr>
        <w:pStyle w:val="Heading2"/>
      </w:pPr>
      <w:r>
        <w:t xml:space="preserve">Veri toplama araçları</w:t>
      </w:r>
    </w:p>
    <w:p>
      <w:pPr>
        <w:pStyle w:val="FirstParagraph"/>
      </w:pPr>
      <w:r>
        <w:t xml:space="preserve">Eğitim öncesi anket dört bölümden oluşmuştur: (1) demografik bilgiler (yaş, cinsiyet, eğitim düzeyi, çalışma durumu ve ekonomik durum); (2) FGM’nin cinsel haz üzerine etkisi, bulaşıcı hastalıkların geçişi ve doğumda komplikasyonlar dâhil FGM bilgisi; (3) bekâret, uygulamanın sürmesi, kız çocuğunu sünnet ettirme isteği ve toplumsal ve dinsel baskının rolüne ilişkin inançları kapsayan FGM’ye yönelik tutumlar; (4) ruh sağlığı, enfeksiyonlar, uzun dönem komplikasyonlar ve toplumsal sonuçları kapsayan, FGM’nin algılanan sonuçları.</w:t>
      </w:r>
    </w:p>
    <w:p>
      <w:pPr>
        <w:pStyle w:val="BodyText"/>
      </w:pPr>
      <w:r>
        <w:t xml:space="preserve">Eğitim sonrası anket de dört bölümden oluşmuştur: (1) demografik bilgiler (yaş, cinsiyet, medeni durum ve FGM durumu); (2) oturum öncesi ve sonrasında kendi bilgi düzeyini değerlendirme ile FGM’nin bir gelenek, bir insan hakları ihlali, dinî bir gereklilik ve bir sağlık riski olarak anlaşılmasını içeren bilgi soruları; (3) FGM’nin durması mı sürmesi mi gerektiğine ilişkin tutum; (4) toplulukta FGM’yi konuşma özgüvenini de içeren davranışsal niyetler. Tüm anketler ve eğitim materyali Somaliceye çevrilmiş; çeviri, doğruluk ve kültürel uygunluk açısından iki dilli bir uzman tarafından doğrulanmıştır.</w:t>
      </w:r>
    </w:p>
    <w:bookmarkEnd w:id="25"/>
    <w:bookmarkStart w:id="26" w:name="veri-toplama-süreci"/>
    <w:p>
      <w:pPr>
        <w:pStyle w:val="Heading2"/>
      </w:pPr>
      <w:r>
        <w:t xml:space="preserve">Veri toplama süreci</w:t>
      </w:r>
    </w:p>
    <w:p>
      <w:pPr>
        <w:pStyle w:val="FirstParagraph"/>
      </w:pPr>
      <w:r>
        <w:t xml:space="preserve">Birinci aşamada veriler Nisan–Haziran 2024 arasında, kampta dağıtılan bir Google Formlar anketiyle toplanmıştır. İnsani yardım alanında deneyimli, doktora derecesine sahip ve toplulukta iyi tanınan iki kadın veri toplayıcı görevlendirilmiş ve yaklaşık üçer saatlik oturumlarla iki gün boyunca eğitilmiştir. Eğitim; çalışmanın amaçlarını ve etik ilkeleri, anketin madde madde gözden geçirilmesini, farklı okuryazarlık düzeylerine uygun Somalice ifadeleri ve sunumu standartlaştırmak, tarafsız ve yönlendirmesiz destek sağlamak için rol oyunlarını kapsamıştır. Okuryazarlığı sınırlı olan katılımcılara anketi doldururken destek verilmiş; katılımcılar görüş içeren ipuçları almadan soruların açıklanmasını isteyebilmiştir.</w:t>
      </w:r>
    </w:p>
    <w:p>
      <w:pPr>
        <w:pStyle w:val="BodyText"/>
      </w:pPr>
      <w:r>
        <w:t xml:space="preserve">İkinci aşamada, FGM bilgisi zayıf bulunan katılımcıların yaklaşık %10’una sağlık eğitimi oturumu düzenlenmiştir. Bu katılımcılar</w:t>
      </w:r>
      <w:r>
        <w:t xml:space="preserve"> </w:t>
      </w:r>
      <w:r>
        <w:t xml:space="preserve">“</w:t>
      </w:r>
      <w:r>
        <w:t xml:space="preserve">FGM doğum komplikasyonlarına neden olur mu?</w:t>
      </w:r>
      <w:r>
        <w:t xml:space="preserve">”</w:t>
      </w:r>
      <w:r>
        <w:t xml:space="preserve"> </w:t>
      </w:r>
      <w:r>
        <w:t xml:space="preserve">sorusuna verdikleri yanıta göre seçilmiş;</w:t>
      </w:r>
      <w:r>
        <w:t xml:space="preserve"> </w:t>
      </w:r>
      <w:r>
        <w:t xml:space="preserve">“</w:t>
      </w:r>
      <w:r>
        <w:t xml:space="preserve">hayır</w:t>
      </w:r>
      <w:r>
        <w:t xml:space="preserve">”</w:t>
      </w:r>
      <w:r>
        <w:t xml:space="preserve"> </w:t>
      </w:r>
      <w:r>
        <w:t xml:space="preserve">yanıtı verenlerin bilgisinin sınırlı olduğu kabul edilerek oturuma davet edilmiştir. Bunlara ek olarak, birden fazla maddede düşük bilgi gösteren beş katılımcı araştırmacının değerlendirmesiyle gruba alınmıştır. Bu, özgün plandan küçük bir sapma olsa da müdahalenin yararını en üst düzeye çıkarmak için pragmatik bir karar olarak değerlendirilmiştir.</w:t>
      </w:r>
    </w:p>
    <w:p>
      <w:pPr>
        <w:pStyle w:val="BodyText"/>
      </w:pPr>
      <w:r>
        <w:t xml:space="preserve">Yaklaşık 20 dakika süren oturum, araştırmacı ile güvenilir kadın ve erkek topluluk üyeleri tarafından yürütülmüştür. Oturumda FGM’nin sağlık riskleri ve sonuçlarına ilişkin farkındalığın artırılmasına odaklanılmış, son 5 dakika katılımcıların sorularına ayrılmıştır. Aynı gruba, oturumdan 7–10 gün sonra, her katılımcıya ulaşılabilen zamana göre, ilk ankete benzer sorular içeren bir izlem anketi uygulanmıştır.</w:t>
      </w:r>
    </w:p>
    <w:bookmarkEnd w:id="26"/>
    <w:bookmarkStart w:id="27" w:name="istatistiksel-analiz"/>
    <w:p>
      <w:pPr>
        <w:pStyle w:val="Heading2"/>
      </w:pPr>
      <w:r>
        <w:t xml:space="preserve">İstatistiksel analiz</w:t>
      </w:r>
    </w:p>
    <w:p>
      <w:pPr>
        <w:pStyle w:val="FirstParagraph"/>
      </w:pPr>
      <w:r>
        <w:t xml:space="preserve">Veriler IBM SPSS Statistics 26 programıyla analiz edilmiştir. Bulgular sayı ve yüzde ile tanımlayıcı istatistikler kullanılarak sunulmuştur. Verilerin normal dağılıma uygunluğu Kolmogorov-Smirnov ve Shapiro-Wilk testleriyle incelenmiştir. Veriler normal dağılım göstermediği için değişkenler arasındaki ilişkiler ki-kare, McNemar ve Kruskal-Wallis testleriyle değerlendirilmiştir. İstatistiksel anlamlılık düzeyi p&lt;0,05 olarak kabul edilmiştir.</w:t>
      </w:r>
    </w:p>
    <w:bookmarkEnd w:id="27"/>
    <w:bookmarkStart w:id="28" w:name="etik"/>
    <w:p>
      <w:pPr>
        <w:pStyle w:val="Heading2"/>
      </w:pPr>
      <w:r>
        <w:t xml:space="preserve">Etik</w:t>
      </w:r>
    </w:p>
    <w:p>
      <w:pPr>
        <w:pStyle w:val="FirstParagraph"/>
      </w:pPr>
      <w:r>
        <w:t xml:space="preserve">Çalışma için Ankara Yıldırım Beyazıt Üniversitesi Sağlık Bilimleri Etik Kurulu’ndan onay alınmıştır (14.06.2023/313). Ayrıca Garowe’deki YEK kamplarında araştırma yapılması için Puntland Eyaleti Sağlık Bakanlığı Genel Müdürlüğü’nden izin alınmıştır. Çalışmanın amacı tüm katılımcılara açıklanmış ve yazılı bilgilendirilmiş onamları alınmıştır. Katılımcılara herhangi bir sonuçla karşılaşmadan istedikleri zaman çalışmadan çekilebilecekleri bildirilmiştir. Katılım gönüllülük esasına dayanmış, katılımcılara ücret ödenmemiştir. Tüm kişisel bilgiler güvenli biçimde saklanmış, yalnızca sorumlu araştırmacının erişimine açık tutulmuş ve analiz sırasında anonimleştirilmiştir.</w:t>
      </w:r>
    </w:p>
    <w:bookmarkEnd w:id="28"/>
    <w:bookmarkEnd w:id="29"/>
    <w:bookmarkStart w:id="37" w:name="bulgular"/>
    <w:p>
      <w:pPr>
        <w:pStyle w:val="Heading1"/>
      </w:pPr>
      <w:r>
        <w:t xml:space="preserve">Bulgular</w:t>
      </w:r>
    </w:p>
    <w:bookmarkStart w:id="30" w:name="katılımcıların-özellikleri"/>
    <w:p>
      <w:pPr>
        <w:pStyle w:val="Heading2"/>
      </w:pPr>
      <w:r>
        <w:t xml:space="preserve">Katılımcıların özellikleri</w:t>
      </w:r>
    </w:p>
    <w:p>
      <w:pPr>
        <w:pStyle w:val="FirstParagraph"/>
      </w:pPr>
      <w:r>
        <w:t xml:space="preserve">Anketi eksiksiz tamamlayan 363 katılımcı çalışmaya alınmıştır. Katılımcıların yaş ortalaması 28,08 (SS=8,48) olup yaşları 18 ile 63 arasında değişmektedir. Katılımcıların %63,9’u kadın, %36,1’i erkektir. Eğitim durumuna bakıldığında %38,3’ü üniversite düzeyinde eğitime sahipken %23,1’i temel okuryazarlığa sahipti, %14,0’ı ise okuma yazma bilmiyordu. Katılımcıların %33,3’ü öğrenci, %30,0’ı vasıfsız işçi, %14,9’u vasıflı işçi, %14,0’ı ev hanımı ve %7,7’si sağlık çalışanıydı. Somali’deki YEK’lerin gelir düzeyi son derece düşüktür ve katılımcıların çoğunun (%77,1) aylık geliri 350 doların altındaydı (Tablo 1).</w:t>
      </w:r>
    </w:p>
    <w:p>
      <w:pPr>
        <w:pStyle w:val="BodyText"/>
      </w:pPr>
      <w:r>
        <w:rPr>
          <w:bCs/>
          <w:b/>
        </w:rPr>
        <w:t xml:space="preserve">Tablo 1.</w:t>
      </w:r>
      <w:r>
        <w:t xml:space="preserve"> </w:t>
      </w:r>
      <w:r>
        <w:t xml:space="preserve">Katılımcıların sosyoekonomik ve demografik özellikleri (N=363)</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Değişken</w:t>
            </w:r>
          </w:p>
        </w:tc>
        <w:tc>
          <w:tcPr/>
          <w:p>
            <w:pPr>
              <w:pStyle w:val="Compact"/>
              <w:jc w:val="left"/>
            </w:pPr>
            <w:r>
              <w:t xml:space="preserve">Kategori</w:t>
            </w:r>
          </w:p>
        </w:tc>
        <w:tc>
          <w:tcPr/>
          <w:p>
            <w:pPr>
              <w:pStyle w:val="Compact"/>
              <w:jc w:val="left"/>
            </w:pPr>
            <w:r>
              <w:t xml:space="preserve">n</w:t>
            </w:r>
          </w:p>
        </w:tc>
        <w:tc>
          <w:tcPr/>
          <w:p>
            <w:pPr>
              <w:pStyle w:val="Compact"/>
              <w:jc w:val="left"/>
            </w:pPr>
            <w:r>
              <w:t xml:space="preserve">%</w:t>
            </w:r>
          </w:p>
        </w:tc>
      </w:tr>
      <w:tr>
        <w:tc>
          <w:tcPr/>
          <w:p>
            <w:pPr>
              <w:pStyle w:val="Compact"/>
              <w:jc w:val="left"/>
            </w:pPr>
            <w:r>
              <w:t xml:space="preserve">Cinsiyet</w:t>
            </w:r>
          </w:p>
        </w:tc>
        <w:tc>
          <w:tcPr/>
          <w:p>
            <w:pPr>
              <w:pStyle w:val="Compact"/>
              <w:jc w:val="left"/>
            </w:pPr>
            <w:r>
              <w:t xml:space="preserve">Kadın</w:t>
            </w:r>
          </w:p>
        </w:tc>
        <w:tc>
          <w:tcPr/>
          <w:p>
            <w:pPr>
              <w:pStyle w:val="Compact"/>
              <w:jc w:val="left"/>
            </w:pPr>
            <w:r>
              <w:t xml:space="preserve">232</w:t>
            </w:r>
          </w:p>
        </w:tc>
        <w:tc>
          <w:tcPr/>
          <w:p>
            <w:pPr>
              <w:pStyle w:val="Compact"/>
              <w:jc w:val="left"/>
            </w:pPr>
            <w:r>
              <w:t xml:space="preserve">63,9</w:t>
            </w:r>
          </w:p>
        </w:tc>
      </w:tr>
      <w:tr>
        <w:tc>
          <w:tcPr/>
          <w:p>
            <w:pPr>
              <w:pStyle w:val="Compact"/>
            </w:pPr>
          </w:p>
        </w:tc>
        <w:tc>
          <w:tcPr/>
          <w:p>
            <w:pPr>
              <w:pStyle w:val="Compact"/>
              <w:jc w:val="left"/>
            </w:pPr>
            <w:r>
              <w:t xml:space="preserve">Erkek</w:t>
            </w:r>
          </w:p>
        </w:tc>
        <w:tc>
          <w:tcPr/>
          <w:p>
            <w:pPr>
              <w:pStyle w:val="Compact"/>
              <w:jc w:val="left"/>
            </w:pPr>
            <w:r>
              <w:t xml:space="preserve">131</w:t>
            </w:r>
          </w:p>
        </w:tc>
        <w:tc>
          <w:tcPr/>
          <w:p>
            <w:pPr>
              <w:pStyle w:val="Compact"/>
              <w:jc w:val="left"/>
            </w:pPr>
            <w:r>
              <w:t xml:space="preserve">36,1</w:t>
            </w:r>
          </w:p>
        </w:tc>
      </w:tr>
      <w:tr>
        <w:tc>
          <w:tcPr/>
          <w:p>
            <w:pPr>
              <w:pStyle w:val="Compact"/>
              <w:jc w:val="left"/>
            </w:pPr>
            <w:r>
              <w:t xml:space="preserve">Eğitim düzeyi</w:t>
            </w:r>
          </w:p>
        </w:tc>
        <w:tc>
          <w:tcPr/>
          <w:p>
            <w:pPr>
              <w:pStyle w:val="Compact"/>
              <w:jc w:val="left"/>
            </w:pPr>
            <w:r>
              <w:t xml:space="preserve">Okuma yazma bilmiyor</w:t>
            </w:r>
          </w:p>
        </w:tc>
        <w:tc>
          <w:tcPr/>
          <w:p>
            <w:pPr>
              <w:pStyle w:val="Compact"/>
              <w:jc w:val="left"/>
            </w:pPr>
            <w:r>
              <w:t xml:space="preserve">51</w:t>
            </w:r>
          </w:p>
        </w:tc>
        <w:tc>
          <w:tcPr/>
          <w:p>
            <w:pPr>
              <w:pStyle w:val="Compact"/>
              <w:jc w:val="left"/>
            </w:pPr>
            <w:r>
              <w:t xml:space="preserve">14,0</w:t>
            </w:r>
          </w:p>
        </w:tc>
      </w:tr>
      <w:tr>
        <w:tc>
          <w:tcPr/>
          <w:p>
            <w:pPr>
              <w:pStyle w:val="Compact"/>
            </w:pPr>
          </w:p>
        </w:tc>
        <w:tc>
          <w:tcPr/>
          <w:p>
            <w:pPr>
              <w:pStyle w:val="Compact"/>
              <w:jc w:val="left"/>
            </w:pPr>
            <w:r>
              <w:t xml:space="preserve">Temel düzeyde okuryazar</w:t>
            </w:r>
          </w:p>
        </w:tc>
        <w:tc>
          <w:tcPr/>
          <w:p>
            <w:pPr>
              <w:pStyle w:val="Compact"/>
              <w:jc w:val="left"/>
            </w:pPr>
            <w:r>
              <w:t xml:space="preserve">84</w:t>
            </w:r>
          </w:p>
        </w:tc>
        <w:tc>
          <w:tcPr/>
          <w:p>
            <w:pPr>
              <w:pStyle w:val="Compact"/>
              <w:jc w:val="left"/>
            </w:pPr>
            <w:r>
              <w:t xml:space="preserve">23,1</w:t>
            </w:r>
          </w:p>
        </w:tc>
      </w:tr>
      <w:tr>
        <w:tc>
          <w:tcPr/>
          <w:p>
            <w:pPr>
              <w:pStyle w:val="Compact"/>
            </w:pPr>
          </w:p>
        </w:tc>
        <w:tc>
          <w:tcPr/>
          <w:p>
            <w:pPr>
              <w:pStyle w:val="Compact"/>
              <w:jc w:val="left"/>
            </w:pPr>
            <w:r>
              <w:t xml:space="preserve">Okul eğitimi olmadan okuryazar</w:t>
            </w:r>
          </w:p>
        </w:tc>
        <w:tc>
          <w:tcPr/>
          <w:p>
            <w:pPr>
              <w:pStyle w:val="Compact"/>
              <w:jc w:val="left"/>
            </w:pPr>
            <w:r>
              <w:t xml:space="preserve">31</w:t>
            </w:r>
          </w:p>
        </w:tc>
        <w:tc>
          <w:tcPr/>
          <w:p>
            <w:pPr>
              <w:pStyle w:val="Compact"/>
              <w:jc w:val="left"/>
            </w:pPr>
            <w:r>
              <w:t xml:space="preserve">8,5</w:t>
            </w:r>
          </w:p>
        </w:tc>
      </w:tr>
      <w:tr>
        <w:tc>
          <w:tcPr/>
          <w:p>
            <w:pPr>
              <w:pStyle w:val="Compact"/>
            </w:pPr>
          </w:p>
        </w:tc>
        <w:tc>
          <w:tcPr/>
          <w:p>
            <w:pPr>
              <w:pStyle w:val="Compact"/>
              <w:jc w:val="left"/>
            </w:pPr>
            <w:r>
              <w:t xml:space="preserve">İlkokul mezunu</w:t>
            </w:r>
          </w:p>
        </w:tc>
        <w:tc>
          <w:tcPr/>
          <w:p>
            <w:pPr>
              <w:pStyle w:val="Compact"/>
              <w:jc w:val="left"/>
            </w:pPr>
            <w:r>
              <w:t xml:space="preserve">18</w:t>
            </w:r>
          </w:p>
        </w:tc>
        <w:tc>
          <w:tcPr/>
          <w:p>
            <w:pPr>
              <w:pStyle w:val="Compact"/>
              <w:jc w:val="left"/>
            </w:pPr>
            <w:r>
              <w:t xml:space="preserve">5,0</w:t>
            </w:r>
          </w:p>
        </w:tc>
      </w:tr>
      <w:tr>
        <w:tc>
          <w:tcPr/>
          <w:p>
            <w:pPr>
              <w:pStyle w:val="Compact"/>
            </w:pPr>
          </w:p>
        </w:tc>
        <w:tc>
          <w:tcPr/>
          <w:p>
            <w:pPr>
              <w:pStyle w:val="Compact"/>
              <w:jc w:val="left"/>
            </w:pPr>
            <w:r>
              <w:t xml:space="preserve">9. sınıf ve üzeri</w:t>
            </w:r>
          </w:p>
        </w:tc>
        <w:tc>
          <w:tcPr/>
          <w:p>
            <w:pPr>
              <w:pStyle w:val="Compact"/>
              <w:jc w:val="left"/>
            </w:pPr>
            <w:r>
              <w:t xml:space="preserve">40</w:t>
            </w:r>
          </w:p>
        </w:tc>
        <w:tc>
          <w:tcPr/>
          <w:p>
            <w:pPr>
              <w:pStyle w:val="Compact"/>
              <w:jc w:val="left"/>
            </w:pPr>
            <w:r>
              <w:t xml:space="preserve">11,0</w:t>
            </w:r>
          </w:p>
        </w:tc>
      </w:tr>
      <w:tr>
        <w:tc>
          <w:tcPr/>
          <w:p>
            <w:pPr>
              <w:pStyle w:val="Compact"/>
            </w:pPr>
          </w:p>
        </w:tc>
        <w:tc>
          <w:tcPr/>
          <w:p>
            <w:pPr>
              <w:pStyle w:val="Compact"/>
              <w:jc w:val="left"/>
            </w:pPr>
            <w:r>
              <w:t xml:space="preserve">Üniversite</w:t>
            </w:r>
          </w:p>
        </w:tc>
        <w:tc>
          <w:tcPr/>
          <w:p>
            <w:pPr>
              <w:pStyle w:val="Compact"/>
              <w:jc w:val="left"/>
            </w:pPr>
            <w:r>
              <w:t xml:space="preserve">139</w:t>
            </w:r>
          </w:p>
        </w:tc>
        <w:tc>
          <w:tcPr/>
          <w:p>
            <w:pPr>
              <w:pStyle w:val="Compact"/>
              <w:jc w:val="left"/>
            </w:pPr>
            <w:r>
              <w:t xml:space="preserve">38,3</w:t>
            </w:r>
          </w:p>
        </w:tc>
      </w:tr>
      <w:tr>
        <w:tc>
          <w:tcPr/>
          <w:p>
            <w:pPr>
              <w:pStyle w:val="Compact"/>
              <w:jc w:val="left"/>
            </w:pPr>
            <w:r>
              <w:t xml:space="preserve">Çalışma durumu</w:t>
            </w:r>
          </w:p>
        </w:tc>
        <w:tc>
          <w:tcPr/>
          <w:p>
            <w:pPr>
              <w:pStyle w:val="Compact"/>
              <w:jc w:val="left"/>
            </w:pPr>
            <w:r>
              <w:t xml:space="preserve">Vasıflı işçi</w:t>
            </w:r>
          </w:p>
        </w:tc>
        <w:tc>
          <w:tcPr/>
          <w:p>
            <w:pPr>
              <w:pStyle w:val="Compact"/>
              <w:jc w:val="left"/>
            </w:pPr>
            <w:r>
              <w:t xml:space="preserve">54</w:t>
            </w:r>
          </w:p>
        </w:tc>
        <w:tc>
          <w:tcPr/>
          <w:p>
            <w:pPr>
              <w:pStyle w:val="Compact"/>
              <w:jc w:val="left"/>
            </w:pPr>
            <w:r>
              <w:t xml:space="preserve">14,9</w:t>
            </w:r>
          </w:p>
        </w:tc>
      </w:tr>
      <w:tr>
        <w:tc>
          <w:tcPr/>
          <w:p>
            <w:pPr>
              <w:pStyle w:val="Compact"/>
            </w:pPr>
          </w:p>
        </w:tc>
        <w:tc>
          <w:tcPr/>
          <w:p>
            <w:pPr>
              <w:pStyle w:val="Compact"/>
              <w:jc w:val="left"/>
            </w:pPr>
            <w:r>
              <w:t xml:space="preserve">Vasıfsız işçi</w:t>
            </w:r>
          </w:p>
        </w:tc>
        <w:tc>
          <w:tcPr/>
          <w:p>
            <w:pPr>
              <w:pStyle w:val="Compact"/>
              <w:jc w:val="left"/>
            </w:pPr>
            <w:r>
              <w:t xml:space="preserve">109</w:t>
            </w:r>
          </w:p>
        </w:tc>
        <w:tc>
          <w:tcPr/>
          <w:p>
            <w:pPr>
              <w:pStyle w:val="Compact"/>
              <w:jc w:val="left"/>
            </w:pPr>
            <w:r>
              <w:t xml:space="preserve">30,0</w:t>
            </w:r>
          </w:p>
        </w:tc>
      </w:tr>
      <w:tr>
        <w:tc>
          <w:tcPr/>
          <w:p>
            <w:pPr>
              <w:pStyle w:val="Compact"/>
            </w:pPr>
          </w:p>
        </w:tc>
        <w:tc>
          <w:tcPr/>
          <w:p>
            <w:pPr>
              <w:pStyle w:val="Compact"/>
              <w:jc w:val="left"/>
            </w:pPr>
            <w:r>
              <w:t xml:space="preserve">Öğrenci</w:t>
            </w:r>
          </w:p>
        </w:tc>
        <w:tc>
          <w:tcPr/>
          <w:p>
            <w:pPr>
              <w:pStyle w:val="Compact"/>
              <w:jc w:val="left"/>
            </w:pPr>
            <w:r>
              <w:t xml:space="preserve">121</w:t>
            </w:r>
          </w:p>
        </w:tc>
        <w:tc>
          <w:tcPr/>
          <w:p>
            <w:pPr>
              <w:pStyle w:val="Compact"/>
              <w:jc w:val="left"/>
            </w:pPr>
            <w:r>
              <w:t xml:space="preserve">33,3</w:t>
            </w:r>
          </w:p>
        </w:tc>
      </w:tr>
      <w:tr>
        <w:tc>
          <w:tcPr/>
          <w:p>
            <w:pPr>
              <w:pStyle w:val="Compact"/>
            </w:pPr>
          </w:p>
        </w:tc>
        <w:tc>
          <w:tcPr/>
          <w:p>
            <w:pPr>
              <w:pStyle w:val="Compact"/>
              <w:jc w:val="left"/>
            </w:pPr>
            <w:r>
              <w:t xml:space="preserve">Çalışmıyor – ev hanımı</w:t>
            </w:r>
          </w:p>
        </w:tc>
        <w:tc>
          <w:tcPr/>
          <w:p>
            <w:pPr>
              <w:pStyle w:val="Compact"/>
              <w:jc w:val="left"/>
            </w:pPr>
            <w:r>
              <w:t xml:space="preserve">51</w:t>
            </w:r>
          </w:p>
        </w:tc>
        <w:tc>
          <w:tcPr/>
          <w:p>
            <w:pPr>
              <w:pStyle w:val="Compact"/>
              <w:jc w:val="left"/>
            </w:pPr>
            <w:r>
              <w:t xml:space="preserve">14,0</w:t>
            </w:r>
          </w:p>
        </w:tc>
      </w:tr>
      <w:tr>
        <w:tc>
          <w:tcPr/>
          <w:p>
            <w:pPr>
              <w:pStyle w:val="Compact"/>
            </w:pPr>
          </w:p>
        </w:tc>
        <w:tc>
          <w:tcPr/>
          <w:p>
            <w:pPr>
              <w:pStyle w:val="Compact"/>
              <w:jc w:val="left"/>
            </w:pPr>
            <w:r>
              <w:t xml:space="preserve">Sağlık çalışanı</w:t>
            </w:r>
          </w:p>
        </w:tc>
        <w:tc>
          <w:tcPr/>
          <w:p>
            <w:pPr>
              <w:pStyle w:val="Compact"/>
              <w:jc w:val="left"/>
            </w:pPr>
            <w:r>
              <w:t xml:space="preserve">28</w:t>
            </w:r>
          </w:p>
        </w:tc>
        <w:tc>
          <w:tcPr/>
          <w:p>
            <w:pPr>
              <w:pStyle w:val="Compact"/>
              <w:jc w:val="left"/>
            </w:pPr>
            <w:r>
              <w:t xml:space="preserve">7,7</w:t>
            </w:r>
          </w:p>
        </w:tc>
      </w:tr>
      <w:tr>
        <w:tc>
          <w:tcPr/>
          <w:p>
            <w:pPr>
              <w:pStyle w:val="Compact"/>
              <w:jc w:val="left"/>
            </w:pPr>
            <w:r>
              <w:t xml:space="preserve">Gelir durumu</w:t>
            </w:r>
          </w:p>
        </w:tc>
        <w:tc>
          <w:tcPr/>
          <w:p>
            <w:pPr>
              <w:pStyle w:val="Compact"/>
              <w:jc w:val="left"/>
            </w:pPr>
            <w:r>
              <w:t xml:space="preserve">Aylık 350 $’dan az</w:t>
            </w:r>
          </w:p>
        </w:tc>
        <w:tc>
          <w:tcPr/>
          <w:p>
            <w:pPr>
              <w:pStyle w:val="Compact"/>
              <w:jc w:val="left"/>
            </w:pPr>
            <w:r>
              <w:t xml:space="preserve">280</w:t>
            </w:r>
          </w:p>
        </w:tc>
        <w:tc>
          <w:tcPr/>
          <w:p>
            <w:pPr>
              <w:pStyle w:val="Compact"/>
              <w:jc w:val="left"/>
            </w:pPr>
            <w:r>
              <w:t xml:space="preserve">77,1</w:t>
            </w:r>
          </w:p>
        </w:tc>
      </w:tr>
      <w:tr>
        <w:tc>
          <w:tcPr/>
          <w:p>
            <w:pPr>
              <w:pStyle w:val="Compact"/>
            </w:pPr>
          </w:p>
        </w:tc>
        <w:tc>
          <w:tcPr/>
          <w:p>
            <w:pPr>
              <w:pStyle w:val="Compact"/>
              <w:jc w:val="left"/>
            </w:pPr>
            <w:r>
              <w:t xml:space="preserve">Aylık 350 $’dan fazla</w:t>
            </w:r>
          </w:p>
        </w:tc>
        <w:tc>
          <w:tcPr/>
          <w:p>
            <w:pPr>
              <w:pStyle w:val="Compact"/>
              <w:jc w:val="left"/>
            </w:pPr>
            <w:r>
              <w:t xml:space="preserve">46</w:t>
            </w:r>
          </w:p>
        </w:tc>
        <w:tc>
          <w:tcPr/>
          <w:p>
            <w:pPr>
              <w:pStyle w:val="Compact"/>
              <w:jc w:val="left"/>
            </w:pPr>
            <w:r>
              <w:t xml:space="preserve">12,7</w:t>
            </w:r>
          </w:p>
        </w:tc>
      </w:tr>
      <w:tr>
        <w:tc>
          <w:tcPr/>
          <w:p>
            <w:pPr>
              <w:pStyle w:val="Compact"/>
            </w:pPr>
          </w:p>
        </w:tc>
        <w:tc>
          <w:tcPr/>
          <w:p>
            <w:pPr>
              <w:pStyle w:val="Compact"/>
              <w:jc w:val="left"/>
            </w:pPr>
            <w:r>
              <w:t xml:space="preserve">Aylık 500 $’dan fazla</w:t>
            </w:r>
          </w:p>
        </w:tc>
        <w:tc>
          <w:tcPr/>
          <w:p>
            <w:pPr>
              <w:pStyle w:val="Compact"/>
              <w:jc w:val="left"/>
            </w:pPr>
            <w:r>
              <w:t xml:space="preserve">37</w:t>
            </w:r>
          </w:p>
        </w:tc>
        <w:tc>
          <w:tcPr/>
          <w:p>
            <w:pPr>
              <w:pStyle w:val="Compact"/>
              <w:jc w:val="left"/>
            </w:pPr>
            <w:r>
              <w:t xml:space="preserve">10,2</w:t>
            </w:r>
          </w:p>
        </w:tc>
      </w:tr>
    </w:tbl>
    <w:bookmarkEnd w:id="30"/>
    <w:bookmarkStart w:id="31" w:name="eğitim-öncesi-bilgi-düzeyi"/>
    <w:p>
      <w:pPr>
        <w:pStyle w:val="Heading2"/>
      </w:pPr>
      <w:r>
        <w:t xml:space="preserve">Eğitim öncesi bilgi düzeyi</w:t>
      </w:r>
    </w:p>
    <w:p>
      <w:pPr>
        <w:pStyle w:val="FirstParagraph"/>
      </w:pPr>
      <w:r>
        <w:t xml:space="preserve">Katılımcıların tamamı (%100) FGM’nin iki tipe ayrıldığını biliyordu; bu, uygulamaya ilişkin temel farkındalığın evrensel olduğunu göstermektedir. Cinsel haz konusunda katılımcıların %67,8’i yalnızca firavunik tipin cinsel hazzı azalttığını, %14,3’ü her iki tipin de etkilediğini, %17,6’sı ise hiçbirinin etkilemediğini düşünüyordu. Sağlık riskleri açısından %56,5’i FGM’nin HIV/AIDS bulaşmasını kolaylaştırabileceğini, %90,6’sı ise doğumda komplikasyonlara yol açabileceğini belirtti. Skar oluşumu sorulduğunda %73,0’ı bunu yalnızca firavunik tiple ilişkilendirirken %13,2’si her iki tipin de skara yol açabileceğini düşünüyordu (Tablo 2).</w:t>
      </w:r>
    </w:p>
    <w:p>
      <w:pPr>
        <w:pStyle w:val="BodyText"/>
      </w:pPr>
      <w:r>
        <w:rPr>
          <w:bCs/>
          <w:b/>
        </w:rPr>
        <w:t xml:space="preserve">Tablo 2.</w:t>
      </w:r>
      <w:r>
        <w:t xml:space="preserve"> </w:t>
      </w:r>
      <w:r>
        <w:t xml:space="preserve">Kadın sünnetine ilişkin bilgi (eğitim öncesi)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Değişken</w:t>
            </w:r>
          </w:p>
        </w:tc>
        <w:tc>
          <w:tcPr/>
          <w:p>
            <w:pPr>
              <w:pStyle w:val="Compact"/>
              <w:jc w:val="left"/>
            </w:pPr>
            <w:r>
              <w:t xml:space="preserve">Yanıt</w:t>
            </w:r>
          </w:p>
        </w:tc>
        <w:tc>
          <w:tcPr/>
          <w:p>
            <w:pPr>
              <w:pStyle w:val="Compact"/>
              <w:jc w:val="left"/>
            </w:pPr>
            <w:r>
              <w:t xml:space="preserve">n</w:t>
            </w:r>
          </w:p>
        </w:tc>
        <w:tc>
          <w:tcPr/>
          <w:p>
            <w:pPr>
              <w:pStyle w:val="Compact"/>
              <w:jc w:val="left"/>
            </w:pPr>
            <w:r>
              <w:t xml:space="preserve">%</w:t>
            </w:r>
          </w:p>
        </w:tc>
      </w:tr>
      <w:tr>
        <w:tc>
          <w:tcPr/>
          <w:p>
            <w:pPr>
              <w:pStyle w:val="Compact"/>
              <w:jc w:val="left"/>
            </w:pPr>
            <w:r>
              <w:t xml:space="preserve">FGM iki tipe ayrılır</w:t>
            </w:r>
          </w:p>
        </w:tc>
        <w:tc>
          <w:tcPr/>
          <w:p>
            <w:pPr>
              <w:pStyle w:val="Compact"/>
              <w:jc w:val="left"/>
            </w:pPr>
            <w:r>
              <w:t xml:space="preserve">Evet</w:t>
            </w:r>
          </w:p>
        </w:tc>
        <w:tc>
          <w:tcPr/>
          <w:p>
            <w:pPr>
              <w:pStyle w:val="Compact"/>
              <w:jc w:val="left"/>
            </w:pPr>
            <w:r>
              <w:t xml:space="preserve">363</w:t>
            </w:r>
          </w:p>
        </w:tc>
        <w:tc>
          <w:tcPr/>
          <w:p>
            <w:pPr>
              <w:pStyle w:val="Compact"/>
              <w:jc w:val="left"/>
            </w:pPr>
            <w:r>
              <w:t xml:space="preserve">100</w:t>
            </w:r>
          </w:p>
        </w:tc>
      </w:tr>
      <w:tr>
        <w:tc>
          <w:tcPr/>
          <w:p>
            <w:pPr>
              <w:pStyle w:val="Compact"/>
              <w:jc w:val="left"/>
            </w:pPr>
            <w:r>
              <w:t xml:space="preserve">Cinsel hazzı etkiler</w:t>
            </w:r>
          </w:p>
        </w:tc>
        <w:tc>
          <w:tcPr/>
          <w:p>
            <w:pPr>
              <w:pStyle w:val="Compact"/>
              <w:jc w:val="left"/>
            </w:pPr>
            <w:r>
              <w:t xml:space="preserve">Yalnızca firavunik</w:t>
            </w:r>
          </w:p>
        </w:tc>
        <w:tc>
          <w:tcPr/>
          <w:p>
            <w:pPr>
              <w:pStyle w:val="Compact"/>
              <w:jc w:val="left"/>
            </w:pPr>
            <w:r>
              <w:t xml:space="preserve">246</w:t>
            </w:r>
          </w:p>
        </w:tc>
        <w:tc>
          <w:tcPr/>
          <w:p>
            <w:pPr>
              <w:pStyle w:val="Compact"/>
              <w:jc w:val="left"/>
            </w:pPr>
            <w:r>
              <w:t xml:space="preserve">67,8</w:t>
            </w:r>
          </w:p>
        </w:tc>
      </w:tr>
      <w:tr>
        <w:tc>
          <w:tcPr/>
          <w:p>
            <w:pPr>
              <w:pStyle w:val="Compact"/>
            </w:pPr>
          </w:p>
        </w:tc>
        <w:tc>
          <w:tcPr/>
          <w:p>
            <w:pPr>
              <w:pStyle w:val="Compact"/>
              <w:jc w:val="left"/>
            </w:pPr>
            <w:r>
              <w:t xml:space="preserve">Yalnızca Sünni</w:t>
            </w:r>
          </w:p>
        </w:tc>
        <w:tc>
          <w:tcPr/>
          <w:p>
            <w:pPr>
              <w:pStyle w:val="Compact"/>
              <w:jc w:val="left"/>
            </w:pPr>
            <w:r>
              <w:t xml:space="preserve">1</w:t>
            </w:r>
          </w:p>
        </w:tc>
        <w:tc>
          <w:tcPr/>
          <w:p>
            <w:pPr>
              <w:pStyle w:val="Compact"/>
              <w:jc w:val="left"/>
            </w:pPr>
            <w:r>
              <w:t xml:space="preserve">0,3</w:t>
            </w:r>
          </w:p>
        </w:tc>
      </w:tr>
      <w:tr>
        <w:tc>
          <w:tcPr/>
          <w:p>
            <w:pPr>
              <w:pStyle w:val="Compact"/>
            </w:pPr>
          </w:p>
        </w:tc>
        <w:tc>
          <w:tcPr/>
          <w:p>
            <w:pPr>
              <w:pStyle w:val="Compact"/>
              <w:jc w:val="left"/>
            </w:pPr>
            <w:r>
              <w:t xml:space="preserve">Her iki tip</w:t>
            </w:r>
          </w:p>
        </w:tc>
        <w:tc>
          <w:tcPr/>
          <w:p>
            <w:pPr>
              <w:pStyle w:val="Compact"/>
              <w:jc w:val="left"/>
            </w:pPr>
            <w:r>
              <w:t xml:space="preserve">52</w:t>
            </w:r>
          </w:p>
        </w:tc>
        <w:tc>
          <w:tcPr/>
          <w:p>
            <w:pPr>
              <w:pStyle w:val="Compact"/>
              <w:jc w:val="left"/>
            </w:pPr>
            <w:r>
              <w:t xml:space="preserve">14,3</w:t>
            </w:r>
          </w:p>
        </w:tc>
      </w:tr>
      <w:tr>
        <w:tc>
          <w:tcPr/>
          <w:p>
            <w:pPr>
              <w:pStyle w:val="Compact"/>
            </w:pPr>
          </w:p>
        </w:tc>
        <w:tc>
          <w:tcPr/>
          <w:p>
            <w:pPr>
              <w:pStyle w:val="Compact"/>
              <w:jc w:val="left"/>
            </w:pPr>
            <w:r>
              <w:t xml:space="preserve">Hiçbiri</w:t>
            </w:r>
          </w:p>
        </w:tc>
        <w:tc>
          <w:tcPr/>
          <w:p>
            <w:pPr>
              <w:pStyle w:val="Compact"/>
              <w:jc w:val="left"/>
            </w:pPr>
            <w:r>
              <w:t xml:space="preserve">64</w:t>
            </w:r>
          </w:p>
        </w:tc>
        <w:tc>
          <w:tcPr/>
          <w:p>
            <w:pPr>
              <w:pStyle w:val="Compact"/>
              <w:jc w:val="left"/>
            </w:pPr>
            <w:r>
              <w:t xml:space="preserve">17,6</w:t>
            </w:r>
          </w:p>
        </w:tc>
      </w:tr>
      <w:tr>
        <w:tc>
          <w:tcPr/>
          <w:p>
            <w:pPr>
              <w:pStyle w:val="Compact"/>
              <w:jc w:val="left"/>
            </w:pPr>
            <w:r>
              <w:t xml:space="preserve">HIV/AIDS bulaştırabilir</w:t>
            </w:r>
          </w:p>
        </w:tc>
        <w:tc>
          <w:tcPr/>
          <w:p>
            <w:pPr>
              <w:pStyle w:val="Compact"/>
              <w:jc w:val="left"/>
            </w:pPr>
            <w:r>
              <w:t xml:space="preserve">Evet</w:t>
            </w:r>
          </w:p>
        </w:tc>
        <w:tc>
          <w:tcPr/>
          <w:p>
            <w:pPr>
              <w:pStyle w:val="Compact"/>
              <w:jc w:val="left"/>
            </w:pPr>
            <w:r>
              <w:t xml:space="preserve">205</w:t>
            </w:r>
          </w:p>
        </w:tc>
        <w:tc>
          <w:tcPr/>
          <w:p>
            <w:pPr>
              <w:pStyle w:val="Compact"/>
              <w:jc w:val="left"/>
            </w:pPr>
            <w:r>
              <w:t xml:space="preserve">56,5</w:t>
            </w:r>
          </w:p>
        </w:tc>
      </w:tr>
      <w:tr>
        <w:tc>
          <w:tcPr/>
          <w:p>
            <w:pPr>
              <w:pStyle w:val="Compact"/>
            </w:pPr>
          </w:p>
        </w:tc>
        <w:tc>
          <w:tcPr/>
          <w:p>
            <w:pPr>
              <w:pStyle w:val="Compact"/>
              <w:jc w:val="left"/>
            </w:pPr>
            <w:r>
              <w:t xml:space="preserve">Hayır</w:t>
            </w:r>
          </w:p>
        </w:tc>
        <w:tc>
          <w:tcPr/>
          <w:p>
            <w:pPr>
              <w:pStyle w:val="Compact"/>
              <w:jc w:val="left"/>
            </w:pPr>
            <w:r>
              <w:t xml:space="preserve">158</w:t>
            </w:r>
          </w:p>
        </w:tc>
        <w:tc>
          <w:tcPr/>
          <w:p>
            <w:pPr>
              <w:pStyle w:val="Compact"/>
              <w:jc w:val="left"/>
            </w:pPr>
            <w:r>
              <w:t xml:space="preserve">43,5</w:t>
            </w:r>
          </w:p>
        </w:tc>
      </w:tr>
      <w:tr>
        <w:tc>
          <w:tcPr/>
          <w:p>
            <w:pPr>
              <w:pStyle w:val="Compact"/>
              <w:jc w:val="left"/>
            </w:pPr>
            <w:r>
              <w:t xml:space="preserve">Doğum komplikasyonuna yol açar</w:t>
            </w:r>
          </w:p>
        </w:tc>
        <w:tc>
          <w:tcPr/>
          <w:p>
            <w:pPr>
              <w:pStyle w:val="Compact"/>
              <w:jc w:val="left"/>
            </w:pPr>
            <w:r>
              <w:t xml:space="preserve">Evet</w:t>
            </w:r>
          </w:p>
        </w:tc>
        <w:tc>
          <w:tcPr/>
          <w:p>
            <w:pPr>
              <w:pStyle w:val="Compact"/>
              <w:jc w:val="left"/>
            </w:pPr>
            <w:r>
              <w:t xml:space="preserve">329</w:t>
            </w:r>
          </w:p>
        </w:tc>
        <w:tc>
          <w:tcPr/>
          <w:p>
            <w:pPr>
              <w:pStyle w:val="Compact"/>
              <w:jc w:val="left"/>
            </w:pPr>
            <w:r>
              <w:t xml:space="preserve">90,6</w:t>
            </w:r>
          </w:p>
        </w:tc>
      </w:tr>
      <w:tr>
        <w:tc>
          <w:tcPr/>
          <w:p>
            <w:pPr>
              <w:pStyle w:val="Compact"/>
            </w:pPr>
          </w:p>
        </w:tc>
        <w:tc>
          <w:tcPr/>
          <w:p>
            <w:pPr>
              <w:pStyle w:val="Compact"/>
              <w:jc w:val="left"/>
            </w:pPr>
            <w:r>
              <w:t xml:space="preserve">Hayır</w:t>
            </w:r>
          </w:p>
        </w:tc>
        <w:tc>
          <w:tcPr/>
          <w:p>
            <w:pPr>
              <w:pStyle w:val="Compact"/>
              <w:jc w:val="left"/>
            </w:pPr>
            <w:r>
              <w:t xml:space="preserve">34</w:t>
            </w:r>
          </w:p>
        </w:tc>
        <w:tc>
          <w:tcPr/>
          <w:p>
            <w:pPr>
              <w:pStyle w:val="Compact"/>
              <w:jc w:val="left"/>
            </w:pPr>
            <w:r>
              <w:t xml:space="preserve">9,4</w:t>
            </w:r>
          </w:p>
        </w:tc>
      </w:tr>
      <w:tr>
        <w:tc>
          <w:tcPr/>
          <w:p>
            <w:pPr>
              <w:pStyle w:val="Compact"/>
              <w:jc w:val="left"/>
            </w:pPr>
            <w:r>
              <w:t xml:space="preserve">Skar oluşumuna yol açar</w:t>
            </w:r>
          </w:p>
        </w:tc>
        <w:tc>
          <w:tcPr/>
          <w:p>
            <w:pPr>
              <w:pStyle w:val="Compact"/>
              <w:jc w:val="left"/>
            </w:pPr>
            <w:r>
              <w:t xml:space="preserve">Yalnızca firavunik</w:t>
            </w:r>
          </w:p>
        </w:tc>
        <w:tc>
          <w:tcPr/>
          <w:p>
            <w:pPr>
              <w:pStyle w:val="Compact"/>
              <w:jc w:val="left"/>
            </w:pPr>
            <w:r>
              <w:t xml:space="preserve">265</w:t>
            </w:r>
          </w:p>
        </w:tc>
        <w:tc>
          <w:tcPr/>
          <w:p>
            <w:pPr>
              <w:pStyle w:val="Compact"/>
              <w:jc w:val="left"/>
            </w:pPr>
            <w:r>
              <w:t xml:space="preserve">73,0</w:t>
            </w:r>
          </w:p>
        </w:tc>
      </w:tr>
      <w:tr>
        <w:tc>
          <w:tcPr/>
          <w:p>
            <w:pPr>
              <w:pStyle w:val="Compact"/>
            </w:pPr>
          </w:p>
        </w:tc>
        <w:tc>
          <w:tcPr/>
          <w:p>
            <w:pPr>
              <w:pStyle w:val="Compact"/>
              <w:jc w:val="left"/>
            </w:pPr>
            <w:r>
              <w:t xml:space="preserve">Yalnızca Sünni</w:t>
            </w:r>
          </w:p>
        </w:tc>
        <w:tc>
          <w:tcPr/>
          <w:p>
            <w:pPr>
              <w:pStyle w:val="Compact"/>
              <w:jc w:val="left"/>
            </w:pPr>
            <w:r>
              <w:t xml:space="preserve">7</w:t>
            </w:r>
          </w:p>
        </w:tc>
        <w:tc>
          <w:tcPr/>
          <w:p>
            <w:pPr>
              <w:pStyle w:val="Compact"/>
              <w:jc w:val="left"/>
            </w:pPr>
            <w:r>
              <w:t xml:space="preserve">1,9</w:t>
            </w:r>
          </w:p>
        </w:tc>
      </w:tr>
      <w:tr>
        <w:tc>
          <w:tcPr/>
          <w:p>
            <w:pPr>
              <w:pStyle w:val="Compact"/>
            </w:pPr>
          </w:p>
        </w:tc>
        <w:tc>
          <w:tcPr/>
          <w:p>
            <w:pPr>
              <w:pStyle w:val="Compact"/>
              <w:jc w:val="left"/>
            </w:pPr>
            <w:r>
              <w:t xml:space="preserve">Her iki tip</w:t>
            </w:r>
          </w:p>
        </w:tc>
        <w:tc>
          <w:tcPr/>
          <w:p>
            <w:pPr>
              <w:pStyle w:val="Compact"/>
              <w:jc w:val="left"/>
            </w:pPr>
            <w:r>
              <w:t xml:space="preserve">48</w:t>
            </w:r>
          </w:p>
        </w:tc>
        <w:tc>
          <w:tcPr/>
          <w:p>
            <w:pPr>
              <w:pStyle w:val="Compact"/>
              <w:jc w:val="left"/>
            </w:pPr>
            <w:r>
              <w:t xml:space="preserve">13,2</w:t>
            </w:r>
          </w:p>
        </w:tc>
      </w:tr>
      <w:tr>
        <w:tc>
          <w:tcPr/>
          <w:p>
            <w:pPr>
              <w:pStyle w:val="Compact"/>
            </w:pPr>
          </w:p>
        </w:tc>
        <w:tc>
          <w:tcPr/>
          <w:p>
            <w:pPr>
              <w:pStyle w:val="Compact"/>
              <w:jc w:val="left"/>
            </w:pPr>
            <w:r>
              <w:t xml:space="preserve">Hiçbiri</w:t>
            </w:r>
          </w:p>
        </w:tc>
        <w:tc>
          <w:tcPr/>
          <w:p>
            <w:pPr>
              <w:pStyle w:val="Compact"/>
              <w:jc w:val="left"/>
            </w:pPr>
            <w:r>
              <w:t xml:space="preserve">43</w:t>
            </w:r>
          </w:p>
        </w:tc>
        <w:tc>
          <w:tcPr/>
          <w:p>
            <w:pPr>
              <w:pStyle w:val="Compact"/>
              <w:jc w:val="left"/>
            </w:pPr>
            <w:r>
              <w:t xml:space="preserve">11,8</w:t>
            </w:r>
          </w:p>
        </w:tc>
      </w:tr>
    </w:tbl>
    <w:bookmarkEnd w:id="31"/>
    <w:bookmarkStart w:id="32" w:name="eğitim-öncesi-tutumlar"/>
    <w:p>
      <w:pPr>
        <w:pStyle w:val="Heading2"/>
      </w:pPr>
      <w:r>
        <w:t xml:space="preserve">Eğitim öncesi tutumlar</w:t>
      </w:r>
    </w:p>
    <w:p>
      <w:pPr>
        <w:pStyle w:val="FirstParagraph"/>
      </w:pPr>
      <w:r>
        <w:t xml:space="preserve">Katılımcıların yalnızca %44,9’u FGM’yi zararlı bir geleneksel uygulama olarak görürken %39,4’ü zararın tipe bağlı olduğuna inanıyordu. Yasal durum konusunda %43,0’ı yalnızca firavunik tipin yasayla yasaklandığını düşünürken %33,9’u emin değildi; bu da hukuki farkındalıkta boşluklar olduğunu göstermektedir. Katılımcıların yarıdan fazlası (%58,4) FGM’nin bekâreti koruduğu düşüncesini reddetti. Sünnetsiz kızlar konusunda görüşler bölünmüştü: %52,1’i onları</w:t>
      </w:r>
      <w:r>
        <w:t xml:space="preserve"> </w:t>
      </w:r>
      <w:r>
        <w:t xml:space="preserve">“</w:t>
      </w:r>
      <w:r>
        <w:t xml:space="preserve">iyi kız</w:t>
      </w:r>
      <w:r>
        <w:t xml:space="preserve">”</w:t>
      </w:r>
      <w:r>
        <w:t xml:space="preserve"> </w:t>
      </w:r>
      <w:r>
        <w:t xml:space="preserve">saymazken %47,9’u aksini düşünüyordu. Katılımcıların çoğu (%65,0) sünnetsiz kadınların daha fazla cinsel duyarlılık yaşadığına inanıyordu. Katılımcıların %78,2’si kızlarını Sünni tipte sünnet ettireceğini bildirdi. Benzer biçimde %66,4’ü FGM’nin Sünni biçimde sürmesi gerektiğine inanıyor, %70,2’si gelecekte de Sünni tipin sürmesini onaylıyordu. Dikkat çekici biçimde katılımcıların %56,5’i toplumsal baskının görüşlerini etkilediğini, %75,2’si ise din adamlarının görüşlerini etkileyebileceğini kabul etti (Tablo 3).</w:t>
      </w:r>
    </w:p>
    <w:p>
      <w:pPr>
        <w:pStyle w:val="BodyText"/>
      </w:pPr>
      <w:r>
        <w:rPr>
          <w:bCs/>
          <w:b/>
        </w:rPr>
        <w:t xml:space="preserve">Tablo 3.</w:t>
      </w:r>
      <w:r>
        <w:t xml:space="preserve"> </w:t>
      </w:r>
      <w:r>
        <w:t xml:space="preserve">Kadın sünnetine yönelik tutumlar (eğitim öncesi)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Değişken</w:t>
            </w:r>
          </w:p>
        </w:tc>
        <w:tc>
          <w:tcPr/>
          <w:p>
            <w:pPr>
              <w:pStyle w:val="Compact"/>
              <w:jc w:val="left"/>
            </w:pPr>
            <w:r>
              <w:t xml:space="preserve">Yanıt</w:t>
            </w:r>
          </w:p>
        </w:tc>
        <w:tc>
          <w:tcPr/>
          <w:p>
            <w:pPr>
              <w:pStyle w:val="Compact"/>
              <w:jc w:val="left"/>
            </w:pPr>
            <w:r>
              <w:t xml:space="preserve">n</w:t>
            </w:r>
          </w:p>
        </w:tc>
        <w:tc>
          <w:tcPr/>
          <w:p>
            <w:pPr>
              <w:pStyle w:val="Compact"/>
              <w:jc w:val="left"/>
            </w:pPr>
            <w:r>
              <w:t xml:space="preserve">%</w:t>
            </w:r>
          </w:p>
        </w:tc>
      </w:tr>
      <w:tr>
        <w:tc>
          <w:tcPr/>
          <w:p>
            <w:pPr>
              <w:pStyle w:val="Compact"/>
              <w:jc w:val="left"/>
            </w:pPr>
            <w:r>
              <w:t xml:space="preserve">FGM zararlıdır</w:t>
            </w:r>
          </w:p>
        </w:tc>
        <w:tc>
          <w:tcPr/>
          <w:p>
            <w:pPr>
              <w:pStyle w:val="Compact"/>
              <w:jc w:val="left"/>
            </w:pPr>
            <w:r>
              <w:t xml:space="preserve">Evet</w:t>
            </w:r>
          </w:p>
        </w:tc>
        <w:tc>
          <w:tcPr/>
          <w:p>
            <w:pPr>
              <w:pStyle w:val="Compact"/>
              <w:jc w:val="left"/>
            </w:pPr>
            <w:r>
              <w:t xml:space="preserve">163</w:t>
            </w:r>
          </w:p>
        </w:tc>
        <w:tc>
          <w:tcPr/>
          <w:p>
            <w:pPr>
              <w:pStyle w:val="Compact"/>
              <w:jc w:val="left"/>
            </w:pPr>
            <w:r>
              <w:t xml:space="preserve">44,9</w:t>
            </w:r>
          </w:p>
        </w:tc>
      </w:tr>
      <w:tr>
        <w:tc>
          <w:tcPr/>
          <w:p>
            <w:pPr>
              <w:pStyle w:val="Compact"/>
            </w:pPr>
          </w:p>
        </w:tc>
        <w:tc>
          <w:tcPr/>
          <w:p>
            <w:pPr>
              <w:pStyle w:val="Compact"/>
              <w:jc w:val="left"/>
            </w:pPr>
            <w:r>
              <w:t xml:space="preserve">Hayır</w:t>
            </w:r>
          </w:p>
        </w:tc>
        <w:tc>
          <w:tcPr/>
          <w:p>
            <w:pPr>
              <w:pStyle w:val="Compact"/>
              <w:jc w:val="left"/>
            </w:pPr>
            <w:r>
              <w:t xml:space="preserve">57</w:t>
            </w:r>
          </w:p>
        </w:tc>
        <w:tc>
          <w:tcPr/>
          <w:p>
            <w:pPr>
              <w:pStyle w:val="Compact"/>
              <w:jc w:val="left"/>
            </w:pPr>
            <w:r>
              <w:t xml:space="preserve">15,7</w:t>
            </w:r>
          </w:p>
        </w:tc>
      </w:tr>
      <w:tr>
        <w:tc>
          <w:tcPr/>
          <w:p>
            <w:pPr>
              <w:pStyle w:val="Compact"/>
            </w:pPr>
          </w:p>
        </w:tc>
        <w:tc>
          <w:tcPr/>
          <w:p>
            <w:pPr>
              <w:pStyle w:val="Compact"/>
              <w:jc w:val="left"/>
            </w:pPr>
            <w:r>
              <w:t xml:space="preserve">Tipe bağlı</w:t>
            </w:r>
          </w:p>
        </w:tc>
        <w:tc>
          <w:tcPr/>
          <w:p>
            <w:pPr>
              <w:pStyle w:val="Compact"/>
              <w:jc w:val="left"/>
            </w:pPr>
            <w:r>
              <w:t xml:space="preserve">143</w:t>
            </w:r>
          </w:p>
        </w:tc>
        <w:tc>
          <w:tcPr/>
          <w:p>
            <w:pPr>
              <w:pStyle w:val="Compact"/>
              <w:jc w:val="left"/>
            </w:pPr>
            <w:r>
              <w:t xml:space="preserve">39,4</w:t>
            </w:r>
          </w:p>
        </w:tc>
      </w:tr>
      <w:tr>
        <w:tc>
          <w:tcPr/>
          <w:p>
            <w:pPr>
              <w:pStyle w:val="Compact"/>
              <w:jc w:val="left"/>
            </w:pPr>
            <w:r>
              <w:t xml:space="preserve">FGM yasayla yasaklanmıştır</w:t>
            </w:r>
          </w:p>
        </w:tc>
        <w:tc>
          <w:tcPr/>
          <w:p>
            <w:pPr>
              <w:pStyle w:val="Compact"/>
              <w:jc w:val="left"/>
            </w:pPr>
            <w:r>
              <w:t xml:space="preserve">Yalnızca firavunik</w:t>
            </w:r>
          </w:p>
        </w:tc>
        <w:tc>
          <w:tcPr/>
          <w:p>
            <w:pPr>
              <w:pStyle w:val="Compact"/>
              <w:jc w:val="left"/>
            </w:pPr>
            <w:r>
              <w:t xml:space="preserve">156</w:t>
            </w:r>
          </w:p>
        </w:tc>
        <w:tc>
          <w:tcPr/>
          <w:p>
            <w:pPr>
              <w:pStyle w:val="Compact"/>
              <w:jc w:val="left"/>
            </w:pPr>
            <w:r>
              <w:t xml:space="preserve">43,0</w:t>
            </w:r>
          </w:p>
        </w:tc>
      </w:tr>
      <w:tr>
        <w:tc>
          <w:tcPr/>
          <w:p>
            <w:pPr>
              <w:pStyle w:val="Compact"/>
            </w:pPr>
          </w:p>
        </w:tc>
        <w:tc>
          <w:tcPr/>
          <w:p>
            <w:pPr>
              <w:pStyle w:val="Compact"/>
              <w:jc w:val="left"/>
            </w:pPr>
            <w:r>
              <w:t xml:space="preserve">Yalnızca Sünni</w:t>
            </w:r>
          </w:p>
        </w:tc>
        <w:tc>
          <w:tcPr/>
          <w:p>
            <w:pPr>
              <w:pStyle w:val="Compact"/>
              <w:jc w:val="left"/>
            </w:pPr>
            <w:r>
              <w:t xml:space="preserve">3</w:t>
            </w:r>
          </w:p>
        </w:tc>
        <w:tc>
          <w:tcPr/>
          <w:p>
            <w:pPr>
              <w:pStyle w:val="Compact"/>
              <w:jc w:val="left"/>
            </w:pPr>
            <w:r>
              <w:t xml:space="preserve">0,8</w:t>
            </w:r>
          </w:p>
        </w:tc>
      </w:tr>
      <w:tr>
        <w:tc>
          <w:tcPr/>
          <w:p>
            <w:pPr>
              <w:pStyle w:val="Compact"/>
            </w:pPr>
          </w:p>
        </w:tc>
        <w:tc>
          <w:tcPr/>
          <w:p>
            <w:pPr>
              <w:pStyle w:val="Compact"/>
              <w:jc w:val="left"/>
            </w:pPr>
            <w:r>
              <w:t xml:space="preserve">Her iki tip</w:t>
            </w:r>
          </w:p>
        </w:tc>
        <w:tc>
          <w:tcPr/>
          <w:p>
            <w:pPr>
              <w:pStyle w:val="Compact"/>
              <w:jc w:val="left"/>
            </w:pPr>
            <w:r>
              <w:t xml:space="preserve">81</w:t>
            </w:r>
          </w:p>
        </w:tc>
        <w:tc>
          <w:tcPr/>
          <w:p>
            <w:pPr>
              <w:pStyle w:val="Compact"/>
              <w:jc w:val="left"/>
            </w:pPr>
            <w:r>
              <w:t xml:space="preserve">22,3</w:t>
            </w:r>
          </w:p>
        </w:tc>
      </w:tr>
      <w:tr>
        <w:tc>
          <w:tcPr/>
          <w:p>
            <w:pPr>
              <w:pStyle w:val="Compact"/>
            </w:pPr>
          </w:p>
        </w:tc>
        <w:tc>
          <w:tcPr/>
          <w:p>
            <w:pPr>
              <w:pStyle w:val="Compact"/>
              <w:jc w:val="left"/>
            </w:pPr>
            <w:r>
              <w:t xml:space="preserve">Bilmiyorum</w:t>
            </w:r>
          </w:p>
        </w:tc>
        <w:tc>
          <w:tcPr/>
          <w:p>
            <w:pPr>
              <w:pStyle w:val="Compact"/>
              <w:jc w:val="left"/>
            </w:pPr>
            <w:r>
              <w:t xml:space="preserve">123</w:t>
            </w:r>
          </w:p>
        </w:tc>
        <w:tc>
          <w:tcPr/>
          <w:p>
            <w:pPr>
              <w:pStyle w:val="Compact"/>
              <w:jc w:val="left"/>
            </w:pPr>
            <w:r>
              <w:t xml:space="preserve">33,9</w:t>
            </w:r>
          </w:p>
        </w:tc>
      </w:tr>
      <w:tr>
        <w:tc>
          <w:tcPr/>
          <w:p>
            <w:pPr>
              <w:pStyle w:val="Compact"/>
              <w:jc w:val="left"/>
            </w:pPr>
            <w:r>
              <w:t xml:space="preserve">FGM bekâreti korur</w:t>
            </w:r>
          </w:p>
        </w:tc>
        <w:tc>
          <w:tcPr/>
          <w:p>
            <w:pPr>
              <w:pStyle w:val="Compact"/>
              <w:jc w:val="left"/>
            </w:pPr>
            <w:r>
              <w:t xml:space="preserve">Yalnızca Sünni</w:t>
            </w:r>
          </w:p>
        </w:tc>
        <w:tc>
          <w:tcPr/>
          <w:p>
            <w:pPr>
              <w:pStyle w:val="Compact"/>
              <w:jc w:val="left"/>
            </w:pPr>
            <w:r>
              <w:t xml:space="preserve">43</w:t>
            </w:r>
          </w:p>
        </w:tc>
        <w:tc>
          <w:tcPr/>
          <w:p>
            <w:pPr>
              <w:pStyle w:val="Compact"/>
              <w:jc w:val="left"/>
            </w:pPr>
            <w:r>
              <w:t xml:space="preserve">11,8</w:t>
            </w:r>
          </w:p>
        </w:tc>
      </w:tr>
      <w:tr>
        <w:tc>
          <w:tcPr/>
          <w:p>
            <w:pPr>
              <w:pStyle w:val="Compact"/>
            </w:pPr>
          </w:p>
        </w:tc>
        <w:tc>
          <w:tcPr/>
          <w:p>
            <w:pPr>
              <w:pStyle w:val="Compact"/>
              <w:jc w:val="left"/>
            </w:pPr>
            <w:r>
              <w:t xml:space="preserve">Yalnızca firavunik</w:t>
            </w:r>
          </w:p>
        </w:tc>
        <w:tc>
          <w:tcPr/>
          <w:p>
            <w:pPr>
              <w:pStyle w:val="Compact"/>
              <w:jc w:val="left"/>
            </w:pPr>
            <w:r>
              <w:t xml:space="preserve">23</w:t>
            </w:r>
          </w:p>
        </w:tc>
        <w:tc>
          <w:tcPr/>
          <w:p>
            <w:pPr>
              <w:pStyle w:val="Compact"/>
              <w:jc w:val="left"/>
            </w:pPr>
            <w:r>
              <w:t xml:space="preserve">6,3</w:t>
            </w:r>
          </w:p>
        </w:tc>
      </w:tr>
      <w:tr>
        <w:tc>
          <w:tcPr/>
          <w:p>
            <w:pPr>
              <w:pStyle w:val="Compact"/>
            </w:pPr>
          </w:p>
        </w:tc>
        <w:tc>
          <w:tcPr/>
          <w:p>
            <w:pPr>
              <w:pStyle w:val="Compact"/>
              <w:jc w:val="left"/>
            </w:pPr>
            <w:r>
              <w:t xml:space="preserve">Her iki tip</w:t>
            </w:r>
          </w:p>
        </w:tc>
        <w:tc>
          <w:tcPr/>
          <w:p>
            <w:pPr>
              <w:pStyle w:val="Compact"/>
              <w:jc w:val="left"/>
            </w:pPr>
            <w:r>
              <w:t xml:space="preserve">85</w:t>
            </w:r>
          </w:p>
        </w:tc>
        <w:tc>
          <w:tcPr/>
          <w:p>
            <w:pPr>
              <w:pStyle w:val="Compact"/>
              <w:jc w:val="left"/>
            </w:pPr>
            <w:r>
              <w:t xml:space="preserve">23,4</w:t>
            </w:r>
          </w:p>
        </w:tc>
      </w:tr>
      <w:tr>
        <w:tc>
          <w:tcPr/>
          <w:p>
            <w:pPr>
              <w:pStyle w:val="Compact"/>
            </w:pPr>
          </w:p>
        </w:tc>
        <w:tc>
          <w:tcPr/>
          <w:p>
            <w:pPr>
              <w:pStyle w:val="Compact"/>
              <w:jc w:val="left"/>
            </w:pPr>
            <w:r>
              <w:t xml:space="preserve">Hayır</w:t>
            </w:r>
          </w:p>
        </w:tc>
        <w:tc>
          <w:tcPr/>
          <w:p>
            <w:pPr>
              <w:pStyle w:val="Compact"/>
              <w:jc w:val="left"/>
            </w:pPr>
            <w:r>
              <w:t xml:space="preserve">212</w:t>
            </w:r>
          </w:p>
        </w:tc>
        <w:tc>
          <w:tcPr/>
          <w:p>
            <w:pPr>
              <w:pStyle w:val="Compact"/>
              <w:jc w:val="left"/>
            </w:pPr>
            <w:r>
              <w:t xml:space="preserve">58,4</w:t>
            </w:r>
          </w:p>
        </w:tc>
      </w:tr>
      <w:tr>
        <w:tc>
          <w:tcPr/>
          <w:p>
            <w:pPr>
              <w:pStyle w:val="Compact"/>
              <w:jc w:val="left"/>
            </w:pPr>
            <w:r>
              <w:t xml:space="preserve">Sünnetsiz kızlar iyidir</w:t>
            </w:r>
          </w:p>
        </w:tc>
        <w:tc>
          <w:tcPr/>
          <w:p>
            <w:pPr>
              <w:pStyle w:val="Compact"/>
              <w:jc w:val="left"/>
            </w:pPr>
            <w:r>
              <w:t xml:space="preserve">Evet</w:t>
            </w:r>
          </w:p>
        </w:tc>
        <w:tc>
          <w:tcPr/>
          <w:p>
            <w:pPr>
              <w:pStyle w:val="Compact"/>
              <w:jc w:val="left"/>
            </w:pPr>
            <w:r>
              <w:t xml:space="preserve">174</w:t>
            </w:r>
          </w:p>
        </w:tc>
        <w:tc>
          <w:tcPr/>
          <w:p>
            <w:pPr>
              <w:pStyle w:val="Compact"/>
              <w:jc w:val="left"/>
            </w:pPr>
            <w:r>
              <w:t xml:space="preserve">47,9</w:t>
            </w:r>
          </w:p>
        </w:tc>
      </w:tr>
      <w:tr>
        <w:tc>
          <w:tcPr/>
          <w:p>
            <w:pPr>
              <w:pStyle w:val="Compact"/>
            </w:pPr>
          </w:p>
        </w:tc>
        <w:tc>
          <w:tcPr/>
          <w:p>
            <w:pPr>
              <w:pStyle w:val="Compact"/>
              <w:jc w:val="left"/>
            </w:pPr>
            <w:r>
              <w:t xml:space="preserve">Hayır</w:t>
            </w:r>
          </w:p>
        </w:tc>
        <w:tc>
          <w:tcPr/>
          <w:p>
            <w:pPr>
              <w:pStyle w:val="Compact"/>
              <w:jc w:val="left"/>
            </w:pPr>
            <w:r>
              <w:t xml:space="preserve">189</w:t>
            </w:r>
          </w:p>
        </w:tc>
        <w:tc>
          <w:tcPr/>
          <w:p>
            <w:pPr>
              <w:pStyle w:val="Compact"/>
              <w:jc w:val="left"/>
            </w:pPr>
            <w:r>
              <w:t xml:space="preserve">52,1</w:t>
            </w:r>
          </w:p>
        </w:tc>
      </w:tr>
      <w:tr>
        <w:tc>
          <w:tcPr/>
          <w:p>
            <w:pPr>
              <w:pStyle w:val="Compact"/>
              <w:jc w:val="left"/>
            </w:pPr>
            <w:r>
              <w:t xml:space="preserve">Sünnetsiz kadınlar daha fazla hisseder</w:t>
            </w:r>
          </w:p>
        </w:tc>
        <w:tc>
          <w:tcPr/>
          <w:p>
            <w:pPr>
              <w:pStyle w:val="Compact"/>
              <w:jc w:val="left"/>
            </w:pPr>
            <w:r>
              <w:t xml:space="preserve">Evet</w:t>
            </w:r>
          </w:p>
        </w:tc>
        <w:tc>
          <w:tcPr/>
          <w:p>
            <w:pPr>
              <w:pStyle w:val="Compact"/>
              <w:jc w:val="left"/>
            </w:pPr>
            <w:r>
              <w:t xml:space="preserve">236</w:t>
            </w:r>
          </w:p>
        </w:tc>
        <w:tc>
          <w:tcPr/>
          <w:p>
            <w:pPr>
              <w:pStyle w:val="Compact"/>
              <w:jc w:val="left"/>
            </w:pPr>
            <w:r>
              <w:t xml:space="preserve">65,0</w:t>
            </w:r>
          </w:p>
        </w:tc>
      </w:tr>
      <w:tr>
        <w:tc>
          <w:tcPr/>
          <w:p>
            <w:pPr>
              <w:pStyle w:val="Compact"/>
            </w:pPr>
          </w:p>
        </w:tc>
        <w:tc>
          <w:tcPr/>
          <w:p>
            <w:pPr>
              <w:pStyle w:val="Compact"/>
              <w:jc w:val="left"/>
            </w:pPr>
            <w:r>
              <w:t xml:space="preserve">Hayır</w:t>
            </w:r>
          </w:p>
        </w:tc>
        <w:tc>
          <w:tcPr/>
          <w:p>
            <w:pPr>
              <w:pStyle w:val="Compact"/>
              <w:jc w:val="left"/>
            </w:pPr>
            <w:r>
              <w:t xml:space="preserve">127</w:t>
            </w:r>
          </w:p>
        </w:tc>
        <w:tc>
          <w:tcPr/>
          <w:p>
            <w:pPr>
              <w:pStyle w:val="Compact"/>
              <w:jc w:val="left"/>
            </w:pPr>
            <w:r>
              <w:t xml:space="preserve">35,0</w:t>
            </w:r>
          </w:p>
        </w:tc>
      </w:tr>
      <w:tr>
        <w:tc>
          <w:tcPr/>
          <w:p>
            <w:pPr>
              <w:pStyle w:val="Compact"/>
              <w:jc w:val="left"/>
            </w:pPr>
            <w:r>
              <w:t xml:space="preserve">Kızını sünnet ettirir</w:t>
            </w:r>
          </w:p>
        </w:tc>
        <w:tc>
          <w:tcPr/>
          <w:p>
            <w:pPr>
              <w:pStyle w:val="Compact"/>
              <w:jc w:val="left"/>
            </w:pPr>
            <w:r>
              <w:t xml:space="preserve">Evet, Sünni</w:t>
            </w:r>
          </w:p>
        </w:tc>
        <w:tc>
          <w:tcPr/>
          <w:p>
            <w:pPr>
              <w:pStyle w:val="Compact"/>
              <w:jc w:val="left"/>
            </w:pPr>
            <w:r>
              <w:t xml:space="preserve">284</w:t>
            </w:r>
          </w:p>
        </w:tc>
        <w:tc>
          <w:tcPr/>
          <w:p>
            <w:pPr>
              <w:pStyle w:val="Compact"/>
              <w:jc w:val="left"/>
            </w:pPr>
            <w:r>
              <w:t xml:space="preserve">78,2</w:t>
            </w:r>
          </w:p>
        </w:tc>
      </w:tr>
      <w:tr>
        <w:tc>
          <w:tcPr/>
          <w:p>
            <w:pPr>
              <w:pStyle w:val="Compact"/>
            </w:pPr>
          </w:p>
        </w:tc>
        <w:tc>
          <w:tcPr/>
          <w:p>
            <w:pPr>
              <w:pStyle w:val="Compact"/>
              <w:jc w:val="left"/>
            </w:pPr>
            <w:r>
              <w:t xml:space="preserve">Evet, firavunik</w:t>
            </w:r>
          </w:p>
        </w:tc>
        <w:tc>
          <w:tcPr/>
          <w:p>
            <w:pPr>
              <w:pStyle w:val="Compact"/>
              <w:jc w:val="left"/>
            </w:pPr>
            <w:r>
              <w:t xml:space="preserve">9</w:t>
            </w:r>
          </w:p>
        </w:tc>
        <w:tc>
          <w:tcPr/>
          <w:p>
            <w:pPr>
              <w:pStyle w:val="Compact"/>
              <w:jc w:val="left"/>
            </w:pPr>
            <w:r>
              <w:t xml:space="preserve">2,5</w:t>
            </w:r>
          </w:p>
        </w:tc>
      </w:tr>
      <w:tr>
        <w:tc>
          <w:tcPr/>
          <w:p>
            <w:pPr>
              <w:pStyle w:val="Compact"/>
            </w:pPr>
          </w:p>
        </w:tc>
        <w:tc>
          <w:tcPr/>
          <w:p>
            <w:pPr>
              <w:pStyle w:val="Compact"/>
              <w:jc w:val="left"/>
            </w:pPr>
            <w:r>
              <w:t xml:space="preserve">Hayır</w:t>
            </w:r>
          </w:p>
        </w:tc>
        <w:tc>
          <w:tcPr/>
          <w:p>
            <w:pPr>
              <w:pStyle w:val="Compact"/>
              <w:jc w:val="left"/>
            </w:pPr>
            <w:r>
              <w:t xml:space="preserve">70</w:t>
            </w:r>
          </w:p>
        </w:tc>
        <w:tc>
          <w:tcPr/>
          <w:p>
            <w:pPr>
              <w:pStyle w:val="Compact"/>
              <w:jc w:val="left"/>
            </w:pPr>
            <w:r>
              <w:t xml:space="preserve">19,3</w:t>
            </w:r>
          </w:p>
        </w:tc>
      </w:tr>
      <w:tr>
        <w:tc>
          <w:tcPr/>
          <w:p>
            <w:pPr>
              <w:pStyle w:val="Compact"/>
              <w:jc w:val="left"/>
            </w:pPr>
            <w:r>
              <w:t xml:space="preserve">FGM sürmelidir</w:t>
            </w:r>
          </w:p>
        </w:tc>
        <w:tc>
          <w:tcPr/>
          <w:p>
            <w:pPr>
              <w:pStyle w:val="Compact"/>
              <w:jc w:val="left"/>
            </w:pPr>
            <w:r>
              <w:t xml:space="preserve">Yalnızca firavunik</w:t>
            </w:r>
          </w:p>
        </w:tc>
        <w:tc>
          <w:tcPr/>
          <w:p>
            <w:pPr>
              <w:pStyle w:val="Compact"/>
              <w:jc w:val="left"/>
            </w:pPr>
            <w:r>
              <w:t xml:space="preserve">8</w:t>
            </w:r>
          </w:p>
        </w:tc>
        <w:tc>
          <w:tcPr/>
          <w:p>
            <w:pPr>
              <w:pStyle w:val="Compact"/>
              <w:jc w:val="left"/>
            </w:pPr>
            <w:r>
              <w:t xml:space="preserve">2,2</w:t>
            </w:r>
          </w:p>
        </w:tc>
      </w:tr>
      <w:tr>
        <w:tc>
          <w:tcPr/>
          <w:p>
            <w:pPr>
              <w:pStyle w:val="Compact"/>
            </w:pPr>
          </w:p>
        </w:tc>
        <w:tc>
          <w:tcPr/>
          <w:p>
            <w:pPr>
              <w:pStyle w:val="Compact"/>
              <w:jc w:val="left"/>
            </w:pPr>
            <w:r>
              <w:t xml:space="preserve">Yalnızca Sünni</w:t>
            </w:r>
          </w:p>
        </w:tc>
        <w:tc>
          <w:tcPr/>
          <w:p>
            <w:pPr>
              <w:pStyle w:val="Compact"/>
              <w:jc w:val="left"/>
            </w:pPr>
            <w:r>
              <w:t xml:space="preserve">241</w:t>
            </w:r>
          </w:p>
        </w:tc>
        <w:tc>
          <w:tcPr/>
          <w:p>
            <w:pPr>
              <w:pStyle w:val="Compact"/>
              <w:jc w:val="left"/>
            </w:pPr>
            <w:r>
              <w:t xml:space="preserve">66,4</w:t>
            </w:r>
          </w:p>
        </w:tc>
      </w:tr>
      <w:tr>
        <w:tc>
          <w:tcPr/>
          <w:p>
            <w:pPr>
              <w:pStyle w:val="Compact"/>
            </w:pPr>
          </w:p>
        </w:tc>
        <w:tc>
          <w:tcPr/>
          <w:p>
            <w:pPr>
              <w:pStyle w:val="Compact"/>
              <w:jc w:val="left"/>
            </w:pPr>
            <w:r>
              <w:t xml:space="preserve">Her iki tip</w:t>
            </w:r>
          </w:p>
        </w:tc>
        <w:tc>
          <w:tcPr/>
          <w:p>
            <w:pPr>
              <w:pStyle w:val="Compact"/>
              <w:jc w:val="left"/>
            </w:pPr>
            <w:r>
              <w:t xml:space="preserve">3</w:t>
            </w:r>
          </w:p>
        </w:tc>
        <w:tc>
          <w:tcPr/>
          <w:p>
            <w:pPr>
              <w:pStyle w:val="Compact"/>
              <w:jc w:val="left"/>
            </w:pPr>
            <w:r>
              <w:t xml:space="preserve">0,8</w:t>
            </w:r>
          </w:p>
        </w:tc>
      </w:tr>
      <w:tr>
        <w:tc>
          <w:tcPr/>
          <w:p>
            <w:pPr>
              <w:pStyle w:val="Compact"/>
            </w:pPr>
          </w:p>
        </w:tc>
        <w:tc>
          <w:tcPr/>
          <w:p>
            <w:pPr>
              <w:pStyle w:val="Compact"/>
              <w:jc w:val="left"/>
            </w:pPr>
            <w:r>
              <w:t xml:space="preserve">Hiçbiri</w:t>
            </w:r>
          </w:p>
        </w:tc>
        <w:tc>
          <w:tcPr/>
          <w:p>
            <w:pPr>
              <w:pStyle w:val="Compact"/>
              <w:jc w:val="left"/>
            </w:pPr>
            <w:r>
              <w:t xml:space="preserve">111</w:t>
            </w:r>
          </w:p>
        </w:tc>
        <w:tc>
          <w:tcPr/>
          <w:p>
            <w:pPr>
              <w:pStyle w:val="Compact"/>
              <w:jc w:val="left"/>
            </w:pPr>
            <w:r>
              <w:t xml:space="preserve">30,6</w:t>
            </w:r>
          </w:p>
        </w:tc>
      </w:tr>
      <w:tr>
        <w:tc>
          <w:tcPr/>
          <w:p>
            <w:pPr>
              <w:pStyle w:val="Compact"/>
              <w:jc w:val="left"/>
            </w:pPr>
            <w:r>
              <w:t xml:space="preserve">FGM 5 yaşından önce yapılmalıdır</w:t>
            </w:r>
          </w:p>
        </w:tc>
        <w:tc>
          <w:tcPr/>
          <w:p>
            <w:pPr>
              <w:pStyle w:val="Compact"/>
              <w:jc w:val="left"/>
            </w:pPr>
            <w:r>
              <w:t xml:space="preserve">Evet</w:t>
            </w:r>
          </w:p>
        </w:tc>
        <w:tc>
          <w:tcPr/>
          <w:p>
            <w:pPr>
              <w:pStyle w:val="Compact"/>
              <w:jc w:val="left"/>
            </w:pPr>
            <w:r>
              <w:t xml:space="preserve">112</w:t>
            </w:r>
          </w:p>
        </w:tc>
        <w:tc>
          <w:tcPr/>
          <w:p>
            <w:pPr>
              <w:pStyle w:val="Compact"/>
              <w:jc w:val="left"/>
            </w:pPr>
            <w:r>
              <w:t xml:space="preserve">30,9</w:t>
            </w:r>
          </w:p>
        </w:tc>
      </w:tr>
      <w:tr>
        <w:tc>
          <w:tcPr/>
          <w:p>
            <w:pPr>
              <w:pStyle w:val="Compact"/>
            </w:pPr>
          </w:p>
        </w:tc>
        <w:tc>
          <w:tcPr/>
          <w:p>
            <w:pPr>
              <w:pStyle w:val="Compact"/>
              <w:jc w:val="left"/>
            </w:pPr>
            <w:r>
              <w:t xml:space="preserve">Hayır</w:t>
            </w:r>
          </w:p>
        </w:tc>
        <w:tc>
          <w:tcPr/>
          <w:p>
            <w:pPr>
              <w:pStyle w:val="Compact"/>
              <w:jc w:val="left"/>
            </w:pPr>
            <w:r>
              <w:t xml:space="preserve">251</w:t>
            </w:r>
          </w:p>
        </w:tc>
        <w:tc>
          <w:tcPr/>
          <w:p>
            <w:pPr>
              <w:pStyle w:val="Compact"/>
              <w:jc w:val="left"/>
            </w:pPr>
            <w:r>
              <w:t xml:space="preserve">69,1</w:t>
            </w:r>
          </w:p>
        </w:tc>
      </w:tr>
      <w:tr>
        <w:tc>
          <w:tcPr/>
          <w:p>
            <w:pPr>
              <w:pStyle w:val="Compact"/>
              <w:jc w:val="left"/>
            </w:pPr>
            <w:r>
              <w:t xml:space="preserve">Toplumsal baskı kararı etkiler</w:t>
            </w:r>
          </w:p>
        </w:tc>
        <w:tc>
          <w:tcPr/>
          <w:p>
            <w:pPr>
              <w:pStyle w:val="Compact"/>
              <w:jc w:val="left"/>
            </w:pPr>
            <w:r>
              <w:t xml:space="preserve">Evet</w:t>
            </w:r>
          </w:p>
        </w:tc>
        <w:tc>
          <w:tcPr/>
          <w:p>
            <w:pPr>
              <w:pStyle w:val="Compact"/>
              <w:jc w:val="left"/>
            </w:pPr>
            <w:r>
              <w:t xml:space="preserve">205</w:t>
            </w:r>
          </w:p>
        </w:tc>
        <w:tc>
          <w:tcPr/>
          <w:p>
            <w:pPr>
              <w:pStyle w:val="Compact"/>
              <w:jc w:val="left"/>
            </w:pPr>
            <w:r>
              <w:t xml:space="preserve">56,5</w:t>
            </w:r>
          </w:p>
        </w:tc>
      </w:tr>
      <w:tr>
        <w:tc>
          <w:tcPr/>
          <w:p>
            <w:pPr>
              <w:pStyle w:val="Compact"/>
            </w:pPr>
          </w:p>
        </w:tc>
        <w:tc>
          <w:tcPr/>
          <w:p>
            <w:pPr>
              <w:pStyle w:val="Compact"/>
              <w:jc w:val="left"/>
            </w:pPr>
            <w:r>
              <w:t xml:space="preserve">Hayır</w:t>
            </w:r>
          </w:p>
        </w:tc>
        <w:tc>
          <w:tcPr/>
          <w:p>
            <w:pPr>
              <w:pStyle w:val="Compact"/>
              <w:jc w:val="left"/>
            </w:pPr>
            <w:r>
              <w:t xml:space="preserve">158</w:t>
            </w:r>
          </w:p>
        </w:tc>
        <w:tc>
          <w:tcPr/>
          <w:p>
            <w:pPr>
              <w:pStyle w:val="Compact"/>
              <w:jc w:val="left"/>
            </w:pPr>
            <w:r>
              <w:t xml:space="preserve">43,5</w:t>
            </w:r>
          </w:p>
        </w:tc>
      </w:tr>
      <w:tr>
        <w:tc>
          <w:tcPr/>
          <w:p>
            <w:pPr>
              <w:pStyle w:val="Compact"/>
              <w:jc w:val="left"/>
            </w:pPr>
            <w:r>
              <w:t xml:space="preserve">Din adamları görüşü etkileyebilir</w:t>
            </w:r>
          </w:p>
        </w:tc>
        <w:tc>
          <w:tcPr/>
          <w:p>
            <w:pPr>
              <w:pStyle w:val="Compact"/>
              <w:jc w:val="left"/>
            </w:pPr>
            <w:r>
              <w:t xml:space="preserve">Evet</w:t>
            </w:r>
          </w:p>
        </w:tc>
        <w:tc>
          <w:tcPr/>
          <w:p>
            <w:pPr>
              <w:pStyle w:val="Compact"/>
              <w:jc w:val="left"/>
            </w:pPr>
            <w:r>
              <w:t xml:space="preserve">273</w:t>
            </w:r>
          </w:p>
        </w:tc>
        <w:tc>
          <w:tcPr/>
          <w:p>
            <w:pPr>
              <w:pStyle w:val="Compact"/>
              <w:jc w:val="left"/>
            </w:pPr>
            <w:r>
              <w:t xml:space="preserve">75,2</w:t>
            </w:r>
          </w:p>
        </w:tc>
      </w:tr>
      <w:tr>
        <w:tc>
          <w:tcPr/>
          <w:p>
            <w:pPr>
              <w:pStyle w:val="Compact"/>
            </w:pPr>
          </w:p>
        </w:tc>
        <w:tc>
          <w:tcPr/>
          <w:p>
            <w:pPr>
              <w:pStyle w:val="Compact"/>
              <w:jc w:val="left"/>
            </w:pPr>
            <w:r>
              <w:t xml:space="preserve">Hayır</w:t>
            </w:r>
          </w:p>
        </w:tc>
        <w:tc>
          <w:tcPr/>
          <w:p>
            <w:pPr>
              <w:pStyle w:val="Compact"/>
              <w:jc w:val="left"/>
            </w:pPr>
            <w:r>
              <w:t xml:space="preserve">89</w:t>
            </w:r>
          </w:p>
        </w:tc>
        <w:tc>
          <w:tcPr/>
          <w:p>
            <w:pPr>
              <w:pStyle w:val="Compact"/>
              <w:jc w:val="left"/>
            </w:pPr>
            <w:r>
              <w:t xml:space="preserve">24,5</w:t>
            </w:r>
          </w:p>
        </w:tc>
      </w:tr>
      <w:tr>
        <w:tc>
          <w:tcPr/>
          <w:p>
            <w:pPr>
              <w:pStyle w:val="Compact"/>
              <w:jc w:val="left"/>
            </w:pPr>
            <w:r>
              <w:t xml:space="preserve">Gelecekte FGM’yi onaylar</w:t>
            </w:r>
          </w:p>
        </w:tc>
        <w:tc>
          <w:tcPr/>
          <w:p>
            <w:pPr>
              <w:pStyle w:val="Compact"/>
              <w:jc w:val="left"/>
            </w:pPr>
            <w:r>
              <w:t xml:space="preserve">Evet, Sünni</w:t>
            </w:r>
          </w:p>
        </w:tc>
        <w:tc>
          <w:tcPr/>
          <w:p>
            <w:pPr>
              <w:pStyle w:val="Compact"/>
              <w:jc w:val="left"/>
            </w:pPr>
            <w:r>
              <w:t xml:space="preserve">255</w:t>
            </w:r>
          </w:p>
        </w:tc>
        <w:tc>
          <w:tcPr/>
          <w:p>
            <w:pPr>
              <w:pStyle w:val="Compact"/>
              <w:jc w:val="left"/>
            </w:pPr>
            <w:r>
              <w:t xml:space="preserve">70,2</w:t>
            </w:r>
          </w:p>
        </w:tc>
      </w:tr>
      <w:tr>
        <w:tc>
          <w:tcPr/>
          <w:p>
            <w:pPr>
              <w:pStyle w:val="Compact"/>
            </w:pPr>
          </w:p>
        </w:tc>
        <w:tc>
          <w:tcPr/>
          <w:p>
            <w:pPr>
              <w:pStyle w:val="Compact"/>
              <w:jc w:val="left"/>
            </w:pPr>
            <w:r>
              <w:t xml:space="preserve">Evet, firavunik</w:t>
            </w:r>
          </w:p>
        </w:tc>
        <w:tc>
          <w:tcPr/>
          <w:p>
            <w:pPr>
              <w:pStyle w:val="Compact"/>
              <w:jc w:val="left"/>
            </w:pPr>
            <w:r>
              <w:t xml:space="preserve">21</w:t>
            </w:r>
          </w:p>
        </w:tc>
        <w:tc>
          <w:tcPr/>
          <w:p>
            <w:pPr>
              <w:pStyle w:val="Compact"/>
              <w:jc w:val="left"/>
            </w:pPr>
            <w:r>
              <w:t xml:space="preserve">5,8</w:t>
            </w:r>
          </w:p>
        </w:tc>
      </w:tr>
      <w:tr>
        <w:tc>
          <w:tcPr/>
          <w:p>
            <w:pPr>
              <w:pStyle w:val="Compact"/>
            </w:pPr>
          </w:p>
        </w:tc>
        <w:tc>
          <w:tcPr/>
          <w:p>
            <w:pPr>
              <w:pStyle w:val="Compact"/>
              <w:jc w:val="left"/>
            </w:pPr>
            <w:r>
              <w:t xml:space="preserve">Hayır</w:t>
            </w:r>
          </w:p>
        </w:tc>
        <w:tc>
          <w:tcPr/>
          <w:p>
            <w:pPr>
              <w:pStyle w:val="Compact"/>
              <w:jc w:val="left"/>
            </w:pPr>
            <w:r>
              <w:t xml:space="preserve">87</w:t>
            </w:r>
          </w:p>
        </w:tc>
        <w:tc>
          <w:tcPr/>
          <w:p>
            <w:pPr>
              <w:pStyle w:val="Compact"/>
              <w:jc w:val="left"/>
            </w:pPr>
            <w:r>
              <w:t xml:space="preserve">24,0</w:t>
            </w:r>
          </w:p>
        </w:tc>
      </w:tr>
    </w:tbl>
    <w:bookmarkEnd w:id="32"/>
    <w:bookmarkStart w:id="33" w:name="algılanan-sonuçlar"/>
    <w:p>
      <w:pPr>
        <w:pStyle w:val="Heading2"/>
      </w:pPr>
      <w:r>
        <w:t xml:space="preserve">Algılanan sonuçlar</w:t>
      </w:r>
    </w:p>
    <w:p>
      <w:pPr>
        <w:pStyle w:val="FirstParagraph"/>
      </w:pPr>
      <w:r>
        <w:t xml:space="preserve">Katılımcıların çoğu (%54,8) ruh sağlığı sorunlarının yalnızca firavunik tipe maruz kalanlarda görüldüğünü düşünürken %34,4’ü FGM’nin ruh sağlığı açısından hiçbir sonucu olmadığını düşünüyordu. Benzer şekilde %37,2’si tetanos riskini yalnızca firavunik tiple ilişkilendirirken %31,1’i her iki tipin de tetanosa yol açabileceğine inanıyordu. Evlenebilirlik konusunda katılımcıların %57,3’ü FGM’ye maruz kalmanın evlenme şansını azalttığını belirtti; bu bulgu uygulamanın geleneksel gerekçelerinden birini sorgulamaktadır. Uzun dönem komplikasyonlar sorulduğunda %57,6’sı bunlara yalnızca firavunik tipin yol açtığını düşünürken %29,2’si uzun dönem komplikasyon olduğunu tümüyle reddetti. Bu bulgular, özellikle ağır biçimler için bazı sağlık risklerinin bilindiğini, ancak yanlış kanıların ve bilgi boşluklarının sürdüğünü göstermektedir (Tablo 4).</w:t>
      </w:r>
    </w:p>
    <w:p>
      <w:pPr>
        <w:pStyle w:val="BodyText"/>
      </w:pPr>
      <w:r>
        <w:rPr>
          <w:bCs/>
          <w:b/>
        </w:rPr>
        <w:t xml:space="preserve">Tablo 4.</w:t>
      </w:r>
      <w:r>
        <w:t xml:space="preserve"> </w:t>
      </w:r>
      <w:r>
        <w:t xml:space="preserve">Kadın sünnetinin algılanan sonuçları (eğitim öncesi)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Değişken</w:t>
            </w:r>
          </w:p>
        </w:tc>
        <w:tc>
          <w:tcPr/>
          <w:p>
            <w:pPr>
              <w:pStyle w:val="Compact"/>
              <w:jc w:val="left"/>
            </w:pPr>
            <w:r>
              <w:t xml:space="preserve">Yanıt</w:t>
            </w:r>
          </w:p>
        </w:tc>
        <w:tc>
          <w:tcPr/>
          <w:p>
            <w:pPr>
              <w:pStyle w:val="Compact"/>
              <w:jc w:val="left"/>
            </w:pPr>
            <w:r>
              <w:t xml:space="preserve">n</w:t>
            </w:r>
          </w:p>
        </w:tc>
        <w:tc>
          <w:tcPr/>
          <w:p>
            <w:pPr>
              <w:pStyle w:val="Compact"/>
              <w:jc w:val="left"/>
            </w:pPr>
            <w:r>
              <w:t xml:space="preserve">%</w:t>
            </w:r>
          </w:p>
        </w:tc>
      </w:tr>
      <w:tr>
        <w:tc>
          <w:tcPr/>
          <w:p>
            <w:pPr>
              <w:pStyle w:val="Compact"/>
              <w:jc w:val="left"/>
            </w:pPr>
            <w:r>
              <w:t xml:space="preserve">Ruh sağlığı sorunları</w:t>
            </w:r>
          </w:p>
        </w:tc>
        <w:tc>
          <w:tcPr/>
          <w:p>
            <w:pPr>
              <w:pStyle w:val="Compact"/>
              <w:jc w:val="left"/>
            </w:pPr>
            <w:r>
              <w:t xml:space="preserve">Yalnızca firavunik</w:t>
            </w:r>
          </w:p>
        </w:tc>
        <w:tc>
          <w:tcPr/>
          <w:p>
            <w:pPr>
              <w:pStyle w:val="Compact"/>
              <w:jc w:val="left"/>
            </w:pPr>
            <w:r>
              <w:t xml:space="preserve">199</w:t>
            </w:r>
          </w:p>
        </w:tc>
        <w:tc>
          <w:tcPr/>
          <w:p>
            <w:pPr>
              <w:pStyle w:val="Compact"/>
              <w:jc w:val="left"/>
            </w:pPr>
            <w:r>
              <w:t xml:space="preserve">54,8</w:t>
            </w:r>
          </w:p>
        </w:tc>
      </w:tr>
      <w:tr>
        <w:tc>
          <w:tcPr/>
          <w:p>
            <w:pPr>
              <w:pStyle w:val="Compact"/>
            </w:pPr>
          </w:p>
        </w:tc>
        <w:tc>
          <w:tcPr/>
          <w:p>
            <w:pPr>
              <w:pStyle w:val="Compact"/>
              <w:jc w:val="left"/>
            </w:pPr>
            <w:r>
              <w:t xml:space="preserve">Yalnızca Sünni</w:t>
            </w:r>
          </w:p>
        </w:tc>
        <w:tc>
          <w:tcPr/>
          <w:p>
            <w:pPr>
              <w:pStyle w:val="Compact"/>
              <w:jc w:val="left"/>
            </w:pPr>
            <w:r>
              <w:t xml:space="preserve">8</w:t>
            </w:r>
          </w:p>
        </w:tc>
        <w:tc>
          <w:tcPr/>
          <w:p>
            <w:pPr>
              <w:pStyle w:val="Compact"/>
              <w:jc w:val="left"/>
            </w:pPr>
            <w:r>
              <w:t xml:space="preserve">2,2</w:t>
            </w:r>
          </w:p>
        </w:tc>
      </w:tr>
      <w:tr>
        <w:tc>
          <w:tcPr/>
          <w:p>
            <w:pPr>
              <w:pStyle w:val="Compact"/>
            </w:pPr>
          </w:p>
        </w:tc>
        <w:tc>
          <w:tcPr/>
          <w:p>
            <w:pPr>
              <w:pStyle w:val="Compact"/>
              <w:jc w:val="left"/>
            </w:pPr>
            <w:r>
              <w:t xml:space="preserve">Her iki tip</w:t>
            </w:r>
          </w:p>
        </w:tc>
        <w:tc>
          <w:tcPr/>
          <w:p>
            <w:pPr>
              <w:pStyle w:val="Compact"/>
              <w:jc w:val="left"/>
            </w:pPr>
            <w:r>
              <w:t xml:space="preserve">31</w:t>
            </w:r>
          </w:p>
        </w:tc>
        <w:tc>
          <w:tcPr/>
          <w:p>
            <w:pPr>
              <w:pStyle w:val="Compact"/>
              <w:jc w:val="left"/>
            </w:pPr>
            <w:r>
              <w:t xml:space="preserve">8,5</w:t>
            </w:r>
          </w:p>
        </w:tc>
      </w:tr>
      <w:tr>
        <w:tc>
          <w:tcPr/>
          <w:p>
            <w:pPr>
              <w:pStyle w:val="Compact"/>
            </w:pPr>
          </w:p>
        </w:tc>
        <w:tc>
          <w:tcPr/>
          <w:p>
            <w:pPr>
              <w:pStyle w:val="Compact"/>
              <w:jc w:val="left"/>
            </w:pPr>
            <w:r>
              <w:t xml:space="preserve">Hayır</w:t>
            </w:r>
          </w:p>
        </w:tc>
        <w:tc>
          <w:tcPr/>
          <w:p>
            <w:pPr>
              <w:pStyle w:val="Compact"/>
              <w:jc w:val="left"/>
            </w:pPr>
            <w:r>
              <w:t xml:space="preserve">125</w:t>
            </w:r>
          </w:p>
        </w:tc>
        <w:tc>
          <w:tcPr/>
          <w:p>
            <w:pPr>
              <w:pStyle w:val="Compact"/>
              <w:jc w:val="left"/>
            </w:pPr>
            <w:r>
              <w:t xml:space="preserve">34,4</w:t>
            </w:r>
          </w:p>
        </w:tc>
      </w:tr>
      <w:tr>
        <w:tc>
          <w:tcPr/>
          <w:p>
            <w:pPr>
              <w:pStyle w:val="Compact"/>
              <w:jc w:val="left"/>
            </w:pPr>
            <w:r>
              <w:t xml:space="preserve">FGM tetanosa yol açar</w:t>
            </w:r>
          </w:p>
        </w:tc>
        <w:tc>
          <w:tcPr/>
          <w:p>
            <w:pPr>
              <w:pStyle w:val="Compact"/>
              <w:jc w:val="left"/>
            </w:pPr>
            <w:r>
              <w:t xml:space="preserve">Yalnızca firavunik</w:t>
            </w:r>
          </w:p>
        </w:tc>
        <w:tc>
          <w:tcPr/>
          <w:p>
            <w:pPr>
              <w:pStyle w:val="Compact"/>
              <w:jc w:val="left"/>
            </w:pPr>
            <w:r>
              <w:t xml:space="preserve">135</w:t>
            </w:r>
          </w:p>
        </w:tc>
        <w:tc>
          <w:tcPr/>
          <w:p>
            <w:pPr>
              <w:pStyle w:val="Compact"/>
              <w:jc w:val="left"/>
            </w:pPr>
            <w:r>
              <w:t xml:space="preserve">37,2</w:t>
            </w:r>
          </w:p>
        </w:tc>
      </w:tr>
      <w:tr>
        <w:tc>
          <w:tcPr/>
          <w:p>
            <w:pPr>
              <w:pStyle w:val="Compact"/>
            </w:pPr>
          </w:p>
        </w:tc>
        <w:tc>
          <w:tcPr/>
          <w:p>
            <w:pPr>
              <w:pStyle w:val="Compact"/>
              <w:jc w:val="left"/>
            </w:pPr>
            <w:r>
              <w:t xml:space="preserve">Yalnızca Sünni</w:t>
            </w:r>
          </w:p>
        </w:tc>
        <w:tc>
          <w:tcPr/>
          <w:p>
            <w:pPr>
              <w:pStyle w:val="Compact"/>
              <w:jc w:val="left"/>
            </w:pPr>
            <w:r>
              <w:t xml:space="preserve">12</w:t>
            </w:r>
          </w:p>
        </w:tc>
        <w:tc>
          <w:tcPr/>
          <w:p>
            <w:pPr>
              <w:pStyle w:val="Compact"/>
              <w:jc w:val="left"/>
            </w:pPr>
            <w:r>
              <w:t xml:space="preserve">3,3</w:t>
            </w:r>
          </w:p>
        </w:tc>
      </w:tr>
      <w:tr>
        <w:tc>
          <w:tcPr/>
          <w:p>
            <w:pPr>
              <w:pStyle w:val="Compact"/>
            </w:pPr>
          </w:p>
        </w:tc>
        <w:tc>
          <w:tcPr/>
          <w:p>
            <w:pPr>
              <w:pStyle w:val="Compact"/>
              <w:jc w:val="left"/>
            </w:pPr>
            <w:r>
              <w:t xml:space="preserve">Her iki tip</w:t>
            </w:r>
          </w:p>
        </w:tc>
        <w:tc>
          <w:tcPr/>
          <w:p>
            <w:pPr>
              <w:pStyle w:val="Compact"/>
              <w:jc w:val="left"/>
            </w:pPr>
            <w:r>
              <w:t xml:space="preserve">113</w:t>
            </w:r>
          </w:p>
        </w:tc>
        <w:tc>
          <w:tcPr/>
          <w:p>
            <w:pPr>
              <w:pStyle w:val="Compact"/>
              <w:jc w:val="left"/>
            </w:pPr>
            <w:r>
              <w:t xml:space="preserve">31,1</w:t>
            </w:r>
          </w:p>
        </w:tc>
      </w:tr>
      <w:tr>
        <w:tc>
          <w:tcPr/>
          <w:p>
            <w:pPr>
              <w:pStyle w:val="Compact"/>
            </w:pPr>
          </w:p>
        </w:tc>
        <w:tc>
          <w:tcPr/>
          <w:p>
            <w:pPr>
              <w:pStyle w:val="Compact"/>
              <w:jc w:val="left"/>
            </w:pPr>
            <w:r>
              <w:t xml:space="preserve">Hayır</w:t>
            </w:r>
          </w:p>
        </w:tc>
        <w:tc>
          <w:tcPr/>
          <w:p>
            <w:pPr>
              <w:pStyle w:val="Compact"/>
              <w:jc w:val="left"/>
            </w:pPr>
            <w:r>
              <w:t xml:space="preserve">103</w:t>
            </w:r>
          </w:p>
        </w:tc>
        <w:tc>
          <w:tcPr/>
          <w:p>
            <w:pPr>
              <w:pStyle w:val="Compact"/>
              <w:jc w:val="left"/>
            </w:pPr>
            <w:r>
              <w:t xml:space="preserve">28,4</w:t>
            </w:r>
          </w:p>
        </w:tc>
      </w:tr>
      <w:tr>
        <w:tc>
          <w:tcPr/>
          <w:p>
            <w:pPr>
              <w:pStyle w:val="Compact"/>
              <w:jc w:val="left"/>
            </w:pPr>
            <w:r>
              <w:t xml:space="preserve">FGM’nin evlenme şansına etkisi</w:t>
            </w:r>
          </w:p>
        </w:tc>
        <w:tc>
          <w:tcPr/>
          <w:p>
            <w:pPr>
              <w:pStyle w:val="Compact"/>
              <w:jc w:val="left"/>
            </w:pPr>
            <w:r>
              <w:t xml:space="preserve">Yüksek şans</w:t>
            </w:r>
          </w:p>
        </w:tc>
        <w:tc>
          <w:tcPr/>
          <w:p>
            <w:pPr>
              <w:pStyle w:val="Compact"/>
              <w:jc w:val="left"/>
            </w:pPr>
            <w:r>
              <w:t xml:space="preserve">155</w:t>
            </w:r>
          </w:p>
        </w:tc>
        <w:tc>
          <w:tcPr/>
          <w:p>
            <w:pPr>
              <w:pStyle w:val="Compact"/>
              <w:jc w:val="left"/>
            </w:pPr>
            <w:r>
              <w:t xml:space="preserve">42,7</w:t>
            </w:r>
          </w:p>
        </w:tc>
      </w:tr>
      <w:tr>
        <w:tc>
          <w:tcPr/>
          <w:p>
            <w:pPr>
              <w:pStyle w:val="Compact"/>
            </w:pPr>
          </w:p>
        </w:tc>
        <w:tc>
          <w:tcPr/>
          <w:p>
            <w:pPr>
              <w:pStyle w:val="Compact"/>
              <w:jc w:val="left"/>
            </w:pPr>
            <w:r>
              <w:t xml:space="preserve">Düşük şans</w:t>
            </w:r>
          </w:p>
        </w:tc>
        <w:tc>
          <w:tcPr/>
          <w:p>
            <w:pPr>
              <w:pStyle w:val="Compact"/>
              <w:jc w:val="left"/>
            </w:pPr>
            <w:r>
              <w:t xml:space="preserve">208</w:t>
            </w:r>
          </w:p>
        </w:tc>
        <w:tc>
          <w:tcPr/>
          <w:p>
            <w:pPr>
              <w:pStyle w:val="Compact"/>
              <w:jc w:val="left"/>
            </w:pPr>
            <w:r>
              <w:t xml:space="preserve">57,3</w:t>
            </w:r>
          </w:p>
        </w:tc>
      </w:tr>
      <w:tr>
        <w:tc>
          <w:tcPr/>
          <w:p>
            <w:pPr>
              <w:pStyle w:val="Compact"/>
              <w:jc w:val="left"/>
            </w:pPr>
            <w:r>
              <w:t xml:space="preserve">Uzun dönem komplikasyonlar</w:t>
            </w:r>
          </w:p>
        </w:tc>
        <w:tc>
          <w:tcPr/>
          <w:p>
            <w:pPr>
              <w:pStyle w:val="Compact"/>
              <w:jc w:val="left"/>
            </w:pPr>
            <w:r>
              <w:t xml:space="preserve">Yalnızca firavunik</w:t>
            </w:r>
          </w:p>
        </w:tc>
        <w:tc>
          <w:tcPr/>
          <w:p>
            <w:pPr>
              <w:pStyle w:val="Compact"/>
              <w:jc w:val="left"/>
            </w:pPr>
            <w:r>
              <w:t xml:space="preserve">209</w:t>
            </w:r>
          </w:p>
        </w:tc>
        <w:tc>
          <w:tcPr/>
          <w:p>
            <w:pPr>
              <w:pStyle w:val="Compact"/>
              <w:jc w:val="left"/>
            </w:pPr>
            <w:r>
              <w:t xml:space="preserve">57,6</w:t>
            </w:r>
          </w:p>
        </w:tc>
      </w:tr>
      <w:tr>
        <w:tc>
          <w:tcPr/>
          <w:p>
            <w:pPr>
              <w:pStyle w:val="Compact"/>
            </w:pPr>
          </w:p>
        </w:tc>
        <w:tc>
          <w:tcPr/>
          <w:p>
            <w:pPr>
              <w:pStyle w:val="Compact"/>
              <w:jc w:val="left"/>
            </w:pPr>
            <w:r>
              <w:t xml:space="preserve">Yalnızca Sünni</w:t>
            </w:r>
          </w:p>
        </w:tc>
        <w:tc>
          <w:tcPr/>
          <w:p>
            <w:pPr>
              <w:pStyle w:val="Compact"/>
              <w:jc w:val="left"/>
            </w:pPr>
            <w:r>
              <w:t xml:space="preserve">13</w:t>
            </w:r>
          </w:p>
        </w:tc>
        <w:tc>
          <w:tcPr/>
          <w:p>
            <w:pPr>
              <w:pStyle w:val="Compact"/>
              <w:jc w:val="left"/>
            </w:pPr>
            <w:r>
              <w:t xml:space="preserve">3,6</w:t>
            </w:r>
          </w:p>
        </w:tc>
      </w:tr>
      <w:tr>
        <w:tc>
          <w:tcPr/>
          <w:p>
            <w:pPr>
              <w:pStyle w:val="Compact"/>
            </w:pPr>
          </w:p>
        </w:tc>
        <w:tc>
          <w:tcPr/>
          <w:p>
            <w:pPr>
              <w:pStyle w:val="Compact"/>
              <w:jc w:val="left"/>
            </w:pPr>
            <w:r>
              <w:t xml:space="preserve">Her iki tip</w:t>
            </w:r>
          </w:p>
        </w:tc>
        <w:tc>
          <w:tcPr/>
          <w:p>
            <w:pPr>
              <w:pStyle w:val="Compact"/>
              <w:jc w:val="left"/>
            </w:pPr>
            <w:r>
              <w:t xml:space="preserve">35</w:t>
            </w:r>
          </w:p>
        </w:tc>
        <w:tc>
          <w:tcPr/>
          <w:p>
            <w:pPr>
              <w:pStyle w:val="Compact"/>
              <w:jc w:val="left"/>
            </w:pPr>
            <w:r>
              <w:t xml:space="preserve">9,6</w:t>
            </w:r>
          </w:p>
        </w:tc>
      </w:tr>
      <w:tr>
        <w:tc>
          <w:tcPr/>
          <w:p>
            <w:pPr>
              <w:pStyle w:val="Compact"/>
            </w:pPr>
          </w:p>
        </w:tc>
        <w:tc>
          <w:tcPr/>
          <w:p>
            <w:pPr>
              <w:pStyle w:val="Compact"/>
              <w:jc w:val="left"/>
            </w:pPr>
            <w:r>
              <w:t xml:space="preserve">Hayır</w:t>
            </w:r>
          </w:p>
        </w:tc>
        <w:tc>
          <w:tcPr/>
          <w:p>
            <w:pPr>
              <w:pStyle w:val="Compact"/>
              <w:jc w:val="left"/>
            </w:pPr>
            <w:r>
              <w:t xml:space="preserve">106</w:t>
            </w:r>
          </w:p>
        </w:tc>
        <w:tc>
          <w:tcPr/>
          <w:p>
            <w:pPr>
              <w:pStyle w:val="Compact"/>
              <w:jc w:val="left"/>
            </w:pPr>
            <w:r>
              <w:t xml:space="preserve">29,2</w:t>
            </w:r>
          </w:p>
        </w:tc>
      </w:tr>
    </w:tbl>
    <w:bookmarkEnd w:id="33"/>
    <w:bookmarkStart w:id="34" w:name="tutumlarla-ilişkili-etkenler"/>
    <w:p>
      <w:pPr>
        <w:pStyle w:val="Heading2"/>
      </w:pPr>
      <w:r>
        <w:t xml:space="preserve">Tutumlarla ilişkili etkenler</w:t>
      </w:r>
    </w:p>
    <w:p>
      <w:pPr>
        <w:pStyle w:val="FirstParagraph"/>
      </w:pPr>
      <w:r>
        <w:t xml:space="preserve">FGM’ye yönelik tutumlar cinsiyete göre anlamlı farklılık göstermedi: kadınların %44,0’ı ve erkeklerin %46,6’sı FGM’yi zararlı buluyordu, χ²(2, N=363)=0,325, p=0,850. Buna karşılık eğitim düzeyi tutumlarla anlamlı biçimde ilişkiliydi. Eğitim düzeyi yeterli olanların %52,8’i FGM’yi zararlı bulurken bu oran düşük eğitimlilerde %35,5’ti. Ayrıca düşük eğitimlilerin %25,3’ü FGM’nin zararlı olmadığını belirtirken yeterli eğitimlilerde bu oran yalnızca %7,6’ydı, χ²(2, N=363)=23,922, p&lt;0,001. Çalışma durumu da tutumlarla anlamlı biçimde ilişkiliydi, χ²(10, N=363)=60,552, p&lt;0,001. Sağlık çalışanlarının %67,9’u ve vasıflı işçilerin %57,4’ü FGM’yi zararlı bulurken bu oran ev hanımlarında yalnızca %4,2’ydi; ev hanımlarının %68,8’i zararın tipe bağlı olduğunu düşünüyordu (Tablo 5). Kruskal-Wallis testi, üç tutum grubu arasında yaş açısından anlamlı bir fark göstermedi, H(2)=3,422, p=0,181. Yaş ortalaması, FGM’yi zararlı bulanlarda 27,60 (SS=7,32), zararlı bulmayanlarda 30,75 (SS=10,77) ve</w:t>
      </w:r>
      <w:r>
        <w:t xml:space="preserve"> </w:t>
      </w:r>
      <w:r>
        <w:t xml:space="preserve">“</w:t>
      </w:r>
      <w:r>
        <w:t xml:space="preserve">tipe bağlı</w:t>
      </w:r>
      <w:r>
        <w:t xml:space="preserve">”</w:t>
      </w:r>
      <w:r>
        <w:t xml:space="preserve"> </w:t>
      </w:r>
      <w:r>
        <w:t xml:space="preserve">diyenlerde 27,56 (SS=8,55) idi.</w:t>
      </w:r>
    </w:p>
    <w:p>
      <w:pPr>
        <w:pStyle w:val="BodyText"/>
      </w:pPr>
      <w:r>
        <w:rPr>
          <w:bCs/>
          <w:b/>
        </w:rPr>
        <w:t xml:space="preserve">Tablo 5.</w:t>
      </w:r>
      <w:r>
        <w:t xml:space="preserve"> </w:t>
      </w:r>
      <w:r>
        <w:t xml:space="preserve">Cinsiyet, eğitim düzeyi ve çalışma durumuna göre FGM’ye yönelik tutum, n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Değişken</w:t>
            </w:r>
          </w:p>
        </w:tc>
        <w:tc>
          <w:tcPr/>
          <w:p>
            <w:pPr>
              <w:pStyle w:val="Compact"/>
              <w:jc w:val="left"/>
            </w:pPr>
            <w:r>
              <w:t xml:space="preserve">FGM zararlıdır</w:t>
            </w:r>
          </w:p>
        </w:tc>
        <w:tc>
          <w:tcPr/>
          <w:p>
            <w:pPr>
              <w:pStyle w:val="Compact"/>
              <w:jc w:val="left"/>
            </w:pPr>
            <w:r>
              <w:t xml:space="preserve">Zararlı değildir</w:t>
            </w:r>
          </w:p>
        </w:tc>
        <w:tc>
          <w:tcPr/>
          <w:p>
            <w:pPr>
              <w:pStyle w:val="Compact"/>
              <w:jc w:val="left"/>
            </w:pPr>
            <w:r>
              <w:t xml:space="preserve">Tipe bağlıdır</w:t>
            </w:r>
          </w:p>
        </w:tc>
        <w:tc>
          <w:tcPr/>
          <w:p>
            <w:pPr>
              <w:pStyle w:val="Compact"/>
              <w:jc w:val="left"/>
            </w:pPr>
            <w:r>
              <w:t xml:space="preserve">Toplam</w:t>
            </w:r>
          </w:p>
        </w:tc>
        <w:tc>
          <w:tcPr/>
          <w:p>
            <w:pPr>
              <w:pStyle w:val="Compact"/>
              <w:jc w:val="left"/>
            </w:pPr>
            <w:r>
              <w:t xml:space="preserve">p</w:t>
            </w:r>
          </w:p>
        </w:tc>
      </w:tr>
      <w:tr>
        <w:tc>
          <w:tcPr/>
          <w:p>
            <w:pPr>
              <w:pStyle w:val="Compact"/>
              <w:jc w:val="left"/>
            </w:pPr>
            <w:r>
              <w:rPr>
                <w:bCs/>
                <w:b/>
              </w:rPr>
              <w:t xml:space="preserve">Cinsiyet</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0,850</w:t>
            </w:r>
          </w:p>
        </w:tc>
      </w:tr>
      <w:tr>
        <w:tc>
          <w:tcPr/>
          <w:p>
            <w:pPr>
              <w:pStyle w:val="Compact"/>
              <w:jc w:val="left"/>
            </w:pPr>
            <w:r>
              <w:t xml:space="preserve">Kadın</w:t>
            </w:r>
          </w:p>
        </w:tc>
        <w:tc>
          <w:tcPr/>
          <w:p>
            <w:pPr>
              <w:pStyle w:val="Compact"/>
              <w:jc w:val="left"/>
            </w:pPr>
            <w:r>
              <w:t xml:space="preserve">102 (44,0)</w:t>
            </w:r>
          </w:p>
        </w:tc>
        <w:tc>
          <w:tcPr/>
          <w:p>
            <w:pPr>
              <w:pStyle w:val="Compact"/>
              <w:jc w:val="left"/>
            </w:pPr>
            <w:r>
              <w:t xml:space="preserve">38 (16,4)</w:t>
            </w:r>
          </w:p>
        </w:tc>
        <w:tc>
          <w:tcPr/>
          <w:p>
            <w:pPr>
              <w:pStyle w:val="Compact"/>
              <w:jc w:val="left"/>
            </w:pPr>
            <w:r>
              <w:t xml:space="preserve">92 (39,7)</w:t>
            </w:r>
          </w:p>
        </w:tc>
        <w:tc>
          <w:tcPr/>
          <w:p>
            <w:pPr>
              <w:pStyle w:val="Compact"/>
              <w:jc w:val="left"/>
            </w:pPr>
            <w:r>
              <w:t xml:space="preserve">232</w:t>
            </w:r>
          </w:p>
        </w:tc>
        <w:tc>
          <w:tcPr/>
          <w:p>
            <w:pPr>
              <w:pStyle w:val="Compact"/>
            </w:pPr>
          </w:p>
        </w:tc>
      </w:tr>
      <w:tr>
        <w:tc>
          <w:tcPr/>
          <w:p>
            <w:pPr>
              <w:pStyle w:val="Compact"/>
              <w:jc w:val="left"/>
            </w:pPr>
            <w:r>
              <w:t xml:space="preserve">Erkek</w:t>
            </w:r>
          </w:p>
        </w:tc>
        <w:tc>
          <w:tcPr/>
          <w:p>
            <w:pPr>
              <w:pStyle w:val="Compact"/>
              <w:jc w:val="left"/>
            </w:pPr>
            <w:r>
              <w:t xml:space="preserve">61 (46,6)</w:t>
            </w:r>
          </w:p>
        </w:tc>
        <w:tc>
          <w:tcPr/>
          <w:p>
            <w:pPr>
              <w:pStyle w:val="Compact"/>
              <w:jc w:val="left"/>
            </w:pPr>
            <w:r>
              <w:t xml:space="preserve">19 (14,5)</w:t>
            </w:r>
          </w:p>
        </w:tc>
        <w:tc>
          <w:tcPr/>
          <w:p>
            <w:pPr>
              <w:pStyle w:val="Compact"/>
              <w:jc w:val="left"/>
            </w:pPr>
            <w:r>
              <w:t xml:space="preserve">51 (38,9)</w:t>
            </w:r>
          </w:p>
        </w:tc>
        <w:tc>
          <w:tcPr/>
          <w:p>
            <w:pPr>
              <w:pStyle w:val="Compact"/>
              <w:jc w:val="left"/>
            </w:pPr>
            <w:r>
              <w:t xml:space="preserve">131</w:t>
            </w:r>
          </w:p>
        </w:tc>
        <w:tc>
          <w:tcPr/>
          <w:p>
            <w:pPr>
              <w:pStyle w:val="Compact"/>
            </w:pPr>
          </w:p>
        </w:tc>
      </w:tr>
      <w:tr>
        <w:tc>
          <w:tcPr/>
          <w:p>
            <w:pPr>
              <w:pStyle w:val="Compact"/>
              <w:jc w:val="left"/>
            </w:pPr>
            <w:r>
              <w:rPr>
                <w:bCs/>
                <w:b/>
              </w:rPr>
              <w:t xml:space="preserve">Eğitim</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&lt;0,001</w:t>
            </w:r>
          </w:p>
        </w:tc>
      </w:tr>
      <w:tr>
        <w:tc>
          <w:tcPr/>
          <w:p>
            <w:pPr>
              <w:pStyle w:val="Compact"/>
              <w:jc w:val="left"/>
            </w:pPr>
            <w:r>
              <w:t xml:space="preserve">Düşük eğitimli</w:t>
            </w:r>
          </w:p>
        </w:tc>
        <w:tc>
          <w:tcPr/>
          <w:p>
            <w:pPr>
              <w:pStyle w:val="Compact"/>
              <w:jc w:val="left"/>
            </w:pPr>
            <w:r>
              <w:t xml:space="preserve">59 (35,5)</w:t>
            </w:r>
          </w:p>
        </w:tc>
        <w:tc>
          <w:tcPr/>
          <w:p>
            <w:pPr>
              <w:pStyle w:val="Compact"/>
              <w:jc w:val="left"/>
            </w:pPr>
            <w:r>
              <w:t xml:space="preserve">42 (25,3)</w:t>
            </w:r>
          </w:p>
        </w:tc>
        <w:tc>
          <w:tcPr/>
          <w:p>
            <w:pPr>
              <w:pStyle w:val="Compact"/>
              <w:jc w:val="left"/>
            </w:pPr>
            <w:r>
              <w:t xml:space="preserve">65 (39,2)</w:t>
            </w:r>
          </w:p>
        </w:tc>
        <w:tc>
          <w:tcPr/>
          <w:p>
            <w:pPr>
              <w:pStyle w:val="Compact"/>
              <w:jc w:val="left"/>
            </w:pPr>
            <w:r>
              <w:t xml:space="preserve">166</w:t>
            </w:r>
          </w:p>
        </w:tc>
        <w:tc>
          <w:tcPr/>
          <w:p>
            <w:pPr>
              <w:pStyle w:val="Compact"/>
            </w:pPr>
          </w:p>
        </w:tc>
      </w:tr>
      <w:tr>
        <w:tc>
          <w:tcPr/>
          <w:p>
            <w:pPr>
              <w:pStyle w:val="Compact"/>
              <w:jc w:val="left"/>
            </w:pPr>
            <w:r>
              <w:t xml:space="preserve">Yeterli eğitimli</w:t>
            </w:r>
          </w:p>
        </w:tc>
        <w:tc>
          <w:tcPr/>
          <w:p>
            <w:pPr>
              <w:pStyle w:val="Compact"/>
              <w:jc w:val="left"/>
            </w:pPr>
            <w:r>
              <w:t xml:space="preserve">104 (52,8)</w:t>
            </w:r>
          </w:p>
        </w:tc>
        <w:tc>
          <w:tcPr/>
          <w:p>
            <w:pPr>
              <w:pStyle w:val="Compact"/>
              <w:jc w:val="left"/>
            </w:pPr>
            <w:r>
              <w:t xml:space="preserve">15 (7,6)</w:t>
            </w:r>
          </w:p>
        </w:tc>
        <w:tc>
          <w:tcPr/>
          <w:p>
            <w:pPr>
              <w:pStyle w:val="Compact"/>
              <w:jc w:val="left"/>
            </w:pPr>
            <w:r>
              <w:t xml:space="preserve">78 (39,6)</w:t>
            </w:r>
          </w:p>
        </w:tc>
        <w:tc>
          <w:tcPr/>
          <w:p>
            <w:pPr>
              <w:pStyle w:val="Compact"/>
              <w:jc w:val="left"/>
            </w:pPr>
            <w:r>
              <w:t xml:space="preserve">197</w:t>
            </w:r>
          </w:p>
        </w:tc>
        <w:tc>
          <w:tcPr/>
          <w:p>
            <w:pPr>
              <w:pStyle w:val="Compact"/>
            </w:pPr>
          </w:p>
        </w:tc>
      </w:tr>
      <w:tr>
        <w:tc>
          <w:tcPr/>
          <w:p>
            <w:pPr>
              <w:pStyle w:val="Compact"/>
              <w:jc w:val="left"/>
            </w:pPr>
            <w:r>
              <w:rPr>
                <w:bCs/>
                <w:b/>
              </w:rPr>
              <w:t xml:space="preserve">Çalışma durumu</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&lt;0,001</w:t>
            </w:r>
          </w:p>
        </w:tc>
      </w:tr>
      <w:tr>
        <w:tc>
          <w:tcPr/>
          <w:p>
            <w:pPr>
              <w:pStyle w:val="Compact"/>
              <w:jc w:val="left"/>
            </w:pPr>
            <w:r>
              <w:t xml:space="preserve">Vasıflı işçi</w:t>
            </w:r>
          </w:p>
        </w:tc>
        <w:tc>
          <w:tcPr/>
          <w:p>
            <w:pPr>
              <w:pStyle w:val="Compact"/>
              <w:jc w:val="left"/>
            </w:pPr>
            <w:r>
              <w:t xml:space="preserve">31 (57,4)</w:t>
            </w:r>
          </w:p>
        </w:tc>
        <w:tc>
          <w:tcPr/>
          <w:p>
            <w:pPr>
              <w:pStyle w:val="Compact"/>
              <w:jc w:val="left"/>
            </w:pPr>
            <w:r>
              <w:t xml:space="preserve">2 (3,7)</w:t>
            </w:r>
          </w:p>
        </w:tc>
        <w:tc>
          <w:tcPr/>
          <w:p>
            <w:pPr>
              <w:pStyle w:val="Compact"/>
              <w:jc w:val="left"/>
            </w:pPr>
            <w:r>
              <w:t xml:space="preserve">21 (38,9)</w:t>
            </w:r>
          </w:p>
        </w:tc>
        <w:tc>
          <w:tcPr/>
          <w:p>
            <w:pPr>
              <w:pStyle w:val="Compact"/>
              <w:jc w:val="left"/>
            </w:pPr>
            <w:r>
              <w:t xml:space="preserve">54</w:t>
            </w:r>
          </w:p>
        </w:tc>
        <w:tc>
          <w:tcPr/>
          <w:p>
            <w:pPr>
              <w:pStyle w:val="Compact"/>
            </w:pPr>
          </w:p>
        </w:tc>
      </w:tr>
      <w:tr>
        <w:tc>
          <w:tcPr/>
          <w:p>
            <w:pPr>
              <w:pStyle w:val="Compact"/>
              <w:jc w:val="left"/>
            </w:pPr>
            <w:r>
              <w:t xml:space="preserve">Vasıfsız işçi</w:t>
            </w:r>
          </w:p>
        </w:tc>
        <w:tc>
          <w:tcPr/>
          <w:p>
            <w:pPr>
              <w:pStyle w:val="Compact"/>
              <w:jc w:val="left"/>
            </w:pPr>
            <w:r>
              <w:t xml:space="preserve">59 (54,1)</w:t>
            </w:r>
          </w:p>
        </w:tc>
        <w:tc>
          <w:tcPr/>
          <w:p>
            <w:pPr>
              <w:pStyle w:val="Compact"/>
              <w:jc w:val="left"/>
            </w:pPr>
            <w:r>
              <w:t xml:space="preserve">22 (20,2)</w:t>
            </w:r>
          </w:p>
        </w:tc>
        <w:tc>
          <w:tcPr/>
          <w:p>
            <w:pPr>
              <w:pStyle w:val="Compact"/>
              <w:jc w:val="left"/>
            </w:pPr>
            <w:r>
              <w:t xml:space="preserve">28 (25,7)</w:t>
            </w:r>
          </w:p>
        </w:tc>
        <w:tc>
          <w:tcPr/>
          <w:p>
            <w:pPr>
              <w:pStyle w:val="Compact"/>
              <w:jc w:val="left"/>
            </w:pPr>
            <w:r>
              <w:t xml:space="preserve">109</w:t>
            </w:r>
          </w:p>
        </w:tc>
        <w:tc>
          <w:tcPr/>
          <w:p>
            <w:pPr>
              <w:pStyle w:val="Compact"/>
            </w:pPr>
          </w:p>
        </w:tc>
      </w:tr>
      <w:tr>
        <w:tc>
          <w:tcPr/>
          <w:p>
            <w:pPr>
              <w:pStyle w:val="Compact"/>
              <w:jc w:val="left"/>
            </w:pPr>
            <w:r>
              <w:t xml:space="preserve">Öğrenci</w:t>
            </w:r>
          </w:p>
        </w:tc>
        <w:tc>
          <w:tcPr/>
          <w:p>
            <w:pPr>
              <w:pStyle w:val="Compact"/>
              <w:jc w:val="left"/>
            </w:pPr>
            <w:r>
              <w:t xml:space="preserve">52 (43,0)</w:t>
            </w:r>
          </w:p>
        </w:tc>
        <w:tc>
          <w:tcPr/>
          <w:p>
            <w:pPr>
              <w:pStyle w:val="Compact"/>
              <w:jc w:val="left"/>
            </w:pPr>
            <w:r>
              <w:t xml:space="preserve">20 (16,5)</w:t>
            </w:r>
          </w:p>
        </w:tc>
        <w:tc>
          <w:tcPr/>
          <w:p>
            <w:pPr>
              <w:pStyle w:val="Compact"/>
              <w:jc w:val="left"/>
            </w:pPr>
            <w:r>
              <w:t xml:space="preserve">49 (40,5)</w:t>
            </w:r>
          </w:p>
        </w:tc>
        <w:tc>
          <w:tcPr/>
          <w:p>
            <w:pPr>
              <w:pStyle w:val="Compact"/>
              <w:jc w:val="left"/>
            </w:pPr>
            <w:r>
              <w:t xml:space="preserve">121</w:t>
            </w:r>
          </w:p>
        </w:tc>
        <w:tc>
          <w:tcPr/>
          <w:p>
            <w:pPr>
              <w:pStyle w:val="Compact"/>
            </w:pPr>
          </w:p>
        </w:tc>
      </w:tr>
      <w:tr>
        <w:tc>
          <w:tcPr/>
          <w:p>
            <w:pPr>
              <w:pStyle w:val="Compact"/>
              <w:jc w:val="left"/>
            </w:pPr>
            <w:r>
              <w:t xml:space="preserve">Çalışmıyor – ev hanımı</w:t>
            </w:r>
          </w:p>
        </w:tc>
        <w:tc>
          <w:tcPr/>
          <w:p>
            <w:pPr>
              <w:pStyle w:val="Compact"/>
              <w:jc w:val="left"/>
            </w:pPr>
            <w:r>
              <w:t xml:space="preserve">2 (4,2)</w:t>
            </w:r>
          </w:p>
        </w:tc>
        <w:tc>
          <w:tcPr/>
          <w:p>
            <w:pPr>
              <w:pStyle w:val="Compact"/>
              <w:jc w:val="left"/>
            </w:pPr>
            <w:r>
              <w:t xml:space="preserve">13 (27,1)</w:t>
            </w:r>
          </w:p>
        </w:tc>
        <w:tc>
          <w:tcPr/>
          <w:p>
            <w:pPr>
              <w:pStyle w:val="Compact"/>
              <w:jc w:val="left"/>
            </w:pPr>
            <w:r>
              <w:t xml:space="preserve">33 (68,8)</w:t>
            </w:r>
          </w:p>
        </w:tc>
        <w:tc>
          <w:tcPr/>
          <w:p>
            <w:pPr>
              <w:pStyle w:val="Compact"/>
              <w:jc w:val="left"/>
            </w:pPr>
            <w:r>
              <w:t xml:space="preserve">48</w:t>
            </w:r>
          </w:p>
        </w:tc>
        <w:tc>
          <w:tcPr/>
          <w:p>
            <w:pPr>
              <w:pStyle w:val="Compact"/>
            </w:pPr>
          </w:p>
        </w:tc>
      </w:tr>
      <w:tr>
        <w:tc>
          <w:tcPr/>
          <w:p>
            <w:pPr>
              <w:pStyle w:val="Compact"/>
              <w:jc w:val="left"/>
            </w:pPr>
            <w:r>
              <w:t xml:space="preserve">Sağlık çalışanı</w:t>
            </w:r>
          </w:p>
        </w:tc>
        <w:tc>
          <w:tcPr/>
          <w:p>
            <w:pPr>
              <w:pStyle w:val="Compact"/>
              <w:jc w:val="left"/>
            </w:pPr>
            <w:r>
              <w:t xml:space="preserve">19 (67,9)</w:t>
            </w:r>
          </w:p>
        </w:tc>
        <w:tc>
          <w:tcPr/>
          <w:p>
            <w:pPr>
              <w:pStyle w:val="Compact"/>
              <w:jc w:val="left"/>
            </w:pPr>
            <w:r>
              <w:t xml:space="preserve">0 (0,0)</w:t>
            </w:r>
          </w:p>
        </w:tc>
        <w:tc>
          <w:tcPr/>
          <w:p>
            <w:pPr>
              <w:pStyle w:val="Compact"/>
              <w:jc w:val="left"/>
            </w:pPr>
            <w:r>
              <w:t xml:space="preserve">9 (32,1)</w:t>
            </w:r>
          </w:p>
        </w:tc>
        <w:tc>
          <w:tcPr/>
          <w:p>
            <w:pPr>
              <w:pStyle w:val="Compact"/>
              <w:jc w:val="left"/>
            </w:pPr>
            <w:r>
              <w:t xml:space="preserve">28</w:t>
            </w:r>
          </w:p>
        </w:tc>
        <w:tc>
          <w:tcPr/>
          <w:p>
            <w:pPr>
              <w:pStyle w:val="Compact"/>
            </w:pPr>
          </w:p>
        </w:tc>
      </w:tr>
      <w:tr>
        <w:tc>
          <w:tcPr/>
          <w:p>
            <w:pPr>
              <w:pStyle w:val="Compact"/>
              <w:jc w:val="left"/>
            </w:pPr>
            <w:r>
              <w:t xml:space="preserve">Diğer</w:t>
            </w:r>
          </w:p>
        </w:tc>
        <w:tc>
          <w:tcPr/>
          <w:p>
            <w:pPr>
              <w:pStyle w:val="Compact"/>
              <w:jc w:val="left"/>
            </w:pPr>
            <w:r>
              <w:t xml:space="preserve">0 (0,0)</w:t>
            </w:r>
          </w:p>
        </w:tc>
        <w:tc>
          <w:tcPr/>
          <w:p>
            <w:pPr>
              <w:pStyle w:val="Compact"/>
              <w:jc w:val="left"/>
            </w:pPr>
            <w:r>
              <w:t xml:space="preserve">0 (0,0)</w:t>
            </w:r>
          </w:p>
        </w:tc>
        <w:tc>
          <w:tcPr/>
          <w:p>
            <w:pPr>
              <w:pStyle w:val="Compact"/>
              <w:jc w:val="left"/>
            </w:pPr>
            <w:r>
              <w:t xml:space="preserve">3 (100)</w:t>
            </w:r>
          </w:p>
        </w:tc>
        <w:tc>
          <w:tcPr/>
          <w:p>
            <w:pPr>
              <w:pStyle w:val="Compact"/>
              <w:jc w:val="left"/>
            </w:pPr>
            <w:r>
              <w:t xml:space="preserve">3</w:t>
            </w:r>
          </w:p>
        </w:tc>
        <w:tc>
          <w:tcPr/>
          <w:p>
            <w:pPr>
              <w:pStyle w:val="Compact"/>
            </w:pPr>
          </w:p>
        </w:tc>
      </w:tr>
      <w:tr>
        <w:tc>
          <w:tcPr/>
          <w:p>
            <w:pPr>
              <w:pStyle w:val="Compact"/>
              <w:jc w:val="left"/>
            </w:pPr>
            <w:r>
              <w:rPr>
                <w:bCs/>
                <w:b/>
              </w:rPr>
              <w:t xml:space="preserve">Toplam</w:t>
            </w:r>
          </w:p>
        </w:tc>
        <w:tc>
          <w:tcPr/>
          <w:p>
            <w:pPr>
              <w:pStyle w:val="Compact"/>
              <w:jc w:val="left"/>
            </w:pPr>
            <w:r>
              <w:t xml:space="preserve">163 (44,9)</w:t>
            </w:r>
          </w:p>
        </w:tc>
        <w:tc>
          <w:tcPr/>
          <w:p>
            <w:pPr>
              <w:pStyle w:val="Compact"/>
              <w:jc w:val="left"/>
            </w:pPr>
            <w:r>
              <w:t xml:space="preserve">57 (15,7)</w:t>
            </w:r>
          </w:p>
        </w:tc>
        <w:tc>
          <w:tcPr/>
          <w:p>
            <w:pPr>
              <w:pStyle w:val="Compact"/>
              <w:jc w:val="left"/>
            </w:pPr>
            <w:r>
              <w:t xml:space="preserve">143 (39,4)</w:t>
            </w:r>
          </w:p>
        </w:tc>
        <w:tc>
          <w:tcPr/>
          <w:p>
            <w:pPr>
              <w:pStyle w:val="Compact"/>
              <w:jc w:val="left"/>
            </w:pPr>
            <w:r>
              <w:t xml:space="preserve">363</w:t>
            </w:r>
          </w:p>
        </w:tc>
        <w:tc>
          <w:tcPr/>
          <w:p>
            <w:pPr>
              <w:pStyle w:val="Compact"/>
            </w:pPr>
          </w:p>
        </w:tc>
      </w:tr>
    </w:tbl>
    <w:p>
      <w:pPr>
        <w:pStyle w:val="BodyText"/>
      </w:pPr>
      <w:r>
        <w:t xml:space="preserve">Cinsiyete göre yapılan karşılaştırmalarda, cinsiyet ile FGM’nin kadınların cinsel hazzını etkilediği inancı arasında anlamlı bir ilişki bulundu (p=0,001); kadınlar, özellikle Tip 3 FGM için bu olumsuz etkiyi daha sık kabul ediyordu. FGM’nin evlenebilirliğe etkisine ilişkin algılar da anlamlı biçimde farklıydı (p=0,048); erkekler sünnetin bir kızın evlenme şansını artırdığına daha sık inanıyordu. Kızını sünnet ettirme isteği cinsiyete göre anlamlı farklılık göstermedi (Pearson p=0,064); ancak olabilirlik oranı testi anlamlıydı (p=0,015). Bu durum cinsiyet farklılıklarının daha ayrıntılı incelenmesi gerektiğine işaret etmektedir.</w:t>
      </w:r>
    </w:p>
    <w:bookmarkEnd w:id="34"/>
    <w:bookmarkStart w:id="35" w:name="X6525823888e315239b466032d1bdde084c8d120"/>
    <w:p>
      <w:pPr>
        <w:pStyle w:val="Heading2"/>
      </w:pPr>
      <w:r>
        <w:t xml:space="preserve">Müdahale grubunun özellikleri ve algıları</w:t>
      </w:r>
    </w:p>
    <w:p>
      <w:pPr>
        <w:pStyle w:val="FirstParagraph"/>
      </w:pPr>
      <w:r>
        <w:t xml:space="preserve">Sağlık eğitimi oturumuna 41 katılımcı katıldı. Çalışma evreninin çoğunluğunu kadınlar oluşturduğu ve kadınlar katılıma daha istekli olduğu için grubun büyük bölümü kadındı (%80,5); kalan %19,5’i erkekti. Katılımcıların çoğu bekârdı (%78,0); bunu boşanmış (%12,2), evli (%4,9) ve dul (%4,9) katılımcılar izledi. Gruptaki katılımcıların %48,8’i Sünni tip, %31,7’si firavunik tip sünnete maruz kaldığını bildirdi.</w:t>
      </w:r>
    </w:p>
    <w:p>
      <w:pPr>
        <w:pStyle w:val="BodyText"/>
      </w:pPr>
      <w:r>
        <w:t xml:space="preserve">Oturumdan sonra katılımcıların %82,9’u FGM’yi yalnızca bir gelenek olarak gördü, %95,1’i FGM’nin hiçbir sağlık yararı olmadığına inandı ve %85,4’ü onu bir insan hakları ihlali olarak tanımladı. FGM’nin dinî bir gereklilik olup olmadığı konusunda görüşler bölünmüş kaldı (%51,2 evet, %48,8 hayır). Katılımcıların neredeyse tamamı uygulamanın sağlık risklerini kabul etti; tamamı (%100) FGM’nin Somali’de hâlâ yaygın olduğunu ve pek çok ülkede yasa dışı olduğunu belirtti (Tablo 6).</w:t>
      </w:r>
    </w:p>
    <w:p>
      <w:pPr>
        <w:pStyle w:val="BodyText"/>
      </w:pPr>
      <w:r>
        <w:rPr>
          <w:bCs/>
          <w:b/>
        </w:rPr>
        <w:t xml:space="preserve">Tablo 6.</w:t>
      </w:r>
      <w:r>
        <w:t xml:space="preserve"> </w:t>
      </w:r>
      <w:r>
        <w:t xml:space="preserve">Sağlık eğitimi sonrasında FGM’ye ilişkin algı ve inançlar (n=41)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Soru</w:t>
            </w:r>
          </w:p>
        </w:tc>
        <w:tc>
          <w:tcPr/>
          <w:p>
            <w:pPr>
              <w:pStyle w:val="Compact"/>
              <w:jc w:val="left"/>
            </w:pPr>
            <w:r>
              <w:t xml:space="preserve">Evet, n (%)</w:t>
            </w:r>
          </w:p>
        </w:tc>
        <w:tc>
          <w:tcPr/>
          <w:p>
            <w:pPr>
              <w:pStyle w:val="Compact"/>
              <w:jc w:val="left"/>
            </w:pPr>
            <w:r>
              <w:t xml:space="preserve">Hayır, n (%)</w:t>
            </w:r>
          </w:p>
        </w:tc>
      </w:tr>
      <w:tr>
        <w:tc>
          <w:tcPr/>
          <w:p>
            <w:pPr>
              <w:pStyle w:val="Compact"/>
              <w:jc w:val="left"/>
            </w:pPr>
            <w:r>
              <w:t xml:space="preserve">FGM yalnızca bir gelenek midir?</w:t>
            </w:r>
          </w:p>
        </w:tc>
        <w:tc>
          <w:tcPr/>
          <w:p>
            <w:pPr>
              <w:pStyle w:val="Compact"/>
              <w:jc w:val="left"/>
            </w:pPr>
            <w:r>
              <w:t xml:space="preserve">34 (82,9)</w:t>
            </w:r>
          </w:p>
        </w:tc>
        <w:tc>
          <w:tcPr/>
          <w:p>
            <w:pPr>
              <w:pStyle w:val="Compact"/>
              <w:jc w:val="left"/>
            </w:pPr>
            <w:r>
              <w:t xml:space="preserve">7 (17,1)</w:t>
            </w:r>
          </w:p>
        </w:tc>
      </w:tr>
      <w:tr>
        <w:tc>
          <w:tcPr/>
          <w:p>
            <w:pPr>
              <w:pStyle w:val="Compact"/>
              <w:jc w:val="left"/>
            </w:pPr>
            <w:r>
              <w:t xml:space="preserve">FGM’nin sağlık yararı var mıdır?</w:t>
            </w:r>
          </w:p>
        </w:tc>
        <w:tc>
          <w:tcPr/>
          <w:p>
            <w:pPr>
              <w:pStyle w:val="Compact"/>
              <w:jc w:val="left"/>
            </w:pPr>
            <w:r>
              <w:t xml:space="preserve">2 (4,9)</w:t>
            </w:r>
          </w:p>
        </w:tc>
        <w:tc>
          <w:tcPr/>
          <w:p>
            <w:pPr>
              <w:pStyle w:val="Compact"/>
              <w:jc w:val="left"/>
            </w:pPr>
            <w:r>
              <w:t xml:space="preserve">39 (95,1)</w:t>
            </w:r>
          </w:p>
        </w:tc>
      </w:tr>
      <w:tr>
        <w:tc>
          <w:tcPr/>
          <w:p>
            <w:pPr>
              <w:pStyle w:val="Compact"/>
              <w:jc w:val="left"/>
            </w:pPr>
            <w:r>
              <w:t xml:space="preserve">FGM insan haklarına aykırı mıdır?</w:t>
            </w:r>
          </w:p>
        </w:tc>
        <w:tc>
          <w:tcPr/>
          <w:p>
            <w:pPr>
              <w:pStyle w:val="Compact"/>
              <w:jc w:val="left"/>
            </w:pPr>
            <w:r>
              <w:t xml:space="preserve">35 (85,4)</w:t>
            </w:r>
          </w:p>
        </w:tc>
        <w:tc>
          <w:tcPr/>
          <w:p>
            <w:pPr>
              <w:pStyle w:val="Compact"/>
              <w:jc w:val="left"/>
            </w:pPr>
            <w:r>
              <w:t xml:space="preserve">6 (14,6)</w:t>
            </w:r>
          </w:p>
        </w:tc>
      </w:tr>
      <w:tr>
        <w:tc>
          <w:tcPr/>
          <w:p>
            <w:pPr>
              <w:pStyle w:val="Compact"/>
              <w:jc w:val="left"/>
            </w:pPr>
            <w:r>
              <w:t xml:space="preserve">FGM dinin bir gereği midir?</w:t>
            </w:r>
          </w:p>
        </w:tc>
        <w:tc>
          <w:tcPr/>
          <w:p>
            <w:pPr>
              <w:pStyle w:val="Compact"/>
              <w:jc w:val="left"/>
            </w:pPr>
            <w:r>
              <w:t xml:space="preserve">21 (51,2)</w:t>
            </w:r>
          </w:p>
        </w:tc>
        <w:tc>
          <w:tcPr/>
          <w:p>
            <w:pPr>
              <w:pStyle w:val="Compact"/>
              <w:jc w:val="left"/>
            </w:pPr>
            <w:r>
              <w:t xml:space="preserve">20 (48,8)</w:t>
            </w:r>
          </w:p>
        </w:tc>
      </w:tr>
      <w:tr>
        <w:tc>
          <w:tcPr/>
          <w:p>
            <w:pPr>
              <w:pStyle w:val="Compact"/>
              <w:jc w:val="left"/>
            </w:pPr>
            <w:r>
              <w:t xml:space="preserve">FGM cinsel sağlığı etkiler mi?</w:t>
            </w:r>
          </w:p>
        </w:tc>
        <w:tc>
          <w:tcPr/>
          <w:p>
            <w:pPr>
              <w:pStyle w:val="Compact"/>
              <w:jc w:val="left"/>
            </w:pPr>
            <w:r>
              <w:t xml:space="preserve">38 (92,7)</w:t>
            </w:r>
          </w:p>
        </w:tc>
        <w:tc>
          <w:tcPr/>
          <w:p>
            <w:pPr>
              <w:pStyle w:val="Compact"/>
              <w:jc w:val="left"/>
            </w:pPr>
            <w:r>
              <w:t xml:space="preserve">3 (7,3)</w:t>
            </w:r>
          </w:p>
        </w:tc>
      </w:tr>
      <w:tr>
        <w:tc>
          <w:tcPr/>
          <w:p>
            <w:pPr>
              <w:pStyle w:val="Compact"/>
              <w:jc w:val="left"/>
            </w:pPr>
            <w:r>
              <w:t xml:space="preserve">FGM Somali’de yaygın mıdır?</w:t>
            </w:r>
          </w:p>
        </w:tc>
        <w:tc>
          <w:tcPr/>
          <w:p>
            <w:pPr>
              <w:pStyle w:val="Compact"/>
              <w:jc w:val="left"/>
            </w:pPr>
            <w:r>
              <w:t xml:space="preserve">41 (100)</w:t>
            </w:r>
          </w:p>
        </w:tc>
        <w:tc>
          <w:tcPr/>
          <w:p>
            <w:pPr>
              <w:pStyle w:val="Compact"/>
              <w:jc w:val="left"/>
            </w:pPr>
            <w:r>
              <w:t xml:space="preserve">–</w:t>
            </w:r>
          </w:p>
        </w:tc>
      </w:tr>
      <w:tr>
        <w:tc>
          <w:tcPr/>
          <w:p>
            <w:pPr>
              <w:pStyle w:val="Compact"/>
              <w:jc w:val="left"/>
            </w:pPr>
            <w:r>
              <w:t xml:space="preserve">FGM ciddi sağlık sorunlarına yol açar mı?</w:t>
            </w:r>
          </w:p>
        </w:tc>
        <w:tc>
          <w:tcPr/>
          <w:p>
            <w:pPr>
              <w:pStyle w:val="Compact"/>
              <w:jc w:val="left"/>
            </w:pPr>
            <w:r>
              <w:t xml:space="preserve">39 (95,1)</w:t>
            </w:r>
          </w:p>
        </w:tc>
        <w:tc>
          <w:tcPr/>
          <w:p>
            <w:pPr>
              <w:pStyle w:val="Compact"/>
              <w:jc w:val="left"/>
            </w:pPr>
            <w:r>
              <w:t xml:space="preserve">2 (4,9)</w:t>
            </w:r>
          </w:p>
        </w:tc>
      </w:tr>
      <w:tr>
        <w:tc>
          <w:tcPr/>
          <w:p>
            <w:pPr>
              <w:pStyle w:val="Compact"/>
              <w:jc w:val="left"/>
            </w:pPr>
            <w:r>
              <w:t xml:space="preserve">FGM doğumu zorlaştırır mı?</w:t>
            </w:r>
          </w:p>
        </w:tc>
        <w:tc>
          <w:tcPr/>
          <w:p>
            <w:pPr>
              <w:pStyle w:val="Compact"/>
              <w:jc w:val="left"/>
            </w:pPr>
            <w:r>
              <w:t xml:space="preserve">40 (97,6)</w:t>
            </w:r>
          </w:p>
        </w:tc>
        <w:tc>
          <w:tcPr/>
          <w:p>
            <w:pPr>
              <w:pStyle w:val="Compact"/>
              <w:jc w:val="left"/>
            </w:pPr>
            <w:r>
              <w:t xml:space="preserve">1 (2,4)</w:t>
            </w:r>
          </w:p>
        </w:tc>
      </w:tr>
      <w:tr>
        <w:tc>
          <w:tcPr/>
          <w:p>
            <w:pPr>
              <w:pStyle w:val="Compact"/>
              <w:jc w:val="left"/>
            </w:pPr>
            <w:r>
              <w:t xml:space="preserve">FGM pek çok ülkede yasa dışı mıdır?</w:t>
            </w:r>
          </w:p>
        </w:tc>
        <w:tc>
          <w:tcPr/>
          <w:p>
            <w:pPr>
              <w:pStyle w:val="Compact"/>
              <w:jc w:val="left"/>
            </w:pPr>
            <w:r>
              <w:t xml:space="preserve">41 (100)</w:t>
            </w:r>
          </w:p>
        </w:tc>
        <w:tc>
          <w:tcPr/>
          <w:p>
            <w:pPr>
              <w:pStyle w:val="Compact"/>
              <w:jc w:val="left"/>
            </w:pPr>
            <w:r>
              <w:t xml:space="preserve">–</w:t>
            </w:r>
          </w:p>
        </w:tc>
      </w:tr>
      <w:tr>
        <w:tc>
          <w:tcPr/>
          <w:p>
            <w:pPr>
              <w:pStyle w:val="Compact"/>
              <w:jc w:val="left"/>
            </w:pPr>
            <w:r>
              <w:t xml:space="preserve">FGM enfeksiyon/hastalıklara katkıda bulunur mu?</w:t>
            </w:r>
          </w:p>
        </w:tc>
        <w:tc>
          <w:tcPr/>
          <w:p>
            <w:pPr>
              <w:pStyle w:val="Compact"/>
              <w:jc w:val="left"/>
            </w:pPr>
            <w:r>
              <w:t xml:space="preserve">40 (97,6)</w:t>
            </w:r>
          </w:p>
        </w:tc>
        <w:tc>
          <w:tcPr/>
          <w:p>
            <w:pPr>
              <w:pStyle w:val="Compact"/>
              <w:jc w:val="left"/>
            </w:pPr>
            <w:r>
              <w:t xml:space="preserve">1 (2,4)</w:t>
            </w:r>
          </w:p>
        </w:tc>
      </w:tr>
    </w:tbl>
    <w:bookmarkEnd w:id="35"/>
    <w:bookmarkStart w:id="36" w:name="sağlık-eğitimi-sonrasındaki-değişimler"/>
    <w:p>
      <w:pPr>
        <w:pStyle w:val="Heading2"/>
      </w:pPr>
      <w:r>
        <w:t xml:space="preserve">Sağlık eğitimi sonrasındaki değişimler</w:t>
      </w:r>
    </w:p>
    <w:p>
      <w:pPr>
        <w:pStyle w:val="FirstParagraph"/>
      </w:pPr>
      <w:r>
        <w:t xml:space="preserve">Oturumun FGM’ye ilişkin duygularını nasıl değiştirdiği sorulduğunda katılımcıların %51,2’si uygulamanın tamamen durması gerektiğini, %22,0’ı azaltılması ya da değiştirilmesi gerektiğini belirtti; %26,8’i ise Sünni tipi hâlâ kabul edilebilir buluyordu. Genel olarak katılımcıların %92,7’si FGM’nin kendi topluluğunda durması gerektiğine inandı, %75,6’sı tutumunun değiştiğini ve artık uygulamaya karşı olduğunu bildirdi. Katılımcıların çoğu (%70,7) FGM’yi konuşma konusunda kendini daha özgüvenli hissettiğini, %65,9’u ise topluluğunda uygulamayı caydırmak için adım atacağını belirtti (Tablo 7).</w:t>
      </w:r>
    </w:p>
    <w:p>
      <w:pPr>
        <w:pStyle w:val="BodyText"/>
      </w:pPr>
      <w:r>
        <w:rPr>
          <w:bCs/>
          <w:b/>
        </w:rPr>
        <w:t xml:space="preserve">Tablo 7.</w:t>
      </w:r>
      <w:r>
        <w:t xml:space="preserve"> </w:t>
      </w:r>
      <w:r>
        <w:t xml:space="preserve">Sağlık eğitimi sonrasında kendi bildirimine dayalı tutum değişikliği (n=41)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Soru</w:t>
            </w:r>
          </w:p>
        </w:tc>
        <w:tc>
          <w:tcPr/>
          <w:p>
            <w:pPr>
              <w:pStyle w:val="Compact"/>
              <w:jc w:val="left"/>
            </w:pPr>
            <w:r>
              <w:t xml:space="preserve">Yanıt</w:t>
            </w:r>
          </w:p>
        </w:tc>
        <w:tc>
          <w:tcPr/>
          <w:p>
            <w:pPr>
              <w:pStyle w:val="Compact"/>
              <w:jc w:val="left"/>
            </w:pPr>
            <w:r>
              <w:t xml:space="preserve">n</w:t>
            </w:r>
          </w:p>
        </w:tc>
        <w:tc>
          <w:tcPr/>
          <w:p>
            <w:pPr>
              <w:pStyle w:val="Compact"/>
              <w:jc w:val="left"/>
            </w:pPr>
            <w:r>
              <w:t xml:space="preserve">%</w:t>
            </w:r>
          </w:p>
        </w:tc>
      </w:tr>
      <w:tr>
        <w:tc>
          <w:tcPr/>
          <w:p>
            <w:pPr>
              <w:pStyle w:val="Compact"/>
              <w:jc w:val="left"/>
            </w:pPr>
            <w:r>
              <w:t xml:space="preserve">Oturum FGM’ye ilişkin duygularınızı nasıl değiştirdi?</w:t>
            </w:r>
          </w:p>
        </w:tc>
        <w:tc>
          <w:tcPr/>
          <w:p>
            <w:pPr>
              <w:pStyle w:val="Compact"/>
              <w:jc w:val="left"/>
            </w:pPr>
            <w:r>
              <w:t xml:space="preserve">Tamamen durmalı</w:t>
            </w:r>
          </w:p>
        </w:tc>
        <w:tc>
          <w:tcPr/>
          <w:p>
            <w:pPr>
              <w:pStyle w:val="Compact"/>
              <w:jc w:val="left"/>
            </w:pPr>
            <w:r>
              <w:t xml:space="preserve">21</w:t>
            </w:r>
          </w:p>
        </w:tc>
        <w:tc>
          <w:tcPr/>
          <w:p>
            <w:pPr>
              <w:pStyle w:val="Compact"/>
              <w:jc w:val="left"/>
            </w:pPr>
            <w:r>
              <w:t xml:space="preserve">51,2</w:t>
            </w:r>
          </w:p>
        </w:tc>
      </w:tr>
      <w:tr>
        <w:tc>
          <w:tcPr/>
          <w:p>
            <w:pPr>
              <w:pStyle w:val="Compact"/>
            </w:pPr>
          </w:p>
        </w:tc>
        <w:tc>
          <w:tcPr/>
          <w:p>
            <w:pPr>
              <w:pStyle w:val="Compact"/>
              <w:jc w:val="left"/>
            </w:pPr>
            <w:r>
              <w:t xml:space="preserve">Azaltılmalı ya da değiştirilmeli</w:t>
            </w:r>
          </w:p>
        </w:tc>
        <w:tc>
          <w:tcPr/>
          <w:p>
            <w:pPr>
              <w:pStyle w:val="Compact"/>
              <w:jc w:val="left"/>
            </w:pPr>
            <w:r>
              <w:t xml:space="preserve">9</w:t>
            </w:r>
          </w:p>
        </w:tc>
        <w:tc>
          <w:tcPr/>
          <w:p>
            <w:pPr>
              <w:pStyle w:val="Compact"/>
              <w:jc w:val="left"/>
            </w:pPr>
            <w:r>
              <w:t xml:space="preserve">22,0</w:t>
            </w:r>
          </w:p>
        </w:tc>
      </w:tr>
      <w:tr>
        <w:tc>
          <w:tcPr/>
          <w:p>
            <w:pPr>
              <w:pStyle w:val="Compact"/>
            </w:pPr>
          </w:p>
        </w:tc>
        <w:tc>
          <w:tcPr/>
          <w:p>
            <w:pPr>
              <w:pStyle w:val="Compact"/>
              <w:jc w:val="left"/>
            </w:pPr>
            <w:r>
              <w:t xml:space="preserve">Sünni tip kabul edilebilir</w:t>
            </w:r>
          </w:p>
        </w:tc>
        <w:tc>
          <w:tcPr/>
          <w:p>
            <w:pPr>
              <w:pStyle w:val="Compact"/>
              <w:jc w:val="left"/>
            </w:pPr>
            <w:r>
              <w:t xml:space="preserve">11</w:t>
            </w:r>
          </w:p>
        </w:tc>
        <w:tc>
          <w:tcPr/>
          <w:p>
            <w:pPr>
              <w:pStyle w:val="Compact"/>
              <w:jc w:val="left"/>
            </w:pPr>
            <w:r>
              <w:t xml:space="preserve">26,8</w:t>
            </w:r>
          </w:p>
        </w:tc>
      </w:tr>
      <w:tr>
        <w:tc>
          <w:tcPr/>
          <w:p>
            <w:pPr>
              <w:pStyle w:val="Compact"/>
              <w:jc w:val="left"/>
            </w:pPr>
            <w:r>
              <w:t xml:space="preserve">FGM’nin topluluğunuzda durması gerektiğine artık inanıyor musunuz?</w:t>
            </w:r>
          </w:p>
        </w:tc>
        <w:tc>
          <w:tcPr/>
          <w:p>
            <w:pPr>
              <w:pStyle w:val="Compact"/>
              <w:jc w:val="left"/>
            </w:pPr>
            <w:r>
              <w:t xml:space="preserve">Evet</w:t>
            </w:r>
          </w:p>
        </w:tc>
        <w:tc>
          <w:tcPr/>
          <w:p>
            <w:pPr>
              <w:pStyle w:val="Compact"/>
              <w:jc w:val="left"/>
            </w:pPr>
            <w:r>
              <w:t xml:space="preserve">38</w:t>
            </w:r>
          </w:p>
        </w:tc>
        <w:tc>
          <w:tcPr/>
          <w:p>
            <w:pPr>
              <w:pStyle w:val="Compact"/>
              <w:jc w:val="left"/>
            </w:pPr>
            <w:r>
              <w:t xml:space="preserve">92,7</w:t>
            </w:r>
          </w:p>
        </w:tc>
      </w:tr>
      <w:tr>
        <w:tc>
          <w:tcPr/>
          <w:p>
            <w:pPr>
              <w:pStyle w:val="Compact"/>
            </w:pPr>
          </w:p>
        </w:tc>
        <w:tc>
          <w:tcPr/>
          <w:p>
            <w:pPr>
              <w:pStyle w:val="Compact"/>
              <w:jc w:val="left"/>
            </w:pPr>
            <w:r>
              <w:t xml:space="preserve">Hayır</w:t>
            </w:r>
          </w:p>
        </w:tc>
        <w:tc>
          <w:tcPr/>
          <w:p>
            <w:pPr>
              <w:pStyle w:val="Compact"/>
              <w:jc w:val="left"/>
            </w:pPr>
            <w:r>
              <w:t xml:space="preserve">3</w:t>
            </w:r>
          </w:p>
        </w:tc>
        <w:tc>
          <w:tcPr/>
          <w:p>
            <w:pPr>
              <w:pStyle w:val="Compact"/>
              <w:jc w:val="left"/>
            </w:pPr>
            <w:r>
              <w:t xml:space="preserve">7,3</w:t>
            </w:r>
          </w:p>
        </w:tc>
      </w:tr>
      <w:tr>
        <w:tc>
          <w:tcPr/>
          <w:p>
            <w:pPr>
              <w:pStyle w:val="Compact"/>
              <w:jc w:val="left"/>
            </w:pPr>
            <w:r>
              <w:t xml:space="preserve">FGM’ye yönelik tutumunuz değişti mi?</w:t>
            </w:r>
          </w:p>
        </w:tc>
        <w:tc>
          <w:tcPr/>
          <w:p>
            <w:pPr>
              <w:pStyle w:val="Compact"/>
              <w:jc w:val="left"/>
            </w:pPr>
            <w:r>
              <w:t xml:space="preserve">Evet, artık karşıyım</w:t>
            </w:r>
          </w:p>
        </w:tc>
        <w:tc>
          <w:tcPr/>
          <w:p>
            <w:pPr>
              <w:pStyle w:val="Compact"/>
              <w:jc w:val="left"/>
            </w:pPr>
            <w:r>
              <w:t xml:space="preserve">31</w:t>
            </w:r>
          </w:p>
        </w:tc>
        <w:tc>
          <w:tcPr/>
          <w:p>
            <w:pPr>
              <w:pStyle w:val="Compact"/>
              <w:jc w:val="left"/>
            </w:pPr>
            <w:r>
              <w:t xml:space="preserve">75,6</w:t>
            </w:r>
          </w:p>
        </w:tc>
      </w:tr>
      <w:tr>
        <w:tc>
          <w:tcPr/>
          <w:p>
            <w:pPr>
              <w:pStyle w:val="Compact"/>
            </w:pPr>
          </w:p>
        </w:tc>
        <w:tc>
          <w:tcPr/>
          <w:p>
            <w:pPr>
              <w:pStyle w:val="Compact"/>
              <w:jc w:val="left"/>
            </w:pPr>
            <w:r>
              <w:t xml:space="preserve">Hayır, aynı</w:t>
            </w:r>
          </w:p>
        </w:tc>
        <w:tc>
          <w:tcPr/>
          <w:p>
            <w:pPr>
              <w:pStyle w:val="Compact"/>
              <w:jc w:val="left"/>
            </w:pPr>
            <w:r>
              <w:t xml:space="preserve">1</w:t>
            </w:r>
          </w:p>
        </w:tc>
        <w:tc>
          <w:tcPr/>
          <w:p>
            <w:pPr>
              <w:pStyle w:val="Compact"/>
              <w:jc w:val="left"/>
            </w:pPr>
            <w:r>
              <w:t xml:space="preserve">2,4</w:t>
            </w:r>
          </w:p>
        </w:tc>
      </w:tr>
      <w:tr>
        <w:tc>
          <w:tcPr/>
          <w:p>
            <w:pPr>
              <w:pStyle w:val="Compact"/>
            </w:pPr>
          </w:p>
        </w:tc>
        <w:tc>
          <w:tcPr/>
          <w:p>
            <w:pPr>
              <w:pStyle w:val="Compact"/>
              <w:jc w:val="left"/>
            </w:pPr>
            <w:r>
              <w:t xml:space="preserve">Hâlâ kararsızım</w:t>
            </w:r>
          </w:p>
        </w:tc>
        <w:tc>
          <w:tcPr/>
          <w:p>
            <w:pPr>
              <w:pStyle w:val="Compact"/>
              <w:jc w:val="left"/>
            </w:pPr>
            <w:r>
              <w:t xml:space="preserve">9</w:t>
            </w:r>
          </w:p>
        </w:tc>
        <w:tc>
          <w:tcPr/>
          <w:p>
            <w:pPr>
              <w:pStyle w:val="Compact"/>
              <w:jc w:val="left"/>
            </w:pPr>
            <w:r>
              <w:t xml:space="preserve">22,0</w:t>
            </w:r>
          </w:p>
        </w:tc>
      </w:tr>
      <w:tr>
        <w:tc>
          <w:tcPr/>
          <w:p>
            <w:pPr>
              <w:pStyle w:val="Compact"/>
              <w:jc w:val="left"/>
            </w:pPr>
            <w:r>
              <w:t xml:space="preserve">Topluluğunuzda FGM hakkında konuşmakta daha özgüvenli misiniz?</w:t>
            </w:r>
          </w:p>
        </w:tc>
        <w:tc>
          <w:tcPr/>
          <w:p>
            <w:pPr>
              <w:pStyle w:val="Compact"/>
              <w:jc w:val="left"/>
            </w:pPr>
            <w:r>
              <w:t xml:space="preserve">Evet</w:t>
            </w:r>
          </w:p>
        </w:tc>
        <w:tc>
          <w:tcPr/>
          <w:p>
            <w:pPr>
              <w:pStyle w:val="Compact"/>
              <w:jc w:val="left"/>
            </w:pPr>
            <w:r>
              <w:t xml:space="preserve">29</w:t>
            </w:r>
          </w:p>
        </w:tc>
        <w:tc>
          <w:tcPr/>
          <w:p>
            <w:pPr>
              <w:pStyle w:val="Compact"/>
              <w:jc w:val="left"/>
            </w:pPr>
            <w:r>
              <w:t xml:space="preserve">70,7</w:t>
            </w:r>
          </w:p>
        </w:tc>
      </w:tr>
      <w:tr>
        <w:tc>
          <w:tcPr/>
          <w:p>
            <w:pPr>
              <w:pStyle w:val="Compact"/>
            </w:pPr>
          </w:p>
        </w:tc>
        <w:tc>
          <w:tcPr/>
          <w:p>
            <w:pPr>
              <w:pStyle w:val="Compact"/>
              <w:jc w:val="left"/>
            </w:pPr>
            <w:r>
              <w:t xml:space="preserve">Hayır</w:t>
            </w:r>
          </w:p>
        </w:tc>
        <w:tc>
          <w:tcPr/>
          <w:p>
            <w:pPr>
              <w:pStyle w:val="Compact"/>
              <w:jc w:val="left"/>
            </w:pPr>
            <w:r>
              <w:t xml:space="preserve">12</w:t>
            </w:r>
          </w:p>
        </w:tc>
        <w:tc>
          <w:tcPr/>
          <w:p>
            <w:pPr>
              <w:pStyle w:val="Compact"/>
              <w:jc w:val="left"/>
            </w:pPr>
            <w:r>
              <w:t xml:space="preserve">29,3</w:t>
            </w:r>
          </w:p>
        </w:tc>
      </w:tr>
      <w:tr>
        <w:tc>
          <w:tcPr/>
          <w:p>
            <w:pPr>
              <w:pStyle w:val="Compact"/>
              <w:jc w:val="left"/>
            </w:pPr>
            <w:r>
              <w:t xml:space="preserve">Topluluğunuzda FGM’yi caydırmak için adım atacak mısınız?</w:t>
            </w:r>
          </w:p>
        </w:tc>
        <w:tc>
          <w:tcPr/>
          <w:p>
            <w:pPr>
              <w:pStyle w:val="Compact"/>
              <w:jc w:val="left"/>
            </w:pPr>
            <w:r>
              <w:t xml:space="preserve">Evet</w:t>
            </w:r>
          </w:p>
        </w:tc>
        <w:tc>
          <w:tcPr/>
          <w:p>
            <w:pPr>
              <w:pStyle w:val="Compact"/>
              <w:jc w:val="left"/>
            </w:pPr>
            <w:r>
              <w:t xml:space="preserve">27</w:t>
            </w:r>
          </w:p>
        </w:tc>
        <w:tc>
          <w:tcPr/>
          <w:p>
            <w:pPr>
              <w:pStyle w:val="Compact"/>
              <w:jc w:val="left"/>
            </w:pPr>
            <w:r>
              <w:t xml:space="preserve">65,9</w:t>
            </w:r>
          </w:p>
        </w:tc>
      </w:tr>
      <w:tr>
        <w:tc>
          <w:tcPr/>
          <w:p>
            <w:pPr>
              <w:pStyle w:val="Compact"/>
            </w:pPr>
          </w:p>
        </w:tc>
        <w:tc>
          <w:tcPr/>
          <w:p>
            <w:pPr>
              <w:pStyle w:val="Compact"/>
              <w:jc w:val="left"/>
            </w:pPr>
            <w:r>
              <w:t xml:space="preserve">Hayır</w:t>
            </w:r>
          </w:p>
        </w:tc>
        <w:tc>
          <w:tcPr/>
          <w:p>
            <w:pPr>
              <w:pStyle w:val="Compact"/>
              <w:jc w:val="left"/>
            </w:pPr>
            <w:r>
              <w:t xml:space="preserve">14</w:t>
            </w:r>
          </w:p>
        </w:tc>
        <w:tc>
          <w:tcPr/>
          <w:p>
            <w:pPr>
              <w:pStyle w:val="Compact"/>
              <w:jc w:val="left"/>
            </w:pPr>
            <w:r>
              <w:t xml:space="preserve">34,1</w:t>
            </w:r>
          </w:p>
        </w:tc>
      </w:tr>
    </w:tbl>
    <w:p>
      <w:pPr>
        <w:pStyle w:val="BodyText"/>
      </w:pPr>
      <w:r>
        <w:t xml:space="preserve">Müdahale öncesinde katılımcıların yalnızca %55’i FGM’nin zararlı olduğuna inanırken bu oran oturumdan sonra %84’e yükseldi. FGM’nin dinin gereği olduğuna inananların oranı %45’ten %18’e düştü. Kızını sünnet ettireceğini söyleyenlerin oranı %42’den %19’a geriledi; doğum komplikasyonlarına ilişkin farkındalık ise %40’tan %81’e yükseldi (Tablo 8).</w:t>
      </w:r>
    </w:p>
    <w:p>
      <w:pPr>
        <w:pStyle w:val="BodyText"/>
      </w:pPr>
      <w:r>
        <w:rPr>
          <w:bCs/>
          <w:b/>
        </w:rPr>
        <w:t xml:space="preserve">Tablo 8.</w:t>
      </w:r>
      <w:r>
        <w:t xml:space="preserve"> </w:t>
      </w:r>
      <w:r>
        <w:t xml:space="preserve">Müdahale öncesi ve sonrasında bilgi ve tutumlardaki temel değişimler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Soru</w:t>
            </w:r>
          </w:p>
        </w:tc>
        <w:tc>
          <w:tcPr/>
          <w:p>
            <w:pPr>
              <w:pStyle w:val="Compact"/>
              <w:jc w:val="left"/>
            </w:pPr>
            <w:r>
              <w:t xml:space="preserve">Öncesi,</w:t>
            </w:r>
            <w:r>
              <w:t xml:space="preserve"> </w:t>
            </w:r>
            <w:r>
              <w:t xml:space="preserve">“</w:t>
            </w:r>
            <w:r>
              <w:t xml:space="preserve">evet</w:t>
            </w:r>
            <w:r>
              <w:t xml:space="preserve">”</w:t>
            </w:r>
            <w:r>
              <w:t xml:space="preserve"> </w:t>
            </w:r>
            <w:r>
              <w:t xml:space="preserve">(%)</w:t>
            </w:r>
          </w:p>
        </w:tc>
        <w:tc>
          <w:tcPr/>
          <w:p>
            <w:pPr>
              <w:pStyle w:val="Compact"/>
              <w:jc w:val="left"/>
            </w:pPr>
            <w:r>
              <w:t xml:space="preserve">Sonrası,</w:t>
            </w:r>
            <w:r>
              <w:t xml:space="preserve"> </w:t>
            </w:r>
            <w:r>
              <w:t xml:space="preserve">“</w:t>
            </w:r>
            <w:r>
              <w:t xml:space="preserve">evet</w:t>
            </w:r>
            <w:r>
              <w:t xml:space="preserve">”</w:t>
            </w:r>
            <w:r>
              <w:t xml:space="preserve"> </w:t>
            </w:r>
            <w:r>
              <w:t xml:space="preserve">(%)</w:t>
            </w:r>
          </w:p>
        </w:tc>
      </w:tr>
      <w:tr>
        <w:tc>
          <w:tcPr/>
          <w:p>
            <w:pPr>
              <w:pStyle w:val="Compact"/>
              <w:jc w:val="left"/>
            </w:pPr>
            <w:r>
              <w:t xml:space="preserve">Kızını sünnet ettirir</w:t>
            </w:r>
          </w:p>
        </w:tc>
        <w:tc>
          <w:tcPr/>
          <w:p>
            <w:pPr>
              <w:pStyle w:val="Compact"/>
              <w:jc w:val="left"/>
            </w:pPr>
            <w:r>
              <w:t xml:space="preserve">42</w:t>
            </w:r>
          </w:p>
        </w:tc>
        <w:tc>
          <w:tcPr/>
          <w:p>
            <w:pPr>
              <w:pStyle w:val="Compact"/>
              <w:jc w:val="left"/>
            </w:pPr>
            <w:r>
              <w:t xml:space="preserve">19</w:t>
            </w:r>
          </w:p>
        </w:tc>
      </w:tr>
      <w:tr>
        <w:tc>
          <w:tcPr/>
          <w:p>
            <w:pPr>
              <w:pStyle w:val="Compact"/>
              <w:jc w:val="left"/>
            </w:pPr>
            <w:r>
              <w:t xml:space="preserve">FGM’nin doğum komplikasyonuna yol açtığını bilir</w:t>
            </w:r>
          </w:p>
        </w:tc>
        <w:tc>
          <w:tcPr/>
          <w:p>
            <w:pPr>
              <w:pStyle w:val="Compact"/>
              <w:jc w:val="left"/>
            </w:pPr>
            <w:r>
              <w:t xml:space="preserve">40</w:t>
            </w:r>
          </w:p>
        </w:tc>
        <w:tc>
          <w:tcPr/>
          <w:p>
            <w:pPr>
              <w:pStyle w:val="Compact"/>
              <w:jc w:val="left"/>
            </w:pPr>
            <w:r>
              <w:t xml:space="preserve">81</w:t>
            </w:r>
          </w:p>
        </w:tc>
      </w:tr>
      <w:tr>
        <w:tc>
          <w:tcPr/>
          <w:p>
            <w:pPr>
              <w:pStyle w:val="Compact"/>
              <w:jc w:val="left"/>
            </w:pPr>
            <w:r>
              <w:t xml:space="preserve">FGM enfeksiyon ya da hastalığa yol açabilir</w:t>
            </w:r>
          </w:p>
        </w:tc>
        <w:tc>
          <w:tcPr/>
          <w:p>
            <w:pPr>
              <w:pStyle w:val="Compact"/>
              <w:jc w:val="left"/>
            </w:pPr>
            <w:r>
              <w:t xml:space="preserve">49</w:t>
            </w:r>
          </w:p>
        </w:tc>
        <w:tc>
          <w:tcPr/>
          <w:p>
            <w:pPr>
              <w:pStyle w:val="Compact"/>
              <w:jc w:val="left"/>
            </w:pPr>
            <w:r>
              <w:t xml:space="preserve">85</w:t>
            </w:r>
          </w:p>
        </w:tc>
      </w:tr>
      <w:tr>
        <w:tc>
          <w:tcPr/>
          <w:p>
            <w:pPr>
              <w:pStyle w:val="Compact"/>
              <w:jc w:val="left"/>
            </w:pPr>
            <w:r>
              <w:t xml:space="preserve">FGM pek çok ülkede yasa dışıdır</w:t>
            </w:r>
          </w:p>
        </w:tc>
        <w:tc>
          <w:tcPr/>
          <w:p>
            <w:pPr>
              <w:pStyle w:val="Compact"/>
              <w:jc w:val="left"/>
            </w:pPr>
            <w:r>
              <w:t xml:space="preserve">38</w:t>
            </w:r>
          </w:p>
        </w:tc>
        <w:tc>
          <w:tcPr/>
          <w:p>
            <w:pPr>
              <w:pStyle w:val="Compact"/>
              <w:jc w:val="left"/>
            </w:pPr>
            <w:r>
              <w:t xml:space="preserve">79</w:t>
            </w:r>
          </w:p>
        </w:tc>
      </w:tr>
    </w:tbl>
    <w:p>
      <w:pPr>
        <w:pStyle w:val="BodyText"/>
      </w:pPr>
      <w:r>
        <w:t xml:space="preserve">Aynı bireylerden iki zaman noktasında elde edilen eşleştirilmiş nominal veriler için uygun olan McNemar testi, sınanan iki bilgi sorusunda da istatistiksel olarak anlamlı iyileşme gösterdi: FGM’nin enfeksiyona yol açabileceği inancı ve doğum komplikasyonlarına yol açabileceği farkındalığı (her ikisi için p&lt;0,001; Tablo 9).</w:t>
      </w:r>
    </w:p>
    <w:p>
      <w:pPr>
        <w:pStyle w:val="BodyText"/>
      </w:pPr>
      <w:r>
        <w:rPr>
          <w:bCs/>
          <w:b/>
        </w:rPr>
        <w:t xml:space="preserve">Tablo 9.</w:t>
      </w:r>
      <w:r>
        <w:t xml:space="preserve"> </w:t>
      </w:r>
      <w:r>
        <w:t xml:space="preserve">FGM’ye ilişkin bilgideki değişimler (McNemar testi, n=41)</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Soru</w:t>
            </w:r>
          </w:p>
        </w:tc>
        <w:tc>
          <w:tcPr/>
          <w:p>
            <w:pPr>
              <w:pStyle w:val="Compact"/>
              <w:jc w:val="left"/>
            </w:pPr>
            <w:r>
              <w:t xml:space="preserve">Öncesi</w:t>
            </w:r>
            <w:r>
              <w:t xml:space="preserve"> </w:t>
            </w:r>
            <w:r>
              <w:t xml:space="preserve">“</w:t>
            </w:r>
            <w:r>
              <w:t xml:space="preserve">evet</w:t>
            </w:r>
            <w:r>
              <w:t xml:space="preserve">”</w:t>
            </w:r>
          </w:p>
        </w:tc>
        <w:tc>
          <w:tcPr/>
          <w:p>
            <w:pPr>
              <w:pStyle w:val="Compact"/>
              <w:jc w:val="left"/>
            </w:pPr>
            <w:r>
              <w:t xml:space="preserve">Sonrası</w:t>
            </w:r>
            <w:r>
              <w:t xml:space="preserve"> </w:t>
            </w:r>
            <w:r>
              <w:t xml:space="preserve">“</w:t>
            </w:r>
            <w:r>
              <w:t xml:space="preserve">evet</w:t>
            </w:r>
            <w:r>
              <w:t xml:space="preserve">”</w:t>
            </w:r>
          </w:p>
        </w:tc>
        <w:tc>
          <w:tcPr/>
          <w:p>
            <w:pPr>
              <w:pStyle w:val="Compact"/>
              <w:jc w:val="left"/>
            </w:pPr>
            <w:r>
              <w:t xml:space="preserve">p</w:t>
            </w:r>
          </w:p>
        </w:tc>
      </w:tr>
      <w:tr>
        <w:tc>
          <w:tcPr/>
          <w:p>
            <w:pPr>
              <w:pStyle w:val="Compact"/>
              <w:jc w:val="left"/>
            </w:pPr>
            <w:r>
              <w:t xml:space="preserve">FGM enfeksiyona yol açabilir</w:t>
            </w:r>
          </w:p>
        </w:tc>
        <w:tc>
          <w:tcPr/>
          <w:p>
            <w:pPr>
              <w:pStyle w:val="Compact"/>
              <w:jc w:val="left"/>
            </w:pPr>
            <w:r>
              <w:t xml:space="preserve">1/41</w:t>
            </w:r>
          </w:p>
        </w:tc>
        <w:tc>
          <w:tcPr/>
          <w:p>
            <w:pPr>
              <w:pStyle w:val="Compact"/>
              <w:jc w:val="left"/>
            </w:pPr>
            <w:r>
              <w:t xml:space="preserve">22/41</w:t>
            </w:r>
          </w:p>
        </w:tc>
        <w:tc>
          <w:tcPr/>
          <w:p>
            <w:pPr>
              <w:pStyle w:val="Compact"/>
              <w:jc w:val="left"/>
            </w:pPr>
            <w:r>
              <w:t xml:space="preserve">&lt;0,001</w:t>
            </w:r>
          </w:p>
        </w:tc>
      </w:tr>
      <w:tr>
        <w:tc>
          <w:tcPr/>
          <w:p>
            <w:pPr>
              <w:pStyle w:val="Compact"/>
              <w:jc w:val="left"/>
            </w:pPr>
            <w:r>
              <w:t xml:space="preserve">FGM doğum komplikasyonuna yol açabilir</w:t>
            </w:r>
          </w:p>
        </w:tc>
        <w:tc>
          <w:tcPr/>
          <w:p>
            <w:pPr>
              <w:pStyle w:val="Compact"/>
              <w:jc w:val="left"/>
            </w:pPr>
            <w:r>
              <w:t xml:space="preserve">1/41</w:t>
            </w:r>
          </w:p>
        </w:tc>
        <w:tc>
          <w:tcPr/>
          <w:p>
            <w:pPr>
              <w:pStyle w:val="Compact"/>
              <w:jc w:val="left"/>
            </w:pPr>
            <w:r>
              <w:t xml:space="preserve">38/41</w:t>
            </w:r>
          </w:p>
        </w:tc>
        <w:tc>
          <w:tcPr/>
          <w:p>
            <w:pPr>
              <w:pStyle w:val="Compact"/>
              <w:jc w:val="left"/>
            </w:pPr>
            <w:r>
              <w:t xml:space="preserve">&lt;0,001</w:t>
            </w:r>
          </w:p>
        </w:tc>
      </w:tr>
    </w:tbl>
    <w:bookmarkEnd w:id="36"/>
    <w:bookmarkEnd w:id="37"/>
    <w:bookmarkStart w:id="39" w:name="tartışma"/>
    <w:p>
      <w:pPr>
        <w:pStyle w:val="Heading1"/>
      </w:pPr>
      <w:r>
        <w:t xml:space="preserve">Tartışma</w:t>
      </w:r>
    </w:p>
    <w:p>
      <w:pPr>
        <w:pStyle w:val="FirstParagraph"/>
      </w:pPr>
      <w:r>
        <w:t xml:space="preserve">Bu çalışma, güçlü kültürel inançların ve doğru bilgiye sınırlı erişimin uygulamayı sürdürdüğü bir ortam olan Somali’nin Garowe kentindeki YEK kamplarında FGM’ye ilişkin bilgi, tutum ve uygulamalar hakkında önemli bulgular sunmaktadır. Çalışma, halk sağlığı altyapısında sistemik eksiklikler bulunan, çatışma sonrası bir ülkedeki bu kırılgan toplulukta, odaklı bir sağlık eğitimi oturumunun ardından FGM algılarındaki değişimi inceleyen ilk çalışmalardan biridir. Müdahale öncesinde FGM tiplerine ilişkin temel farkındalık evrenseldi; ancak sağlık komplikasyonlarının ve hukuki çerçevenin daha derin anlaşılması sınırlıydı ve uygulamanın, özellikle Sünni tipin sürmesine destek yaygındı. Müdahale sonrasında bilgi düzeyi anlamlı biçimde arttı ve tutumlarda ölçülebilir bir değişim gözlendi.</w:t>
      </w:r>
    </w:p>
    <w:p>
      <w:pPr>
        <w:pStyle w:val="BodyText"/>
      </w:pPr>
      <w:r>
        <w:t xml:space="preserve">Katılımcıların yalnızca %44,9’u FGM’yi zararlı bir geleneksel uygulama olarak görürken %39,4’ü zararın tipe bağlı olduğuna inanıyordu. Bu ikili algı, Etiyopya’da yapılan toplum temelli kesitsel bir çalışmanın bulgularıyla benzerdir; o çalışmada FGM yaygın olmasına karşın pek çok kadının sağlık risklerinden habersiz olduğu ve daha hafif biçimlerin kültürel ve dinsel inançlar nedeniyle toplumca daha fazla kabul gördüğü saptanmıştır (Yirga vd., 2012). Bu çalışmada katılımcıların %66,4’ü FGM’nin Sünni biçimde sürmesini destekledi. Bu bulgu,</w:t>
      </w:r>
      <w:r>
        <w:t xml:space="preserve"> </w:t>
      </w:r>
      <w:r>
        <w:t xml:space="preserve">“</w:t>
      </w:r>
      <w:r>
        <w:t xml:space="preserve">daha hafif</w:t>
      </w:r>
      <w:r>
        <w:t xml:space="preserve">”</w:t>
      </w:r>
      <w:r>
        <w:t xml:space="preserve"> </w:t>
      </w:r>
      <w:r>
        <w:t xml:space="preserve">biçimlere desteğin dinî yorumlar ve toplumsal kabul nedeniyle sürdüğü Sudan’daki bulgularla uyumludur (Bedri, 2020). Nairobi’de yaşayan Etiyopyalı topluluklarla yapılan nitel bir çalışma da FGM’nin çoğu zaman kadın cinselliğini denetlemenin ve toplumsal kabulü korumanın bir yolu olarak gerekçelendirildiğini ve daha hafif biçimlerin dinsel ya da kültürel olarak onaylı görüldüğü için hoş görüldüğünü göstermiştir (Jaldesa ve Abdi, 2014). Kenya’da da sağlık eğitimine karşın hafif biçimlerin güvenli olduğuna ilişkin yanlış kanılar sürmüş ve bazı topluluklar derin kültürel inançlar ve toplumsal baskı nedeniyle bu uygulamaları kabul etmeye devam etmiştir (Mohamud vd., 2021).</w:t>
      </w:r>
    </w:p>
    <w:p>
      <w:pPr>
        <w:pStyle w:val="BodyText"/>
      </w:pPr>
      <w:r>
        <w:t xml:space="preserve">Eğitim, katılımcıların görüşlerinin biçimlenmesinde belirleyici bir rol oynamıştır. Eğitim düzeyi yüksek olan katılımcıların FGM’yi zararlı olarak tanıma olasılığı anlamlı biçimde daha yüksekti. Benzer şekilde bir UNICEF raporu, FGM’ye karşıtlığın daha eğitimli kız ve kadınlarda en yüksek düzeyde olduğunu ve eğitim düzeyi yükseldikçe belirgin biçimde arttığını göstermiştir (UNICEF, 2022). Çalışma durumu da tutumları etkilemiştir: sağlık çalışanlarının (%67,9) ve vasıflı işçilerin (%57,4) FGM’yi zararlı görme olasılığı ev hanımlarına (%4,2) göre belirgin biçimde daha yüksekti. Bu bulgular, mesleki eğitime ve sağlık bilgisine erişimin bireyleri zararlı geleneksel uygulamaları sorgulama ve onlara direnme konusunda güçlendirdiği görüşünü desteklemektedir. Bulgular ayrıca sağlık profesyonellerinin FGM’ye bağlı sağlık risklerinin daha fazla farkında olduğu, ancak kültürel ve toplumsal etkenlerle biçimlenen karmaşık tutumlar sergilediği Mısır’daki önceki araştırmayı da doğrulamaktadır (Hamdy vd., 2023).</w:t>
      </w:r>
    </w:p>
    <w:p>
      <w:pPr>
        <w:pStyle w:val="BodyText"/>
      </w:pPr>
      <w:r>
        <w:t xml:space="preserve">Kadınlar ve erkekler arasında FGM’nin zararlı olduğuna inanma açısından anlamlı bir fark gözlenmedi; ancak kadınlar cinsel sağlık üzerindeki etkiyi daha sık kabul etti. Bu durum, FGM’nin doğrudan öznesi olan kadınların fizyolojik etkilerin daha fazla farkında olabileceği, ama yine de toplumsal baskı nedeniyle uygulamayı destekleyebileceği görüşüyle uyumludur (WHO, t.y.). Erkekler ise FGM’nin bir kızın evlenebilirliğini artırdığına daha sık inanıyordu. Bu bulgu, erkeklerin sağlık sonuçları konusunda çoğu zaman daha az bilgili olmalarına karşın görüşlerinin FGM yapılması kararını önemli ölçüde etkilediği ataerkil toplumlardaki bulguları desteklemektedir (End FGM European Network, t.y.).</w:t>
      </w:r>
    </w:p>
    <w:p>
      <w:pPr>
        <w:pStyle w:val="BodyText"/>
      </w:pPr>
      <w:r>
        <w:t xml:space="preserve">Eğitim oturumu katılımcıların bilgi ve tutumları üzerinde anlamlı bir etki yaratmıştır. FGM’nin enfeksiyonlara yol açabileceğine ilişkin farkındalık %49’dan %85’e, doğum komplikasyonlarına ilişkin farkındalık ise %40’tan %81’e yükselmiş; her iki değişim de istatistiksel olarak anlamlı bulunmuştur. Oturumdan sonra katılımcıların %75,6’sı tutumlarının değiştiğini ve artık uygulamaya karşı olduklarını bildirmiş, %65,9’u FGM’yi caydırmak için harekete geçeceğini söylemiş, %70,7’si ise konuyu konuşmakta kendini daha özgüvenli hissetmiştir. Kız çocuğunu sünnet ettirmeye destek %42’den %19’a düşmüştür. Öte yandan katılımcıların %56,5’i toplumsal baskının FGM’ye ilişkin kararlarını etkilediğini, %75,2’si ise din adamlarının toplumsal görüşleri biçimlendirmedeki rolünü kabul etmiştir. Bu sonuçlar, toplumsal normları etkili biçimde değiştirmek için din adamlarının ve topluluk önderlerinin FGM karşıtı müdahalelere katılmasının kritik önemini vurgulamaktadır (Mahmood vd., 2022).</w:t>
      </w:r>
    </w:p>
    <w:bookmarkStart w:id="38" w:name="güçlü-yönler-ve-sınırlılıklar"/>
    <w:p>
      <w:pPr>
        <w:pStyle w:val="Heading2"/>
      </w:pPr>
      <w:r>
        <w:t xml:space="preserve">Güçlü yönler ve sınırlılıklar</w:t>
      </w:r>
    </w:p>
    <w:p>
      <w:pPr>
        <w:pStyle w:val="FirstParagraph"/>
      </w:pPr>
      <w:r>
        <w:t xml:space="preserve">FGM Somali’de yaygınlığını korumakla birlikte, sağlık istatistiklerinde çoğu zaman göz ardı edilen yerinden edilmiş topluluklara özgü veriler eksiktir; bu durum çalışmaya özgünlük ve bağlamsal önem kazandırmaktadır. Katılımcıların çoğunun okuryazarlık düzeyi düşük olduğu için anketler yüz yüze uygulanmış; bu yöntem hem veri doğruluğunu artırmış hem de son derece hassas bu konunun konuşulmasında katılımcıların güvenini kazanmayı sağlamıştır. Öncesi–sonrası tasarım eğitim oturumunun kısa dönem etkisinin ölçülmesine olanak vermiş, FGM kararlarında çoğu zaman belirleyici rol oynayan erkeklerin çalışmaya dahil edilmesi ise çalışmanın kapsamını güçlendirmiştir.</w:t>
      </w:r>
    </w:p>
    <w:p>
      <w:pPr>
        <w:pStyle w:val="BodyText"/>
      </w:pPr>
      <w:r>
        <w:t xml:space="preserve">Çalışmanın sınırlılıkları da vardır. Rastgele örnekleme yerine kartopu örnekleme kullanılması temsil gücünü sınırlamakta ve katılımcıların benzer geçmiş ya da inançlara sahip kişileri yönlendirmiş olabileceği için seçim yanlılığına yol açabilmektedir. Araştırma araştırmacının kendi olanaklarıyla finanse edilmiş, bu da kaynakları ve çalışmanın ölçeğini kısıtlamıştır. Kırılgan güvenlik ortamı bazı bölgelere ulaşımı geciktirmiş ya da engellemiştir. Konunun kültürel hassasiyeti nedeniyle bazı kişiler katılmaya isteksiz olmuş, bazıları maddi karşılık beklemiş, pek çoğu da onam vermemiş ya da çalışmadan çekilmiştir. Kültürel normlar veri toplama ekibinin yalnızca kadınlardan oluşmasını gerektirmiş, bu da eğitimli personel bulmayı güçleştirmiştir. Hatırlama yanlılığı ve sosyal beğenirlik yanlılığı, özellikle eğitim oturumundan sonra yanıtları etkilemiş olabilir. Son olarak çalışma yalnızca bilgi ve tutumlardaki kısa dönem değişimleri ölçmüş, uzun dönem davranış değişikliğini ya da uygulamanın fiilen terk edilip edilmediğini değerlendirmemiştir.</w:t>
      </w:r>
    </w:p>
    <w:bookmarkEnd w:id="38"/>
    <w:bookmarkEnd w:id="39"/>
    <w:bookmarkStart w:id="40" w:name="sonuç"/>
    <w:p>
      <w:pPr>
        <w:pStyle w:val="Heading1"/>
      </w:pPr>
      <w:r>
        <w:t xml:space="preserve">Sonuç</w:t>
      </w:r>
    </w:p>
    <w:p>
      <w:pPr>
        <w:pStyle w:val="FirstParagraph"/>
      </w:pPr>
      <w:r>
        <w:t xml:space="preserve">FGM, Garowe’deki YEK’ler arasında toplumsal, dinsel ve toplumsal cinsiyete dayalı dinamiklerden beslenen yaygın yanlış kanılar ve desteklerle birlikte süregelen bir sağlık ve insan hakları sorunudur. Hedefe yönelik ve kültürel açıdan duyarlı bir sağlık eğitimi oturumu, katılımcıların doğum komplikasyonları ve enfeksiyonlar dâhil FGM’nin sağlık risklerini tanımasını artırmış ve tutumları uygulamaya karşı çıkma yönünde değiştirmiştir. Eğitim düzeyi yüksek olanlar ile sağlık ya da vasıflı sektörlerde çalışanların FGM’yi reddetme olasılığı daha yüksekti; bu durum FGM eğitiminin okuryazarlık, mesleki eğitim ve mesleki gelişim programlarına katılmasının değerini ortaya koymaktadır. Genel tutumlar kadın ve erkekler arasında farklılık göstermese de kadınlar FGM’nin cinsel sağlık üzerindeki etkisinin daha fazla farkındaydı, erkekler ise uygulamayı daha çok evlenebilirlikle ilişkilendiriyordu; bu da her iki cinsiyeti de kapsayan, toplumsal cinsiyete duyarlı yaklaşımları gerekli kılmaktadır. Bazı katılımcılar müdahaleden sonra da daha hafif biçimleri desteklemeyi sürdürmüştür; bu, tek seferlik oturumlar yerine sürekli eğitime gereksinim olduğunu göstermektedir. Pek çok katılımcının FGM’nin yasal durumundan emin olmaması, hukuki eğitimin sağlık programlarına katılması ve yasaların uygulanmasının güçlendirilmesi gerektiğini düşündürmektedir.</w:t>
      </w:r>
    </w:p>
    <w:p>
      <w:pPr>
        <w:pStyle w:val="BodyText"/>
      </w:pPr>
      <w:r>
        <w:t xml:space="preserve">Sağlık eğitimi müdahaleleri Somali’deki YEK kamplarına ve yaygınlığın yüksek olduğu diğer topluluklara yaygınlaştırılmalı; eğitimli yerel sağlık çalışanları ve topluluk eğiticileri tarafından düzenli olarak sunulmalı ve kadınların, gençlerin ve eğitim düzeyi düşük kişilerin gereksinimlerine göre uyarlanmalıdır. Din adamları ve topluluk önderleri ile erkekler ve erkek çocuklar bu çabalara katılmalıdır. FGM karşıtı eğitim okul müfredatlarına, gençlik programlarına ve üreme sağlığı hizmetlerine entegre edilmeli, izlem oturumlarıyla pekiştirilmelidir. FGM’den etkilenenler için psikososyal destek ve FGM sonrası bakım hizmetleri genişletilmelidir. Yinelenen sağlık eğitiminin gerçek davranış değişikliği üzerindeki uzun dönem etkisini inceleyen yeni çalışmalara gereksinim vardır.</w:t>
      </w:r>
    </w:p>
    <w:bookmarkEnd w:id="40"/>
    <w:bookmarkStart w:id="41" w:name="beyanlar"/>
    <w:p>
      <w:pPr>
        <w:pStyle w:val="Heading1"/>
      </w:pPr>
      <w:r>
        <w:t xml:space="preserve">Beyanlar</w:t>
      </w:r>
    </w:p>
    <w:p>
      <w:pPr>
        <w:pStyle w:val="FirstParagraph"/>
      </w:pPr>
      <w:r>
        <w:rPr>
          <w:bCs/>
          <w:b/>
        </w:rPr>
        <w:t xml:space="preserve">Etik onay:</w:t>
      </w:r>
      <w:r>
        <w:t xml:space="preserve"> </w:t>
      </w:r>
      <w:r>
        <w:t xml:space="preserve">Ankara Yıldırım Beyazıt Üniversitesi Sağlık Bilimleri Etik Kurulu (14.06.2023/313); Puntland Eyaleti Sağlık Bakanlığı.</w:t>
      </w:r>
    </w:p>
    <w:p>
      <w:pPr>
        <w:pStyle w:val="BodyText"/>
      </w:pPr>
      <w:r>
        <w:rPr>
          <w:bCs/>
          <w:b/>
        </w:rPr>
        <w:t xml:space="preserve">Finansman:</w:t>
      </w:r>
      <w:r>
        <w:t xml:space="preserve"> </w:t>
      </w:r>
      <w:r>
        <w:t xml:space="preserve">Bu araştırma araştırmacının kendi olanaklarıyla finanse edilmiştir.</w:t>
      </w:r>
    </w:p>
    <w:p>
      <w:pPr>
        <w:pStyle w:val="BodyText"/>
      </w:pPr>
      <w:r>
        <w:rPr>
          <w:bCs/>
          <w:b/>
        </w:rPr>
        <w:t xml:space="preserve">Çıkar çatışması:</w:t>
      </w:r>
      <w:r>
        <w:t xml:space="preserve"> </w:t>
      </w:r>
      <w:r>
        <w:t xml:space="preserve">[EKSİK – yazarlar tarafından doldurulacak]</w:t>
      </w:r>
    </w:p>
    <w:p>
      <w:pPr>
        <w:pStyle w:val="BodyText"/>
      </w:pPr>
      <w:r>
        <w:rPr>
          <w:bCs/>
          <w:b/>
        </w:rPr>
        <w:t xml:space="preserve">Teşekkür:</w:t>
      </w:r>
      <w:r>
        <w:t xml:space="preserve"> </w:t>
      </w:r>
      <w:r>
        <w:t xml:space="preserve">Yazarlar, veri toplama sürecindeki desteği için Somali’deki KAALO kuruluşuna ve iş birlikleri için Garowe YEK kamplarındaki topluluk önderlerine ve veri toplayıcılara teşekkür eder.</w:t>
      </w:r>
    </w:p>
    <w:bookmarkEnd w:id="41"/>
    <w:bookmarkStart w:id="42" w:name="kaynaklar"/>
    <w:p>
      <w:pPr>
        <w:pStyle w:val="Heading1"/>
      </w:pPr>
      <w:r>
        <w:t xml:space="preserve">Kaynaklar</w:t>
      </w:r>
    </w:p>
    <w:p>
      <w:pPr>
        <w:pStyle w:val="FirstParagraph"/>
      </w:pPr>
      <w:r>
        <w:t xml:space="preserve">28 Too Many. (2019).</w:t>
      </w:r>
      <w:r>
        <w:t xml:space="preserve"> </w:t>
      </w:r>
      <w:r>
        <w:rPr>
          <w:iCs/>
          <w:i/>
        </w:rPr>
        <w:t xml:space="preserve">FGM Somalia and Somaliland: Executive summary</w:t>
      </w:r>
      <w:r>
        <w:t xml:space="preserve">. https://www.fgmcri.org/media/uploads/Country%20Research%20and%20Resources/SomaliaSomaliland/somalia_and_somaliland_country_profile_update_executive_summary_v1_(march_2021).pdf</w:t>
      </w:r>
    </w:p>
    <w:p>
      <w:pPr>
        <w:pStyle w:val="BodyText"/>
      </w:pPr>
      <w:r>
        <w:t xml:space="preserve">Abathun, A. D., Sundby, J., &amp; Gele, A. A. (2016). Attitude toward female genital mutilation among Somali and Harari people, Eastern Ethiopia.</w:t>
      </w:r>
      <w:r>
        <w:t xml:space="preserve"> </w:t>
      </w:r>
      <w:r>
        <w:rPr>
          <w:iCs/>
          <w:i/>
        </w:rPr>
        <w:t xml:space="preserve">International Journal of Women’s Health</w:t>
      </w:r>
      <w:r>
        <w:t xml:space="preserve">, [EKSİK: cilt], 557–569.</w:t>
      </w:r>
    </w:p>
    <w:p>
      <w:pPr>
        <w:pStyle w:val="BodyText"/>
      </w:pPr>
      <w:r>
        <w:t xml:space="preserve">Abdi, M. S., &amp; Askew, I. (2009).</w:t>
      </w:r>
      <w:r>
        <w:t xml:space="preserve"> </w:t>
      </w:r>
      <w:r>
        <w:rPr>
          <w:iCs/>
          <w:i/>
        </w:rPr>
        <w:t xml:space="preserve">A religious oriented approach to addressing female genital mutilation/cutting among the Somali community of Wajir, Kenya</w:t>
      </w:r>
      <w:r>
        <w:t xml:space="preserve">. [EKSİK: yayıncı]</w:t>
      </w:r>
    </w:p>
    <w:p>
      <w:pPr>
        <w:pStyle w:val="BodyText"/>
      </w:pPr>
      <w:r>
        <w:t xml:space="preserve">Bedri, P. (2020).</w:t>
      </w:r>
      <w:r>
        <w:t xml:space="preserve"> </w:t>
      </w:r>
      <w:r>
        <w:rPr>
          <w:iCs/>
          <w:i/>
        </w:rPr>
        <w:t xml:space="preserve">Improved understanding of FGM/C abandonment among Sudanese families in Khartoum and Kassala States</w:t>
      </w:r>
      <w:r>
        <w:t xml:space="preserve"> </w:t>
      </w:r>
      <w:r>
        <w:t xml:space="preserve">(Sudan Working Paper). [EKSİK: yayıncı]</w:t>
      </w:r>
    </w:p>
    <w:p>
      <w:pPr>
        <w:pStyle w:val="BodyText"/>
      </w:pPr>
      <w:r>
        <w:t xml:space="preserve">El-Dirani, Z., Farouki, L., Akl, C., Ali, U., Akik, C., &amp; McCall, S. J. (2022). Factors associated with female genital mutilation: A systematic review and synthesis of national, regional and community-based studies.</w:t>
      </w:r>
      <w:r>
        <w:t xml:space="preserve"> </w:t>
      </w:r>
      <w:r>
        <w:rPr>
          <w:iCs/>
          <w:i/>
        </w:rPr>
        <w:t xml:space="preserve">BMJ Sexual &amp; Reproductive Health</w:t>
      </w:r>
      <w:r>
        <w:t xml:space="preserve">,</w:t>
      </w:r>
      <w:r>
        <w:t xml:space="preserve"> </w:t>
      </w:r>
      <w:r>
        <w:rPr>
          <w:iCs/>
          <w:i/>
        </w:rPr>
        <w:t xml:space="preserve">48</w:t>
      </w:r>
      <w:r>
        <w:t xml:space="preserve">(3), 169–178.</w:t>
      </w:r>
    </w:p>
    <w:p>
      <w:pPr>
        <w:pStyle w:val="BodyText"/>
      </w:pPr>
      <w:r>
        <w:t xml:space="preserve">El-Gibaly, O., Aziz, M., &amp; Abou Hussein, S. (2019). Health care providers’ and mothers’ perceptions about the medicalization of female genital mutilation or cutting in Egypt: A cross-sectional qualitative study.</w:t>
      </w:r>
      <w:r>
        <w:t xml:space="preserve"> </w:t>
      </w:r>
      <w:r>
        <w:rPr>
          <w:iCs/>
          <w:i/>
        </w:rPr>
        <w:t xml:space="preserve">BMC International Health and Human Rights</w:t>
      </w:r>
      <w:r>
        <w:t xml:space="preserve">,</w:t>
      </w:r>
      <w:r>
        <w:t xml:space="preserve"> </w:t>
      </w:r>
      <w:r>
        <w:rPr>
          <w:iCs/>
          <w:i/>
        </w:rPr>
        <w:t xml:space="preserve">19</w:t>
      </w:r>
      <w:r>
        <w:t xml:space="preserve">(1), 26.</w:t>
      </w:r>
    </w:p>
    <w:p>
      <w:pPr>
        <w:pStyle w:val="BodyText"/>
      </w:pPr>
      <w:r>
        <w:t xml:space="preserve">Elnakib, S., &amp; Metzler, J. (2022). A scoping review of FGM in humanitarian settings: An overlooked phenomenon with lifelong consequences.</w:t>
      </w:r>
      <w:r>
        <w:t xml:space="preserve"> </w:t>
      </w:r>
      <w:r>
        <w:rPr>
          <w:iCs/>
          <w:i/>
        </w:rPr>
        <w:t xml:space="preserve">Conflict and Health</w:t>
      </w:r>
      <w:r>
        <w:t xml:space="preserve">,</w:t>
      </w:r>
      <w:r>
        <w:t xml:space="preserve"> </w:t>
      </w:r>
      <w:r>
        <w:rPr>
          <w:iCs/>
          <w:i/>
        </w:rPr>
        <w:t xml:space="preserve">16</w:t>
      </w:r>
      <w:r>
        <w:t xml:space="preserve">(1), 49.</w:t>
      </w:r>
    </w:p>
    <w:p>
      <w:pPr>
        <w:pStyle w:val="BodyText"/>
      </w:pPr>
      <w:r>
        <w:t xml:space="preserve">End FGM European Network. (t.y.).</w:t>
      </w:r>
      <w:r>
        <w:t xml:space="preserve"> </w:t>
      </w:r>
      <w:r>
        <w:rPr>
          <w:iCs/>
          <w:i/>
        </w:rPr>
        <w:t xml:space="preserve">FGM, religious discrimination and intersectionality: Position paper 2024</w:t>
      </w:r>
      <w:r>
        <w:t xml:space="preserve">. 31 Mayıs 2025 tarihinde https://endfgm.eu/resources/end-fgm-network/fgm-religious-discrimination-and-intersectionality-position-paper-2024/ adresinden erişildi.</w:t>
      </w:r>
    </w:p>
    <w:p>
      <w:pPr>
        <w:pStyle w:val="BodyText"/>
      </w:pPr>
      <w:r>
        <w:t xml:space="preserve">Farih, O. A., Ali, A. O., Abokor, A. H., Ali, M. A., Muse, A. H., &amp; Egge, A. A. A. (2025). Prevalence and factors associated with female genital mutilation among daughters using Somalia Demographic Health Survey Data, SDHS 2020.</w:t>
      </w:r>
      <w:r>
        <w:t xml:space="preserve"> </w:t>
      </w:r>
      <w:r>
        <w:rPr>
          <w:iCs/>
          <w:i/>
        </w:rPr>
        <w:t xml:space="preserve">Atención Primaria</w:t>
      </w:r>
      <w:r>
        <w:t xml:space="preserve">,</w:t>
      </w:r>
      <w:r>
        <w:t xml:space="preserve"> </w:t>
      </w:r>
      <w:r>
        <w:rPr>
          <w:iCs/>
          <w:i/>
        </w:rPr>
        <w:t xml:space="preserve">57</w:t>
      </w:r>
      <w:r>
        <w:t xml:space="preserve">(4), 103113.</w:t>
      </w:r>
    </w:p>
    <w:p>
      <w:pPr>
        <w:pStyle w:val="BodyText"/>
      </w:pPr>
      <w:r>
        <w:t xml:space="preserve">Hamdy, A., Aboushady, A. T., Abd El Moty, H. I., ELShobary, M. O. M., Bassiouny, Y., &amp; Hegazy, A. A. (2023). Knowledge, attitudes, and practices of female genital mutilation/cutting among healthcare providers in two public hospitals in Egypt: A cross-sectional study.</w:t>
      </w:r>
      <w:r>
        <w:t xml:space="preserve"> </w:t>
      </w:r>
      <w:r>
        <w:rPr>
          <w:iCs/>
          <w:i/>
        </w:rPr>
        <w:t xml:space="preserve">PLOS Global Public Health</w:t>
      </w:r>
      <w:r>
        <w:t xml:space="preserve">,</w:t>
      </w:r>
      <w:r>
        <w:t xml:space="preserve"> </w:t>
      </w:r>
      <w:r>
        <w:rPr>
          <w:iCs/>
          <w:i/>
        </w:rPr>
        <w:t xml:space="preserve">3</w:t>
      </w:r>
      <w:r>
        <w:t xml:space="preserve">(12), e0002724. https://doi.org/10.1371/journal.pgph.0002724</w:t>
      </w:r>
    </w:p>
    <w:p>
      <w:pPr>
        <w:pStyle w:val="BodyText"/>
      </w:pPr>
      <w:r>
        <w:t xml:space="preserve">Iavazzo, C., Sardi, T. A., &amp; Gkegkes, I. D. (2013). Female genital mutilation and infections: A systematic review of the clinical evidence.</w:t>
      </w:r>
      <w:r>
        <w:t xml:space="preserve"> </w:t>
      </w:r>
      <w:r>
        <w:rPr>
          <w:iCs/>
          <w:i/>
        </w:rPr>
        <w:t xml:space="preserve">Archives of Gynecology and Obstetrics</w:t>
      </w:r>
      <w:r>
        <w:t xml:space="preserve">,</w:t>
      </w:r>
      <w:r>
        <w:t xml:space="preserve"> </w:t>
      </w:r>
      <w:r>
        <w:rPr>
          <w:iCs/>
          <w:i/>
        </w:rPr>
        <w:t xml:space="preserve">287</w:t>
      </w:r>
      <w:r>
        <w:t xml:space="preserve">(6), 1137–1149.</w:t>
      </w:r>
    </w:p>
    <w:p>
      <w:pPr>
        <w:pStyle w:val="BodyText"/>
      </w:pPr>
      <w:r>
        <w:t xml:space="preserve">International Organization for Migration. (t.y.).</w:t>
      </w:r>
      <w:r>
        <w:t xml:space="preserve"> </w:t>
      </w:r>
      <w:r>
        <w:rPr>
          <w:iCs/>
          <w:i/>
        </w:rPr>
        <w:t xml:space="preserve">Four challenges facing displaced persons in Somalia</w:t>
      </w:r>
      <w:r>
        <w:t xml:space="preserve">. IOM Blog. 19 Şubat 2025 tarihinde https://weblog.iom.int/four-challenges-facing-displaced-persons-somalia adresinden erişildi.</w:t>
      </w:r>
    </w:p>
    <w:p>
      <w:pPr>
        <w:pStyle w:val="BodyText"/>
      </w:pPr>
      <w:r>
        <w:t xml:space="preserve">Jaldesa, G. W., &amp; Abdi, M. S. (2014). Perceptions of female genital mutilation/cutting (FGM/C) among the Ethiopian community living in Nairobi.</w:t>
      </w:r>
      <w:r>
        <w:t xml:space="preserve"> </w:t>
      </w:r>
      <w:r>
        <w:rPr>
          <w:iCs/>
          <w:i/>
        </w:rPr>
        <w:t xml:space="preserve">Journal of Obstetrics and Gynaecology of Eastern and Central Africa</w:t>
      </w:r>
      <w:r>
        <w:t xml:space="preserve">,</w:t>
      </w:r>
      <w:r>
        <w:t xml:space="preserve"> </w:t>
      </w:r>
      <w:r>
        <w:rPr>
          <w:iCs/>
          <w:i/>
        </w:rPr>
        <w:t xml:space="preserve">26</w:t>
      </w:r>
      <w:r>
        <w:t xml:space="preserve">(1), 21–30.</w:t>
      </w:r>
    </w:p>
    <w:p>
      <w:pPr>
        <w:pStyle w:val="BodyText"/>
      </w:pPr>
      <w:r>
        <w:t xml:space="preserve">Johansen, R. E. B. (2022). Discourses of change: The shift from infibulation to sunna circumcision among Somali and Sudanese migrants in Norway.</w:t>
      </w:r>
      <w:r>
        <w:t xml:space="preserve"> </w:t>
      </w:r>
      <w:r>
        <w:rPr>
          <w:iCs/>
          <w:i/>
        </w:rPr>
        <w:t xml:space="preserve">PLoS ONE</w:t>
      </w:r>
      <w:r>
        <w:t xml:space="preserve">,</w:t>
      </w:r>
      <w:r>
        <w:t xml:space="preserve"> </w:t>
      </w:r>
      <w:r>
        <w:rPr>
          <w:iCs/>
          <w:i/>
        </w:rPr>
        <w:t xml:space="preserve">17</w:t>
      </w:r>
      <w:r>
        <w:t xml:space="preserve">(6), e0268322.</w:t>
      </w:r>
    </w:p>
    <w:p>
      <w:pPr>
        <w:pStyle w:val="BodyText"/>
      </w:pPr>
      <w:r>
        <w:t xml:space="preserve">Leye, E., Van Eekert, N., Shamu, S., Esho, T., &amp; Barrett, H. (2019). Debating medicalization of female genital mutilation/cutting (FGM/C): Learning from (policy) experiences across countries.</w:t>
      </w:r>
      <w:r>
        <w:t xml:space="preserve"> </w:t>
      </w:r>
      <w:r>
        <w:rPr>
          <w:iCs/>
          <w:i/>
        </w:rPr>
        <w:t xml:space="preserve">Reproductive Health</w:t>
      </w:r>
      <w:r>
        <w:t xml:space="preserve">,</w:t>
      </w:r>
      <w:r>
        <w:t xml:space="preserve"> </w:t>
      </w:r>
      <w:r>
        <w:rPr>
          <w:iCs/>
          <w:i/>
        </w:rPr>
        <w:t xml:space="preserve">16</w:t>
      </w:r>
      <w:r>
        <w:t xml:space="preserve">(1), 1–10.</w:t>
      </w:r>
    </w:p>
    <w:p>
      <w:pPr>
        <w:pStyle w:val="BodyText"/>
      </w:pPr>
      <w:r>
        <w:t xml:space="preserve">Lurie, J. M., Weidman, A., Huynh, S., Delgado, D., Easthausen, I., &amp; Kaur, G. (2020). Painful gynecologic and obstetric complications of female genital mutilation/cutting: A systematic review and meta-analysis.</w:t>
      </w:r>
      <w:r>
        <w:t xml:space="preserve"> </w:t>
      </w:r>
      <w:r>
        <w:rPr>
          <w:iCs/>
          <w:i/>
        </w:rPr>
        <w:t xml:space="preserve">PLoS Medicine</w:t>
      </w:r>
      <w:r>
        <w:t xml:space="preserve">,</w:t>
      </w:r>
      <w:r>
        <w:t xml:space="preserve"> </w:t>
      </w:r>
      <w:r>
        <w:rPr>
          <w:iCs/>
          <w:i/>
        </w:rPr>
        <w:t xml:space="preserve">17</w:t>
      </w:r>
      <w:r>
        <w:t xml:space="preserve">(3), e1003088.</w:t>
      </w:r>
    </w:p>
    <w:p>
      <w:pPr>
        <w:pStyle w:val="BodyText"/>
      </w:pPr>
      <w:r>
        <w:t xml:space="preserve">Mahmood, K. I., Shabu, S. A., M-Amen, K., Saleh, A. M., Ahmed, H., Mzori, B. Q., &amp; Shabila, N. P. (2022). Knowledge, attitudes, and positions of religious leaders towards female genital cutting: A cross-sectional study from the Kurdistan Region of Iraq.</w:t>
      </w:r>
      <w:r>
        <w:t xml:space="preserve"> </w:t>
      </w:r>
      <w:r>
        <w:rPr>
          <w:iCs/>
          <w:i/>
        </w:rPr>
        <w:t xml:space="preserve">PLoS ONE</w:t>
      </w:r>
      <w:r>
        <w:t xml:space="preserve">,</w:t>
      </w:r>
      <w:r>
        <w:t xml:space="preserve"> </w:t>
      </w:r>
      <w:r>
        <w:rPr>
          <w:iCs/>
          <w:i/>
        </w:rPr>
        <w:t xml:space="preserve">17</w:t>
      </w:r>
      <w:r>
        <w:t xml:space="preserve">(11), e0265799.</w:t>
      </w:r>
    </w:p>
    <w:p>
      <w:pPr>
        <w:pStyle w:val="BodyText"/>
      </w:pPr>
      <w:r>
        <w:t xml:space="preserve">Mehriban, N., Zafar Ullah, A. N., Haque, M. I., Harun, M. G. D., Isse, D. M., Muhammad, F., … Dessoffy, T. [EKSİK: tam yazar listesi] (2023). Knowledge, attitudes, and practices of female health care service providers on female genital mutilation in Somalia: A cross-sectional study.</w:t>
      </w:r>
      <w:r>
        <w:t xml:space="preserve"> </w:t>
      </w:r>
      <w:r>
        <w:rPr>
          <w:iCs/>
          <w:i/>
        </w:rPr>
        <w:t xml:space="preserve">Women’s Health</w:t>
      </w:r>
      <w:r>
        <w:t xml:space="preserve">,</w:t>
      </w:r>
      <w:r>
        <w:t xml:space="preserve"> </w:t>
      </w:r>
      <w:r>
        <w:rPr>
          <w:iCs/>
          <w:i/>
        </w:rPr>
        <w:t xml:space="preserve">19</w:t>
      </w:r>
      <w:r>
        <w:t xml:space="preserve">, 17455057231199032.</w:t>
      </w:r>
    </w:p>
    <w:p>
      <w:pPr>
        <w:pStyle w:val="BodyText"/>
      </w:pPr>
      <w:r>
        <w:t xml:space="preserve">Mitike, G., &amp; Deressa, W. (2009). Prevalence and associated factors of female genital mutilation among Somali refugees in eastern Ethiopia: A cross-sectional study.</w:t>
      </w:r>
      <w:r>
        <w:t xml:space="preserve"> </w:t>
      </w:r>
      <w:r>
        <w:rPr>
          <w:iCs/>
          <w:i/>
        </w:rPr>
        <w:t xml:space="preserve">BMC Public Health</w:t>
      </w:r>
      <w:r>
        <w:t xml:space="preserve">,</w:t>
      </w:r>
      <w:r>
        <w:t xml:space="preserve"> </w:t>
      </w:r>
      <w:r>
        <w:rPr>
          <w:iCs/>
          <w:i/>
        </w:rPr>
        <w:t xml:space="preserve">9</w:t>
      </w:r>
      <w:r>
        <w:t xml:space="preserve">(1), 264.</w:t>
      </w:r>
    </w:p>
    <w:p>
      <w:pPr>
        <w:pStyle w:val="BodyText"/>
      </w:pPr>
      <w:r>
        <w:t xml:space="preserve">Mohamud, A., Qureshi, Z., De Wildt, G., &amp; Jones, L. (2021). Exploring perceptions of female genital mutilation/cutting abandonment (FGM/C) in Kenyan health care professionals.</w:t>
      </w:r>
      <w:r>
        <w:t xml:space="preserve"> </w:t>
      </w:r>
      <w:r>
        <w:rPr>
          <w:iCs/>
          <w:i/>
        </w:rPr>
        <w:t xml:space="preserve">Qualitative Health Research</w:t>
      </w:r>
      <w:r>
        <w:t xml:space="preserve">,</w:t>
      </w:r>
      <w:r>
        <w:t xml:space="preserve"> </w:t>
      </w:r>
      <w:r>
        <w:rPr>
          <w:iCs/>
          <w:i/>
        </w:rPr>
        <w:t xml:space="preserve">31</w:t>
      </w:r>
      <w:r>
        <w:t xml:space="preserve">(11), 1976–1989.</w:t>
      </w:r>
    </w:p>
    <w:p>
      <w:pPr>
        <w:pStyle w:val="BodyText"/>
      </w:pPr>
      <w:r>
        <w:t xml:space="preserve">Obianwu, O., Adetunji, A., &amp; Dirisu, O. (2018). Understanding medicalisation of female genital mutilation/cutting (FGM/C): A qualitative study of parents and health workers in Nigeria.</w:t>
      </w:r>
      <w:r>
        <w:t xml:space="preserve"> </w:t>
      </w:r>
      <w:r>
        <w:rPr>
          <w:iCs/>
          <w:i/>
        </w:rPr>
        <w:t xml:space="preserve">Reproductive Health</w:t>
      </w:r>
      <w:r>
        <w:t xml:space="preserve">. https://doi.org/10.31899/rh6.1039</w:t>
      </w:r>
    </w:p>
    <w:p>
      <w:pPr>
        <w:pStyle w:val="BodyText"/>
      </w:pPr>
      <w:r>
        <w:t xml:space="preserve">Reisel, D., &amp; Creighton, S. M. (2015). Long term health consequences of female genital mutilation (FGM).</w:t>
      </w:r>
      <w:r>
        <w:t xml:space="preserve"> </w:t>
      </w:r>
      <w:r>
        <w:rPr>
          <w:iCs/>
          <w:i/>
        </w:rPr>
        <w:t xml:space="preserve">Maturitas</w:t>
      </w:r>
      <w:r>
        <w:t xml:space="preserve">,</w:t>
      </w:r>
      <w:r>
        <w:t xml:space="preserve"> </w:t>
      </w:r>
      <w:r>
        <w:rPr>
          <w:iCs/>
          <w:i/>
        </w:rPr>
        <w:t xml:space="preserve">80</w:t>
      </w:r>
      <w:r>
        <w:t xml:space="preserve">(1), 48–51.</w:t>
      </w:r>
    </w:p>
    <w:p>
      <w:pPr>
        <w:pStyle w:val="BodyText"/>
      </w:pPr>
      <w:r>
        <w:t xml:space="preserve">UNFPA Somalia. (t.y.).</w:t>
      </w:r>
      <w:r>
        <w:t xml:space="preserve"> </w:t>
      </w:r>
      <w:r>
        <w:rPr>
          <w:iCs/>
          <w:i/>
        </w:rPr>
        <w:t xml:space="preserve">Female genital mutilation</w:t>
      </w:r>
      <w:r>
        <w:t xml:space="preserve">. 19 Şubat 2025 tarihinde https://somalia.unfpa.org/en/topics/female-genital-mutilation-0 adresinden erişildi.</w:t>
      </w:r>
    </w:p>
    <w:p>
      <w:pPr>
        <w:pStyle w:val="BodyText"/>
      </w:pPr>
      <w:r>
        <w:t xml:space="preserve">UNICEF. (t.y.).</w:t>
      </w:r>
      <w:r>
        <w:t xml:space="preserve"> </w:t>
      </w:r>
      <w:r>
        <w:rPr>
          <w:iCs/>
          <w:i/>
        </w:rPr>
        <w:t xml:space="preserve">Female genital mutilation (FGM) statistics</w:t>
      </w:r>
      <w:r>
        <w:t xml:space="preserve">. UNICEF DATA. 19 Şubat 2025 tarihinde https://data.unicef.org/topic/child-protection/female-genital-mutilation/ adresinden erişildi.</w:t>
      </w:r>
    </w:p>
    <w:p>
      <w:pPr>
        <w:pStyle w:val="BodyText"/>
      </w:pPr>
      <w:r>
        <w:t xml:space="preserve">UNICEF. (2022).</w:t>
      </w:r>
      <w:r>
        <w:t xml:space="preserve"> </w:t>
      </w:r>
      <w:r>
        <w:rPr>
          <w:iCs/>
          <w:i/>
        </w:rPr>
        <w:t xml:space="preserve">The power of education to end female genital mutilation</w:t>
      </w:r>
      <w:r>
        <w:t xml:space="preserve">. UNICEF DATA. 30 Mayıs 2025 tarihinde https://data.unicef.org/resources/the-power-of-education-to-end-female-genital-mutilation/ adresinden erişildi.</w:t>
      </w:r>
    </w:p>
    <w:p>
      <w:pPr>
        <w:pStyle w:val="BodyText"/>
      </w:pPr>
      <w:r>
        <w:t xml:space="preserve">Varol, N., Turkmani, S., Black, K., Hall, J., &amp; Dawson, A. (2015). The role of men in abandonment of female genital mutilation: A systematic review.</w:t>
      </w:r>
      <w:r>
        <w:t xml:space="preserve"> </w:t>
      </w:r>
      <w:r>
        <w:rPr>
          <w:iCs/>
          <w:i/>
        </w:rPr>
        <w:t xml:space="preserve">BMC Public Health</w:t>
      </w:r>
      <w:r>
        <w:t xml:space="preserve">,</w:t>
      </w:r>
      <w:r>
        <w:t xml:space="preserve"> </w:t>
      </w:r>
      <w:r>
        <w:rPr>
          <w:iCs/>
          <w:i/>
        </w:rPr>
        <w:t xml:space="preserve">15</w:t>
      </w:r>
      <w:r>
        <w:t xml:space="preserve">(1), 1034.</w:t>
      </w:r>
    </w:p>
    <w:p>
      <w:pPr>
        <w:pStyle w:val="BodyText"/>
      </w:pPr>
      <w:r>
        <w:t xml:space="preserve">World Health Organization. (t.y.).</w:t>
      </w:r>
      <w:r>
        <w:t xml:space="preserve"> </w:t>
      </w:r>
      <w:r>
        <w:rPr>
          <w:iCs/>
          <w:i/>
        </w:rPr>
        <w:t xml:space="preserve">Female genital mutilation</w:t>
      </w:r>
      <w:r>
        <w:t xml:space="preserve">. 20 Şubat 2025 tarihinde https://www.who.int/news-room/fact-sheets/detail/female-genital-mutilation adresinden erişildi.</w:t>
      </w:r>
    </w:p>
    <w:p>
      <w:pPr>
        <w:pStyle w:val="BodyText"/>
      </w:pPr>
      <w:r>
        <w:t xml:space="preserve">Yirga, W. S., Kassa, N. A., Gebremichael, M. W., &amp; Aro, A. R. (2012). Female genital mutilation: Prevalence, perceptions and effect on women’s health in Kersa district of Ethiopia.</w:t>
      </w:r>
      <w:r>
        <w:t xml:space="preserve"> </w:t>
      </w:r>
      <w:r>
        <w:rPr>
          <w:iCs/>
          <w:i/>
        </w:rPr>
        <w:t xml:space="preserve">International Journal of Women’s Health</w:t>
      </w:r>
      <w:r>
        <w:t xml:space="preserve">, [EKSİK: cilt], 45–54.</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Somali’de Yaşayan Kadın ve Erkeklerde Kadın Sünnetine Yönelik Sağlığın Geliştirilmesi: Garowe Yerinden Edilmiş Kişiler Kamplarında Bir Müdahale Çalışması</dc:title>
  <dc:creator/>
  <cp:keywords/>
  <dcterms:created xsi:type="dcterms:W3CDTF">2026-10-23T12:16:48Z</dcterms:created>
  <dcterms:modified xsi:type="dcterms:W3CDTF">2026-10-23T12:16:48Z</dcterms:modified>
</cp:coreProperties>
</file>

<file path=docProps/custom.xml><?xml version="1.0" encoding="utf-8"?>
<Properties xmlns="http://schemas.openxmlformats.org/officeDocument/2006/custom-properties" xmlns:vt="http://schemas.openxmlformats.org/officeDocument/2006/docPropsVTypes"/>
</file>