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065025" w14:paraId="391A6BD8" wp14:textId="429C885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40065025" w:rsidR="32F85D69">
        <w:rPr>
          <w:rFonts w:ascii="Calibri" w:hAnsi="Calibri" w:eastAsia="Calibri" w:cs="Calibri"/>
          <w:b w:val="1"/>
          <w:bCs w:val="1"/>
          <w:i w:val="0"/>
          <w:iCs w:val="0"/>
          <w:caps w:val="0"/>
          <w:smallCaps w:val="0"/>
          <w:noProof w:val="0"/>
          <w:color w:val="000000" w:themeColor="text1" w:themeTint="FF" w:themeShade="FF"/>
          <w:sz w:val="28"/>
          <w:szCs w:val="28"/>
          <w:lang w:val="en-US"/>
        </w:rPr>
        <w:t>The concept of “regime support”:</w:t>
      </w:r>
    </w:p>
    <w:p xmlns:wp14="http://schemas.microsoft.com/office/word/2010/wordml" w:rsidP="40065025" w14:paraId="318ACBA5" wp14:textId="7C6236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0065025" w:rsidR="32F85D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Easton (1975) on “political support”: </w:t>
      </w:r>
      <w:hyperlink r:id="R2d572c62328f4ffc">
        <w:r w:rsidRPr="40065025" w:rsidR="32F85D69">
          <w:rPr>
            <w:rStyle w:val="Hyperlink"/>
            <w:rFonts w:ascii="Calibri" w:hAnsi="Calibri" w:eastAsia="Calibri" w:cs="Calibri"/>
            <w:b w:val="0"/>
            <w:bCs w:val="0"/>
            <w:i w:val="0"/>
            <w:iCs w:val="0"/>
            <w:caps w:val="0"/>
            <w:smallCaps w:val="0"/>
            <w:strike w:val="0"/>
            <w:dstrike w:val="0"/>
            <w:noProof w:val="0"/>
            <w:sz w:val="22"/>
            <w:szCs w:val="22"/>
            <w:lang w:val="en-US"/>
          </w:rPr>
          <w:t>A Re-Assessment of the Concept of Political Support (uio.no)</w:t>
        </w:r>
      </w:hyperlink>
    </w:p>
    <w:p xmlns:wp14="http://schemas.microsoft.com/office/word/2010/wordml" w:rsidP="40065025" w14:paraId="5241B2BA" wp14:textId="56242B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0065025" w:rsidR="32F85D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(Also Lindberg and Scheingold (1970) on utilitarian (cost-benefit concerned) and affective (emotional responses and vague ideals) support). </w:t>
      </w:r>
    </w:p>
    <w:p xmlns:wp14="http://schemas.microsoft.com/office/word/2010/wordml" w:rsidP="40065025" w14:paraId="0905A823" wp14:textId="6005C39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0065025" w:rsidR="32F85D69">
        <w:rPr>
          <w:rFonts w:ascii="Calibri" w:hAnsi="Calibri" w:eastAsia="Calibri" w:cs="Calibri"/>
          <w:b w:val="0"/>
          <w:bCs w:val="0"/>
          <w:i w:val="0"/>
          <w:iCs w:val="0"/>
          <w:caps w:val="0"/>
          <w:smallCaps w:val="0"/>
          <w:noProof w:val="0"/>
          <w:color w:val="000000" w:themeColor="text1" w:themeTint="FF" w:themeShade="FF"/>
          <w:sz w:val="22"/>
          <w:szCs w:val="22"/>
          <w:lang w:val="en-US"/>
        </w:rPr>
        <w:t>Example for use on EU support (</w:t>
      </w:r>
      <w:hyperlink r:id="Rbbc86de2f83d490b">
        <w:r w:rsidRPr="40065025" w:rsidR="32F85D69">
          <w:rPr>
            <w:rStyle w:val="Hyperlink"/>
            <w:rFonts w:ascii="Calibri" w:hAnsi="Calibri" w:eastAsia="Calibri" w:cs="Calibri"/>
            <w:b w:val="0"/>
            <w:bCs w:val="0"/>
            <w:i w:val="0"/>
            <w:iCs w:val="0"/>
            <w:caps w:val="0"/>
            <w:smallCaps w:val="0"/>
            <w:strike w:val="0"/>
            <w:dstrike w:val="0"/>
            <w:noProof w:val="0"/>
            <w:sz w:val="22"/>
            <w:szCs w:val="22"/>
            <w:lang w:val="en-US"/>
          </w:rPr>
          <w:t>Mapping EU attitudes: Conceptual and empirical dimensions of Euroscepticism and EU support (uio.no)</w:t>
        </w:r>
      </w:hyperlink>
      <w:r w:rsidRPr="40065025" w:rsidR="32F85D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“Affective/diffuse attitudes include emotional responses, identity-related factors and perceived threats to the nation. The perceived benefits of EU membership (including in terms of protecting the environment or securing peace), evaluations of the functioning of the Union and matters of strengthening European integration are considered as utilitarian, specific modes of support.”</w:t>
      </w:r>
    </w:p>
    <w:p xmlns:wp14="http://schemas.microsoft.com/office/word/2010/wordml" w:rsidP="40065025" w14:paraId="17843314" wp14:textId="5DF219D7">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0065025" w:rsidR="32F85D69">
        <w:rPr>
          <w:rFonts w:ascii="Calibri" w:hAnsi="Calibri" w:eastAsia="Calibri" w:cs="Calibri"/>
          <w:b w:val="0"/>
          <w:bCs w:val="0"/>
          <w:i w:val="0"/>
          <w:iCs w:val="0"/>
          <w:caps w:val="0"/>
          <w:smallCaps w:val="0"/>
          <w:noProof w:val="0"/>
          <w:color w:val="000000" w:themeColor="text1" w:themeTint="FF" w:themeShade="FF"/>
          <w:sz w:val="22"/>
          <w:szCs w:val="22"/>
          <w:lang w:val="en-US"/>
        </w:rPr>
        <w:t>Easton (1975) differentiates two modes of support (specific and diffuse) on one dimension and three different objects of political support (the community, the regime and the authorities) on the second dimension.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40065025" w:rsidTr="40065025" w14:paraId="54F0B482">
        <w:trPr>
          <w:trHeight w:val="300"/>
        </w:trPr>
        <w:tc>
          <w:tcPr>
            <w:tcW w:w="4500" w:type="dxa"/>
            <w:tcMar>
              <w:left w:w="105" w:type="dxa"/>
              <w:right w:w="105" w:type="dxa"/>
            </w:tcMar>
            <w:vAlign w:val="top"/>
          </w:tcPr>
          <w:p w:rsidR="40065025" w:rsidP="40065025" w:rsidRDefault="40065025" w14:paraId="699F26E6" w14:textId="629442E5">
            <w:pPr>
              <w:spacing w:line="259" w:lineRule="auto"/>
              <w:rPr>
                <w:rFonts w:ascii="Calibri" w:hAnsi="Calibri" w:eastAsia="Calibri" w:cs="Calibri"/>
                <w:b w:val="0"/>
                <w:bCs w:val="0"/>
                <w:i w:val="0"/>
                <w:iCs w:val="0"/>
                <w:sz w:val="28"/>
                <w:szCs w:val="28"/>
              </w:rPr>
            </w:pPr>
            <w:r w:rsidRPr="40065025" w:rsidR="40065025">
              <w:rPr>
                <w:rFonts w:ascii="Calibri" w:hAnsi="Calibri" w:eastAsia="Calibri" w:cs="Calibri"/>
                <w:b w:val="0"/>
                <w:bCs w:val="0"/>
                <w:i w:val="0"/>
                <w:iCs w:val="0"/>
                <w:sz w:val="28"/>
                <w:szCs w:val="28"/>
                <w:lang w:val="en-US"/>
              </w:rPr>
              <w:t xml:space="preserve">Diffuse support </w:t>
            </w:r>
          </w:p>
        </w:tc>
        <w:tc>
          <w:tcPr>
            <w:tcW w:w="4500" w:type="dxa"/>
            <w:tcMar>
              <w:left w:w="105" w:type="dxa"/>
              <w:right w:w="105" w:type="dxa"/>
            </w:tcMar>
            <w:vAlign w:val="top"/>
          </w:tcPr>
          <w:p w:rsidR="40065025" w:rsidP="40065025" w:rsidRDefault="40065025" w14:paraId="10947E2D" w14:textId="3F0B0162">
            <w:pPr>
              <w:spacing w:before="0" w:beforeAutospacing="off" w:after="0" w:afterAutospacing="off" w:line="259" w:lineRule="auto"/>
              <w:ind w:left="0" w:right="0"/>
              <w:jc w:val="left"/>
              <w:rPr>
                <w:rFonts w:ascii="Calibri" w:hAnsi="Calibri" w:eastAsia="Calibri" w:cs="Calibri"/>
                <w:b w:val="0"/>
                <w:bCs w:val="0"/>
                <w:i w:val="0"/>
                <w:iCs w:val="0"/>
                <w:sz w:val="28"/>
                <w:szCs w:val="28"/>
              </w:rPr>
            </w:pPr>
            <w:r w:rsidRPr="40065025" w:rsidR="40065025">
              <w:rPr>
                <w:rFonts w:ascii="Calibri" w:hAnsi="Calibri" w:eastAsia="Calibri" w:cs="Calibri"/>
                <w:b w:val="0"/>
                <w:bCs w:val="0"/>
                <w:i w:val="0"/>
                <w:iCs w:val="0"/>
                <w:sz w:val="28"/>
                <w:szCs w:val="28"/>
                <w:highlight w:val="yellow"/>
                <w:lang w:val="en-US"/>
              </w:rPr>
              <w:t>Specific support</w:t>
            </w:r>
          </w:p>
        </w:tc>
      </w:tr>
      <w:tr w:rsidR="40065025" w:rsidTr="40065025" w14:paraId="586B9E37">
        <w:trPr>
          <w:trHeight w:val="300"/>
        </w:trPr>
        <w:tc>
          <w:tcPr>
            <w:tcW w:w="4500" w:type="dxa"/>
            <w:tcMar>
              <w:left w:w="105" w:type="dxa"/>
              <w:right w:w="105" w:type="dxa"/>
            </w:tcMar>
            <w:vAlign w:val="top"/>
          </w:tcPr>
          <w:p w:rsidR="40065025" w:rsidP="40065025" w:rsidRDefault="40065025" w14:paraId="6DFE01A0" w14:textId="732D5283">
            <w:pPr>
              <w:spacing w:line="259" w:lineRule="auto"/>
              <w:rPr>
                <w:rFonts w:ascii="Open Sans" w:hAnsi="Open Sans" w:eastAsia="Open Sans" w:cs="Open Sans"/>
                <w:b w:val="0"/>
                <w:bCs w:val="0"/>
                <w:i w:val="0"/>
                <w:iCs w:val="0"/>
                <w:color w:val="333333"/>
                <w:sz w:val="20"/>
                <w:szCs w:val="20"/>
              </w:rPr>
            </w:pPr>
            <w:r w:rsidRPr="40065025" w:rsidR="40065025">
              <w:rPr>
                <w:rFonts w:ascii="Open Sans" w:hAnsi="Open Sans" w:eastAsia="Open Sans" w:cs="Open Sans"/>
                <w:b w:val="0"/>
                <w:bCs w:val="0"/>
                <w:i w:val="0"/>
                <w:iCs w:val="0"/>
                <w:color w:val="333333"/>
                <w:sz w:val="20"/>
                <w:szCs w:val="20"/>
                <w:lang w:val="en-US"/>
              </w:rPr>
              <w:t xml:space="preserve">Directed at fundamental aspects of the political system such as constitutional order and political institutions. </w:t>
            </w:r>
          </w:p>
          <w:p w:rsidR="40065025" w:rsidP="40065025" w:rsidRDefault="40065025" w14:paraId="2E2F87BB" w14:textId="6D7849E8">
            <w:pPr>
              <w:spacing w:line="259" w:lineRule="auto"/>
              <w:rPr>
                <w:rFonts w:ascii="Open Sans" w:hAnsi="Open Sans" w:eastAsia="Open Sans" w:cs="Open Sans"/>
                <w:b w:val="0"/>
                <w:bCs w:val="0"/>
                <w:i w:val="0"/>
                <w:iCs w:val="0"/>
                <w:color w:val="333333"/>
                <w:sz w:val="20"/>
                <w:szCs w:val="20"/>
              </w:rPr>
            </w:pPr>
          </w:p>
          <w:p w:rsidR="40065025" w:rsidP="40065025" w:rsidRDefault="40065025" w14:paraId="02404541" w14:textId="512147F9">
            <w:pPr>
              <w:spacing w:line="259" w:lineRule="auto"/>
              <w:rPr>
                <w:rFonts w:ascii="Open Sans" w:hAnsi="Open Sans" w:eastAsia="Open Sans" w:cs="Open Sans"/>
                <w:b w:val="0"/>
                <w:bCs w:val="0"/>
                <w:i w:val="0"/>
                <w:iCs w:val="0"/>
                <w:color w:val="333333"/>
                <w:sz w:val="20"/>
                <w:szCs w:val="20"/>
              </w:rPr>
            </w:pPr>
            <w:r w:rsidRPr="40065025" w:rsidR="40065025">
              <w:rPr>
                <w:rFonts w:ascii="Open Sans" w:hAnsi="Open Sans" w:eastAsia="Open Sans" w:cs="Open Sans"/>
                <w:b w:val="0"/>
                <w:bCs w:val="0"/>
                <w:i w:val="0"/>
                <w:iCs w:val="0"/>
                <w:color w:val="333333"/>
                <w:sz w:val="20"/>
                <w:szCs w:val="20"/>
                <w:lang w:val="en-US"/>
              </w:rPr>
              <w:t xml:space="preserve">Tends to be more durable and stable because it derives from deep-seated political values and attachments, typically cultivated during early political socialization. </w:t>
            </w:r>
          </w:p>
          <w:p w:rsidR="40065025" w:rsidP="40065025" w:rsidRDefault="40065025" w14:paraId="03C2734A" w14:textId="0F4D8B85">
            <w:pPr>
              <w:spacing w:line="259" w:lineRule="auto"/>
              <w:rPr>
                <w:rFonts w:ascii="Open Sans" w:hAnsi="Open Sans" w:eastAsia="Open Sans" w:cs="Open Sans"/>
                <w:b w:val="0"/>
                <w:bCs w:val="0"/>
                <w:i w:val="0"/>
                <w:iCs w:val="0"/>
                <w:color w:val="333333"/>
                <w:sz w:val="20"/>
                <w:szCs w:val="20"/>
              </w:rPr>
            </w:pPr>
          </w:p>
          <w:p w:rsidR="40065025" w:rsidP="40065025" w:rsidRDefault="40065025" w14:paraId="161B910E" w14:textId="36C141AE">
            <w:pPr>
              <w:spacing w:line="259" w:lineRule="auto"/>
              <w:rPr>
                <w:rFonts w:ascii="Open Sans" w:hAnsi="Open Sans" w:eastAsia="Open Sans" w:cs="Open Sans"/>
                <w:b w:val="0"/>
                <w:bCs w:val="0"/>
                <w:i w:val="0"/>
                <w:iCs w:val="0"/>
                <w:color w:val="333333"/>
                <w:sz w:val="20"/>
                <w:szCs w:val="20"/>
              </w:rPr>
            </w:pPr>
            <w:r w:rsidRPr="40065025" w:rsidR="40065025">
              <w:rPr>
                <w:rFonts w:ascii="Open Sans" w:hAnsi="Open Sans" w:eastAsia="Open Sans" w:cs="Open Sans"/>
                <w:b w:val="0"/>
                <w:bCs w:val="0"/>
                <w:i w:val="0"/>
                <w:iCs w:val="0"/>
                <w:color w:val="333333"/>
                <w:sz w:val="20"/>
                <w:szCs w:val="20"/>
                <w:lang w:val="en-US"/>
              </w:rPr>
              <w:t xml:space="preserve">Includes emotional responses, identity-related factors and perceived threats to the nation. </w:t>
            </w:r>
          </w:p>
        </w:tc>
        <w:tc>
          <w:tcPr>
            <w:tcW w:w="4500" w:type="dxa"/>
            <w:tcMar>
              <w:left w:w="105" w:type="dxa"/>
              <w:right w:w="105" w:type="dxa"/>
            </w:tcMar>
            <w:vAlign w:val="top"/>
          </w:tcPr>
          <w:p w:rsidR="40065025" w:rsidP="40065025" w:rsidRDefault="40065025" w14:paraId="2F2BE691" w14:textId="502468CC">
            <w:pPr>
              <w:spacing w:line="259" w:lineRule="auto"/>
              <w:rPr>
                <w:rFonts w:ascii="Open Sans" w:hAnsi="Open Sans" w:eastAsia="Open Sans" w:cs="Open Sans"/>
                <w:b w:val="0"/>
                <w:bCs w:val="0"/>
                <w:i w:val="0"/>
                <w:iCs w:val="0"/>
                <w:color w:val="333333"/>
                <w:sz w:val="20"/>
                <w:szCs w:val="20"/>
              </w:rPr>
            </w:pPr>
            <w:r w:rsidRPr="40065025" w:rsidR="40065025">
              <w:rPr>
                <w:rFonts w:ascii="Open Sans" w:hAnsi="Open Sans" w:eastAsia="Open Sans" w:cs="Open Sans"/>
                <w:b w:val="0"/>
                <w:bCs w:val="0"/>
                <w:i w:val="0"/>
                <w:iCs w:val="0"/>
                <w:color w:val="333333"/>
                <w:sz w:val="20"/>
                <w:szCs w:val="20"/>
                <w:lang w:val="en-US"/>
              </w:rPr>
              <w:t>Specific support is directed at the officeholders themselves (political authorities) and is closely related to questions of performance and outputs.</w:t>
            </w:r>
          </w:p>
          <w:p w:rsidR="40065025" w:rsidP="40065025" w:rsidRDefault="40065025" w14:paraId="1F30446A" w14:textId="0B07631F">
            <w:pPr>
              <w:spacing w:line="259" w:lineRule="auto"/>
              <w:rPr>
                <w:rFonts w:ascii="Open Sans" w:hAnsi="Open Sans" w:eastAsia="Open Sans" w:cs="Open Sans"/>
                <w:b w:val="0"/>
                <w:bCs w:val="0"/>
                <w:i w:val="0"/>
                <w:iCs w:val="0"/>
                <w:color w:val="333333"/>
                <w:sz w:val="20"/>
                <w:szCs w:val="20"/>
              </w:rPr>
            </w:pPr>
          </w:p>
          <w:p w:rsidR="40065025" w:rsidP="40065025" w:rsidRDefault="40065025" w14:paraId="19070552" w14:textId="13A2AA82">
            <w:pPr>
              <w:spacing w:line="259" w:lineRule="auto"/>
              <w:rPr>
                <w:rFonts w:ascii="Open Sans" w:hAnsi="Open Sans" w:eastAsia="Open Sans" w:cs="Open Sans"/>
                <w:b w:val="0"/>
                <w:bCs w:val="0"/>
                <w:i w:val="0"/>
                <w:iCs w:val="0"/>
                <w:color w:val="333333"/>
                <w:sz w:val="20"/>
                <w:szCs w:val="20"/>
              </w:rPr>
            </w:pPr>
            <w:r w:rsidRPr="40065025" w:rsidR="40065025">
              <w:rPr>
                <w:rFonts w:ascii="Open Sans" w:hAnsi="Open Sans" w:eastAsia="Open Sans" w:cs="Open Sans"/>
                <w:b w:val="0"/>
                <w:bCs w:val="0"/>
                <w:i w:val="0"/>
                <w:iCs w:val="0"/>
                <w:color w:val="333333"/>
                <w:sz w:val="20"/>
                <w:szCs w:val="20"/>
                <w:lang w:val="en-US"/>
              </w:rPr>
              <w:t>Tends to be more in synch with the political ebb and flow and prone to short-term fluctuations as it depends on perceptions and evaluations of performance and policy outputs.</w:t>
            </w:r>
          </w:p>
        </w:tc>
      </w:tr>
    </w:tbl>
    <w:p xmlns:wp14="http://schemas.microsoft.com/office/word/2010/wordml" w:rsidP="40065025" w14:paraId="0674A0CC" wp14:textId="7B2F2D8D">
      <w:pPr>
        <w:spacing w:after="160" w:line="259" w:lineRule="auto"/>
        <w:rPr>
          <w:rFonts w:ascii="Open Sans" w:hAnsi="Open Sans" w:eastAsia="Open Sans" w:cs="Open Sans"/>
          <w:b w:val="0"/>
          <w:bCs w:val="0"/>
          <w:i w:val="0"/>
          <w:iCs w:val="0"/>
          <w:caps w:val="0"/>
          <w:smallCaps w:val="0"/>
          <w:noProof w:val="0"/>
          <w:color w:val="333333"/>
          <w:sz w:val="16"/>
          <w:szCs w:val="16"/>
          <w:lang w:val="en-US"/>
        </w:rPr>
      </w:pPr>
      <w:hyperlink r:id="R515a21caea89481c">
        <w:r w:rsidRPr="40065025" w:rsidR="32F85D69">
          <w:rPr>
            <w:rStyle w:val="Hyperlink"/>
            <w:rFonts w:ascii="Open Sans" w:hAnsi="Open Sans" w:eastAsia="Open Sans" w:cs="Open Sans"/>
            <w:b w:val="0"/>
            <w:bCs w:val="0"/>
            <w:i w:val="0"/>
            <w:iCs w:val="0"/>
            <w:caps w:val="0"/>
            <w:smallCaps w:val="0"/>
            <w:strike w:val="0"/>
            <w:dstrike w:val="0"/>
            <w:noProof w:val="0"/>
            <w:sz w:val="20"/>
            <w:szCs w:val="20"/>
            <w:lang w:val="en-US"/>
          </w:rPr>
          <w:t>Full article: Support for Democracy in Times of Crisis: Diffuse and Specific Regime Support in Portugal and Greece (uio.no)</w:t>
        </w:r>
      </w:hyperlink>
    </w:p>
    <w:p xmlns:wp14="http://schemas.microsoft.com/office/word/2010/wordml" w:rsidP="40065025" w14:paraId="3CE27B24" wp14:textId="7EDB4BB0">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40065025" w14:paraId="3389B7B1" wp14:textId="09F83E1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0065025" w:rsidR="32F85D69">
        <w:rPr>
          <w:rFonts w:ascii="Calibri" w:hAnsi="Calibri" w:eastAsia="Calibri" w:cs="Calibri"/>
          <w:b w:val="0"/>
          <w:bCs w:val="0"/>
          <w:i w:val="0"/>
          <w:iCs w:val="0"/>
          <w:caps w:val="0"/>
          <w:smallCaps w:val="0"/>
          <w:noProof w:val="0"/>
          <w:color w:val="000000" w:themeColor="text1" w:themeTint="FF" w:themeShade="FF"/>
          <w:sz w:val="20"/>
          <w:szCs w:val="20"/>
          <w:lang w:val="en-US"/>
        </w:rPr>
        <w:t>Within the “specific support” concept we have the following dimensions: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200"/>
        <w:gridCol w:w="3645"/>
        <w:gridCol w:w="4170"/>
      </w:tblGrid>
      <w:tr w:rsidR="40065025" w:rsidTr="40065025" w14:paraId="7A47F792">
        <w:trPr>
          <w:trHeight w:val="300"/>
        </w:trPr>
        <w:tc>
          <w:tcPr>
            <w:tcW w:w="1200" w:type="dxa"/>
            <w:tcMar>
              <w:left w:w="105" w:type="dxa"/>
              <w:right w:w="105" w:type="dxa"/>
            </w:tcMar>
            <w:vAlign w:val="top"/>
          </w:tcPr>
          <w:p w:rsidR="40065025" w:rsidP="40065025" w:rsidRDefault="40065025" w14:paraId="10DE867A" w14:textId="4E4A28B7">
            <w:pPr>
              <w:spacing w:line="259" w:lineRule="auto"/>
              <w:rPr>
                <w:rFonts w:ascii="Calibri" w:hAnsi="Calibri" w:eastAsia="Calibri" w:cs="Calibri"/>
                <w:b w:val="0"/>
                <w:bCs w:val="0"/>
                <w:i w:val="0"/>
                <w:iCs w:val="0"/>
                <w:sz w:val="20"/>
                <w:szCs w:val="20"/>
              </w:rPr>
            </w:pPr>
          </w:p>
        </w:tc>
        <w:tc>
          <w:tcPr>
            <w:tcW w:w="3645" w:type="dxa"/>
            <w:tcMar>
              <w:left w:w="105" w:type="dxa"/>
              <w:right w:w="105" w:type="dxa"/>
            </w:tcMar>
            <w:vAlign w:val="top"/>
          </w:tcPr>
          <w:p w:rsidR="40065025" w:rsidP="40065025" w:rsidRDefault="40065025" w14:paraId="0E1BBC21" w14:textId="37B591D4">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1"/>
                <w:bCs w:val="1"/>
                <w:i w:val="0"/>
                <w:iCs w:val="0"/>
                <w:sz w:val="20"/>
                <w:szCs w:val="20"/>
                <w:lang w:val="en-US"/>
              </w:rPr>
              <w:t>Support</w:t>
            </w:r>
          </w:p>
        </w:tc>
        <w:tc>
          <w:tcPr>
            <w:tcW w:w="4170" w:type="dxa"/>
            <w:tcMar>
              <w:left w:w="105" w:type="dxa"/>
              <w:right w:w="105" w:type="dxa"/>
            </w:tcMar>
            <w:vAlign w:val="top"/>
          </w:tcPr>
          <w:p w:rsidR="40065025" w:rsidP="40065025" w:rsidRDefault="40065025" w14:paraId="2AF1EFB7" w14:textId="334EE26C">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1"/>
                <w:bCs w:val="1"/>
                <w:i w:val="0"/>
                <w:iCs w:val="0"/>
                <w:sz w:val="20"/>
                <w:szCs w:val="20"/>
                <w:lang w:val="en-US"/>
              </w:rPr>
              <w:t>Trust</w:t>
            </w:r>
          </w:p>
        </w:tc>
      </w:tr>
      <w:tr w:rsidR="40065025" w:rsidTr="40065025" w14:paraId="0EC6F2E7">
        <w:trPr>
          <w:trHeight w:val="300"/>
        </w:trPr>
        <w:tc>
          <w:tcPr>
            <w:tcW w:w="1200" w:type="dxa"/>
            <w:tcMar>
              <w:left w:w="105" w:type="dxa"/>
              <w:right w:w="105" w:type="dxa"/>
            </w:tcMar>
            <w:vAlign w:val="top"/>
          </w:tcPr>
          <w:p w:rsidR="40065025" w:rsidP="40065025" w:rsidRDefault="40065025" w14:paraId="063C928A" w14:textId="3DD30F9F">
            <w:pPr>
              <w:spacing w:line="259" w:lineRule="auto"/>
              <w:rPr>
                <w:rFonts w:ascii="Calibri" w:hAnsi="Calibri" w:eastAsia="Calibri" w:cs="Calibri"/>
                <w:b w:val="0"/>
                <w:bCs w:val="0"/>
                <w:i w:val="0"/>
                <w:iCs w:val="0"/>
                <w:sz w:val="20"/>
                <w:szCs w:val="20"/>
              </w:rPr>
            </w:pPr>
          </w:p>
          <w:p w:rsidR="40065025" w:rsidP="40065025" w:rsidRDefault="40065025" w14:paraId="3CA9C84F" w14:textId="497C43D8">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z w:val="20"/>
                <w:szCs w:val="20"/>
                <w:lang w:val="en-US"/>
              </w:rPr>
              <w:t>Rational</w:t>
            </w:r>
          </w:p>
        </w:tc>
        <w:tc>
          <w:tcPr>
            <w:tcW w:w="3645" w:type="dxa"/>
            <w:tcMar>
              <w:left w:w="105" w:type="dxa"/>
              <w:right w:w="105" w:type="dxa"/>
            </w:tcMar>
            <w:vAlign w:val="top"/>
          </w:tcPr>
          <w:p w:rsidR="40065025" w:rsidP="40065025" w:rsidRDefault="40065025" w14:paraId="7CB52DEA" w14:textId="64B68107">
            <w:pPr>
              <w:spacing w:line="259" w:lineRule="auto"/>
              <w:rPr>
                <w:rFonts w:ascii="Calibri" w:hAnsi="Calibri" w:eastAsia="Calibri" w:cs="Calibri"/>
                <w:b w:val="0"/>
                <w:bCs w:val="0"/>
                <w:i w:val="0"/>
                <w:iCs w:val="0"/>
                <w:sz w:val="20"/>
                <w:szCs w:val="20"/>
              </w:rPr>
            </w:pPr>
          </w:p>
          <w:p w:rsidR="40065025" w:rsidP="40065025" w:rsidRDefault="40065025" w14:paraId="5DAC9434" w14:textId="17C34EB8">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z w:val="20"/>
                <w:szCs w:val="20"/>
                <w:lang w:val="en-US"/>
              </w:rPr>
              <w:t>Oppose –  Neither oppose nor support – Support</w:t>
            </w:r>
          </w:p>
          <w:p w:rsidR="40065025" w:rsidP="40065025" w:rsidRDefault="40065025" w14:paraId="78306290" w14:textId="247848FC">
            <w:pPr>
              <w:spacing w:line="259" w:lineRule="auto"/>
              <w:rPr>
                <w:rFonts w:ascii="Calibri" w:hAnsi="Calibri" w:eastAsia="Calibri" w:cs="Calibri"/>
                <w:b w:val="0"/>
                <w:bCs w:val="0"/>
                <w:i w:val="0"/>
                <w:iCs w:val="0"/>
                <w:sz w:val="20"/>
                <w:szCs w:val="20"/>
              </w:rPr>
            </w:pPr>
          </w:p>
          <w:p w:rsidR="40065025" w:rsidP="40065025" w:rsidRDefault="40065025" w14:paraId="457AC2F5" w14:textId="321CFFEC">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trike w:val="1"/>
                <w:sz w:val="20"/>
                <w:szCs w:val="20"/>
                <w:u w:val="none"/>
                <w:lang w:val="en-US"/>
              </w:rPr>
              <w:t>Critique – Neither critique nor praise – Praise</w:t>
            </w:r>
          </w:p>
          <w:p w:rsidR="40065025" w:rsidP="40065025" w:rsidRDefault="40065025" w14:paraId="75DACA15" w14:textId="11EEDC4D">
            <w:pPr>
              <w:spacing w:line="259" w:lineRule="auto"/>
              <w:rPr>
                <w:rFonts w:ascii="Calibri" w:hAnsi="Calibri" w:eastAsia="Calibri" w:cs="Calibri"/>
                <w:b w:val="0"/>
                <w:bCs w:val="0"/>
                <w:i w:val="0"/>
                <w:iCs w:val="0"/>
                <w:sz w:val="20"/>
                <w:szCs w:val="20"/>
              </w:rPr>
            </w:pPr>
          </w:p>
          <w:p w:rsidR="40065025" w:rsidP="40065025" w:rsidRDefault="40065025" w14:paraId="68A098CD" w14:textId="6A11D0D3">
            <w:pPr>
              <w:spacing w:line="259" w:lineRule="auto"/>
              <w:rPr>
                <w:rFonts w:ascii="Calibri" w:hAnsi="Calibri" w:eastAsia="Calibri" w:cs="Calibri"/>
                <w:b w:val="0"/>
                <w:bCs w:val="0"/>
                <w:i w:val="0"/>
                <w:iCs w:val="0"/>
                <w:sz w:val="20"/>
                <w:szCs w:val="20"/>
              </w:rPr>
            </w:pPr>
          </w:p>
        </w:tc>
        <w:tc>
          <w:tcPr>
            <w:tcW w:w="4170" w:type="dxa"/>
            <w:tcMar>
              <w:left w:w="105" w:type="dxa"/>
              <w:right w:w="105" w:type="dxa"/>
            </w:tcMar>
            <w:vAlign w:val="top"/>
          </w:tcPr>
          <w:p w:rsidR="40065025" w:rsidP="40065025" w:rsidRDefault="40065025" w14:paraId="249D1BBE" w14:textId="48477223">
            <w:pPr>
              <w:spacing w:line="259" w:lineRule="auto"/>
              <w:rPr>
                <w:rFonts w:ascii="Calibri" w:hAnsi="Calibri" w:eastAsia="Calibri" w:cs="Calibri"/>
                <w:b w:val="0"/>
                <w:bCs w:val="0"/>
                <w:i w:val="0"/>
                <w:iCs w:val="0"/>
                <w:sz w:val="20"/>
                <w:szCs w:val="20"/>
              </w:rPr>
            </w:pPr>
          </w:p>
          <w:p w:rsidR="40065025" w:rsidP="40065025" w:rsidRDefault="40065025" w14:paraId="13680B29" w14:textId="77AFD12C">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z w:val="20"/>
                <w:szCs w:val="20"/>
                <w:lang w:val="en-US"/>
              </w:rPr>
              <w:t>Distrust – Neither distrust nor trust– Trust</w:t>
            </w:r>
          </w:p>
          <w:p w:rsidR="40065025" w:rsidP="40065025" w:rsidRDefault="40065025" w14:paraId="2E4741AD" w14:textId="541853D2">
            <w:pPr>
              <w:spacing w:line="259" w:lineRule="auto"/>
              <w:rPr>
                <w:rFonts w:ascii="Calibri" w:hAnsi="Calibri" w:eastAsia="Calibri" w:cs="Calibri"/>
                <w:b w:val="0"/>
                <w:bCs w:val="0"/>
                <w:i w:val="0"/>
                <w:iCs w:val="0"/>
                <w:sz w:val="20"/>
                <w:szCs w:val="20"/>
              </w:rPr>
            </w:pPr>
          </w:p>
          <w:p w:rsidR="40065025" w:rsidP="40065025" w:rsidRDefault="40065025" w14:paraId="6744C436" w14:textId="0E94C0FE">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trike w:val="1"/>
                <w:sz w:val="20"/>
                <w:szCs w:val="20"/>
                <w:u w:val="none"/>
                <w:lang w:val="en-US"/>
              </w:rPr>
              <w:t>Skeptic – Neither skeptic nor approve – Approve</w:t>
            </w:r>
          </w:p>
          <w:p w:rsidR="40065025" w:rsidP="40065025" w:rsidRDefault="40065025" w14:paraId="234F72C4" w14:textId="1403C06D">
            <w:pPr>
              <w:spacing w:line="259" w:lineRule="auto"/>
              <w:rPr>
                <w:rFonts w:ascii="Calibri" w:hAnsi="Calibri" w:eastAsia="Calibri" w:cs="Calibri"/>
                <w:b w:val="0"/>
                <w:bCs w:val="0"/>
                <w:i w:val="0"/>
                <w:iCs w:val="0"/>
                <w:sz w:val="20"/>
                <w:szCs w:val="20"/>
              </w:rPr>
            </w:pPr>
          </w:p>
          <w:p w:rsidR="40065025" w:rsidP="40065025" w:rsidRDefault="40065025" w14:paraId="49A4E0A6" w14:textId="067B214F">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z w:val="20"/>
                <w:szCs w:val="20"/>
                <w:lang w:val="en-US"/>
              </w:rPr>
              <w:t>Incompetent –  Neither incompetent nor competent – Competent</w:t>
            </w:r>
          </w:p>
          <w:p w:rsidR="40065025" w:rsidP="40065025" w:rsidRDefault="40065025" w14:paraId="1F388E61" w14:textId="29AD3CB9">
            <w:pPr>
              <w:spacing w:line="259" w:lineRule="auto"/>
              <w:rPr>
                <w:rFonts w:ascii="Calibri" w:hAnsi="Calibri" w:eastAsia="Calibri" w:cs="Calibri"/>
                <w:b w:val="0"/>
                <w:bCs w:val="0"/>
                <w:i w:val="0"/>
                <w:iCs w:val="0"/>
                <w:sz w:val="20"/>
                <w:szCs w:val="20"/>
              </w:rPr>
            </w:pPr>
          </w:p>
        </w:tc>
      </w:tr>
      <w:tr w:rsidR="40065025" w:rsidTr="40065025" w14:paraId="683D7C39">
        <w:trPr>
          <w:trHeight w:val="300"/>
        </w:trPr>
        <w:tc>
          <w:tcPr>
            <w:tcW w:w="1200" w:type="dxa"/>
            <w:tcMar>
              <w:left w:w="105" w:type="dxa"/>
              <w:right w:w="105" w:type="dxa"/>
            </w:tcMar>
            <w:vAlign w:val="top"/>
          </w:tcPr>
          <w:p w:rsidR="40065025" w:rsidP="40065025" w:rsidRDefault="40065025" w14:paraId="1A945A3D" w14:textId="625FE959">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z w:val="20"/>
                <w:szCs w:val="20"/>
                <w:lang w:val="en-US"/>
              </w:rPr>
              <w:t>Emotional</w:t>
            </w:r>
          </w:p>
        </w:tc>
        <w:tc>
          <w:tcPr>
            <w:tcW w:w="3645" w:type="dxa"/>
            <w:tcMar>
              <w:left w:w="105" w:type="dxa"/>
              <w:right w:w="105" w:type="dxa"/>
            </w:tcMar>
            <w:vAlign w:val="top"/>
          </w:tcPr>
          <w:p w:rsidR="40065025" w:rsidP="40065025" w:rsidRDefault="40065025" w14:paraId="4D024A76" w14:textId="180556D4">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z w:val="20"/>
                <w:szCs w:val="20"/>
                <w:lang w:val="en-US"/>
              </w:rPr>
              <w:t>Negative – Neutral – Positive</w:t>
            </w:r>
          </w:p>
        </w:tc>
        <w:tc>
          <w:tcPr>
            <w:tcW w:w="4170" w:type="dxa"/>
            <w:tcMar>
              <w:left w:w="105" w:type="dxa"/>
              <w:right w:w="105" w:type="dxa"/>
            </w:tcMar>
            <w:vAlign w:val="top"/>
          </w:tcPr>
          <w:p w:rsidR="40065025" w:rsidP="40065025" w:rsidRDefault="40065025" w14:paraId="36740FAD" w14:textId="520DBA14">
            <w:pPr>
              <w:spacing w:line="259" w:lineRule="auto"/>
              <w:rPr>
                <w:rFonts w:ascii="Calibri" w:hAnsi="Calibri" w:eastAsia="Calibri" w:cs="Calibri"/>
                <w:b w:val="0"/>
                <w:bCs w:val="0"/>
                <w:i w:val="0"/>
                <w:iCs w:val="0"/>
                <w:sz w:val="20"/>
                <w:szCs w:val="20"/>
              </w:rPr>
            </w:pPr>
            <w:r w:rsidRPr="40065025" w:rsidR="40065025">
              <w:rPr>
                <w:rFonts w:ascii="Calibri" w:hAnsi="Calibri" w:eastAsia="Calibri" w:cs="Calibri"/>
                <w:b w:val="0"/>
                <w:bCs w:val="0"/>
                <w:i w:val="0"/>
                <w:iCs w:val="0"/>
                <w:sz w:val="20"/>
                <w:szCs w:val="20"/>
                <w:lang w:val="en-US"/>
              </w:rPr>
              <w:t>Hostile – Indifferent – Favorable</w:t>
            </w:r>
          </w:p>
        </w:tc>
      </w:tr>
    </w:tbl>
    <w:p xmlns:wp14="http://schemas.microsoft.com/office/word/2010/wordml" w:rsidP="40065025" w14:paraId="2C078E63" wp14:textId="5FDA71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7F394B"/>
    <w:rsid w:val="32F85D69"/>
    <w:rsid w:val="3C7F394B"/>
    <w:rsid w:val="4006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394B"/>
  <w15:chartTrackingRefBased/>
  <w15:docId w15:val="{47406AF2-20EE-49F7-9CCE-329837A4D8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jstor-org.ezproxy.uio.no/stable/pdf/193437.pdf?refreqid=excelsior%3Aa3250ef0200f994814127b15a9aedd42&amp;ab_segments=&amp;origin=&amp;initiator=&amp;acceptTC=1" TargetMode="External" Id="R2d572c62328f4ffc" /><Relationship Type="http://schemas.openxmlformats.org/officeDocument/2006/relationships/hyperlink" Target="https://journals-sagepub-com.ezproxy.uio.no/doi/pdf/10.1177/1465116510395411?casa_token=J9iwyAYJ-LwAAAAA%3ActnpixSpAIpf4DJnBjLyjyWABkYwkK5RonzuUyXoNB00HIg9rkNHZOzNR-Wp7BwgLugQszREcoTI&amp;" TargetMode="External" Id="Rbbc86de2f83d490b" /><Relationship Type="http://schemas.openxmlformats.org/officeDocument/2006/relationships/hyperlink" Target="https://www-tandfonline-com.ezproxy.uio.no/doi/full/10.1080/13608746.2014.975770?casa_token=RdXaOOPnMIMAAAAA%3A2GRnyJfzxLNQh99ayna8JsdZLxIUkHF6X5zGz4ICyQd6MW4gMMhejCtjoCMORx85D3UW0l5W3AurbtA" TargetMode="External" Id="R515a21caea8948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2023-05-19T16:46:16.6310282Z</dcterms:created>
  <dcterms:modified xsi:type="dcterms:W3CDTF">2023-05-19T16:46:30.9754747Z</dcterms:modified>
  <dc:creator>Solveig Bjørkholt</dc:creator>
  <lastModifiedBy>Solveig Bjørkholt</lastModifiedBy>
</coreProperties>
</file>