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06C0" w:rsidRDefault="008506C0" w:rsidP="00535391">
      <w:pPr>
        <w:spacing w:after="160" w:line="259" w:lineRule="auto"/>
        <w:jc w:val="center"/>
        <w:rPr>
          <w:b/>
          <w:u w:val="single"/>
        </w:rPr>
      </w:pPr>
    </w:p>
    <w:p w:rsidR="00291B12" w:rsidRDefault="00291B12" w:rsidP="00535391">
      <w:pPr>
        <w:spacing w:after="160" w:line="259" w:lineRule="auto"/>
        <w:jc w:val="center"/>
        <w:rPr>
          <w:b/>
          <w:u w:val="single"/>
        </w:rPr>
      </w:pPr>
    </w:p>
    <w:p w:rsidR="00291B12" w:rsidRDefault="00291B12" w:rsidP="00931AC9">
      <w:pPr>
        <w:spacing w:after="160" w:line="259" w:lineRule="auto"/>
        <w:rPr>
          <w:b/>
          <w:u w:val="single"/>
        </w:rPr>
      </w:pPr>
    </w:p>
    <w:p w:rsidR="00291B12" w:rsidRDefault="00291B12" w:rsidP="00535391">
      <w:pPr>
        <w:spacing w:after="160" w:line="259" w:lineRule="auto"/>
        <w:jc w:val="center"/>
        <w:rPr>
          <w:b/>
          <w:u w:val="single"/>
        </w:rPr>
      </w:pPr>
      <w:r w:rsidRPr="00291B12">
        <w:rPr>
          <w:b/>
          <w:u w:val="single"/>
        </w:rPr>
        <w:t>Diagnosis Unclear? – The ACA, Medicaid, and Labor Supply Revisited</w:t>
      </w:r>
    </w:p>
    <w:p w:rsidR="00291B12" w:rsidRPr="00291B12" w:rsidRDefault="00291B12" w:rsidP="00291B12">
      <w:pPr>
        <w:spacing w:after="160" w:line="259" w:lineRule="auto"/>
        <w:jc w:val="center"/>
        <w:rPr>
          <w:b/>
        </w:rPr>
      </w:pPr>
      <w:r w:rsidRPr="00291B12">
        <w:rPr>
          <w:b/>
        </w:rPr>
        <w:t>ECON 6073</w:t>
      </w:r>
    </w:p>
    <w:p w:rsidR="00291B12" w:rsidRPr="00291B12" w:rsidRDefault="00291B12" w:rsidP="00291B12">
      <w:pPr>
        <w:spacing w:after="160" w:line="259" w:lineRule="auto"/>
        <w:jc w:val="center"/>
        <w:rPr>
          <w:b/>
        </w:rPr>
      </w:pPr>
      <w:r w:rsidRPr="00291B12">
        <w:rPr>
          <w:b/>
        </w:rPr>
        <w:t>University of Colorado Denver</w:t>
      </w:r>
    </w:p>
    <w:p w:rsidR="008506C0" w:rsidRDefault="00291B12" w:rsidP="00291B12">
      <w:pPr>
        <w:spacing w:after="160" w:line="259" w:lineRule="auto"/>
        <w:jc w:val="center"/>
        <w:rPr>
          <w:b/>
          <w:u w:val="single"/>
        </w:rPr>
      </w:pPr>
      <w:r w:rsidRPr="00291B12">
        <w:rPr>
          <w:b/>
        </w:rPr>
        <w:t>12/</w:t>
      </w:r>
      <w:r>
        <w:rPr>
          <w:b/>
        </w:rPr>
        <w:t>14</w:t>
      </w:r>
      <w:r w:rsidRPr="00291B12">
        <w:rPr>
          <w:b/>
        </w:rPr>
        <w:t>/18</w:t>
      </w:r>
    </w:p>
    <w:p w:rsidR="008506C0" w:rsidRDefault="008506C0">
      <w:pPr>
        <w:spacing w:after="160" w:line="259" w:lineRule="auto"/>
        <w:rPr>
          <w:b/>
          <w:u w:val="single"/>
        </w:rPr>
      </w:pPr>
    </w:p>
    <w:p w:rsidR="008506C0" w:rsidRDefault="008506C0" w:rsidP="008A2228">
      <w:pPr>
        <w:spacing w:after="160" w:line="259" w:lineRule="auto"/>
        <w:jc w:val="center"/>
        <w:rPr>
          <w:b/>
          <w:u w:val="single"/>
        </w:rPr>
      </w:pPr>
    </w:p>
    <w:p w:rsidR="008A2228" w:rsidRDefault="008A2228" w:rsidP="008A2228">
      <w:pPr>
        <w:spacing w:after="160" w:line="259" w:lineRule="auto"/>
        <w:jc w:val="center"/>
        <w:rPr>
          <w:b/>
          <w:u w:val="single"/>
        </w:rPr>
      </w:pPr>
    </w:p>
    <w:p w:rsidR="008A2228" w:rsidRDefault="008A2228" w:rsidP="008A2228">
      <w:pPr>
        <w:spacing w:after="160" w:line="259" w:lineRule="auto"/>
        <w:jc w:val="center"/>
        <w:rPr>
          <w:b/>
          <w:u w:val="single"/>
        </w:rPr>
      </w:pPr>
    </w:p>
    <w:p w:rsidR="008A2228" w:rsidRDefault="008A2228" w:rsidP="008A2228">
      <w:pPr>
        <w:spacing w:after="160" w:line="259" w:lineRule="auto"/>
        <w:jc w:val="center"/>
        <w:rPr>
          <w:b/>
          <w:u w:val="single"/>
        </w:rPr>
      </w:pPr>
    </w:p>
    <w:p w:rsidR="008506C0" w:rsidRDefault="008506C0">
      <w:pPr>
        <w:spacing w:after="160" w:line="259" w:lineRule="auto"/>
        <w:rPr>
          <w:b/>
          <w:u w:val="single"/>
        </w:rPr>
      </w:pPr>
    </w:p>
    <w:p w:rsidR="008506C0" w:rsidRDefault="008506C0">
      <w:pPr>
        <w:spacing w:after="160" w:line="259" w:lineRule="auto"/>
        <w:rPr>
          <w:b/>
          <w:u w:val="single"/>
        </w:rPr>
      </w:pPr>
    </w:p>
    <w:p w:rsidR="008506C0" w:rsidRDefault="008506C0">
      <w:pPr>
        <w:spacing w:after="160" w:line="259" w:lineRule="auto"/>
        <w:rPr>
          <w:b/>
          <w:u w:val="single"/>
        </w:rPr>
      </w:pPr>
      <w:r>
        <w:rPr>
          <w:b/>
          <w:u w:val="single"/>
        </w:rPr>
        <w:br w:type="page"/>
      </w:r>
    </w:p>
    <w:p w:rsidR="005A738C" w:rsidRPr="005F397B" w:rsidRDefault="005A738C" w:rsidP="00E92F73">
      <w:pPr>
        <w:pStyle w:val="ListParagraph"/>
        <w:numPr>
          <w:ilvl w:val="0"/>
          <w:numId w:val="4"/>
        </w:numPr>
        <w:spacing w:line="480" w:lineRule="auto"/>
        <w:rPr>
          <w:b/>
          <w:u w:val="single"/>
        </w:rPr>
      </w:pPr>
      <w:r w:rsidRPr="005F397B">
        <w:rPr>
          <w:b/>
          <w:u w:val="single"/>
        </w:rPr>
        <w:lastRenderedPageBreak/>
        <w:t>Introduction</w:t>
      </w:r>
    </w:p>
    <w:p w:rsidR="000F14B1" w:rsidRDefault="00E851DE" w:rsidP="00E92F73">
      <w:pPr>
        <w:spacing w:line="480" w:lineRule="auto"/>
        <w:ind w:firstLine="720"/>
      </w:pPr>
      <w:r w:rsidRPr="00BA19D2">
        <w:t xml:space="preserve">The Patient Protection and Affordable Care Act, also known as the Affordable Care Act (ACA) for short, and colloquially called “Obamacare,” has been controversial since it was proposed in 2009 and subsequently passed and signed into law in 2010. </w:t>
      </w:r>
      <w:r w:rsidR="004D479B">
        <w:t>It seems that o</w:t>
      </w:r>
      <w:r w:rsidR="00636032">
        <w:t xml:space="preserve">ne of the </w:t>
      </w:r>
      <w:r w:rsidR="004D479B">
        <w:t xml:space="preserve">primary </w:t>
      </w:r>
      <w:r w:rsidR="00636032">
        <w:t>reasons for the controversial nature of this law is how it fits into the long running policy debate in the U.S. about whether public assistance programs reduce labor supply due to reduced work incentives. Indeed, the CBO estimated in 2014 that the ACA would reduce labor supply due to provisions like private health insurance subsidies and the Medicaid expansion (Harris &amp; Mok, 2015)</w:t>
      </w:r>
      <w:r w:rsidR="004C78B1">
        <w:t xml:space="preserve">. </w:t>
      </w:r>
    </w:p>
    <w:p w:rsidR="005209EF" w:rsidRPr="00594D50" w:rsidRDefault="004C78B1" w:rsidP="00E92F73">
      <w:pPr>
        <w:spacing w:line="480" w:lineRule="auto"/>
        <w:ind w:firstLine="720"/>
        <w:rPr>
          <w:b/>
          <w:u w:val="single"/>
        </w:rPr>
      </w:pPr>
      <w:r>
        <w:t>A few papers have attempted to empirically study the effects of the Medicaid expansion, finding more or less null results</w:t>
      </w:r>
      <w:r w:rsidR="00594D50">
        <w:t>, Gooptu et al. (2016), Leung &amp; Mas (2016), Kaestner et al. (2017), Peng et al. (2018)</w:t>
      </w:r>
      <w:r w:rsidR="00594D50" w:rsidRPr="00594D50">
        <w:t>.</w:t>
      </w:r>
      <w:r w:rsidR="00594D50" w:rsidRPr="00594D50">
        <w:rPr>
          <w:b/>
        </w:rPr>
        <w:t xml:space="preserve"> </w:t>
      </w:r>
      <w:r w:rsidR="0000776C">
        <w:t xml:space="preserve">All but one of these studies used a difference-in-difference research design with an indicator for Medicaid expansion in 2014 as the independent variable of interest and state &amp; year fixed effects. </w:t>
      </w:r>
      <w:r w:rsidR="00AB6A1B">
        <w:t>I</w:t>
      </w:r>
      <w:r w:rsidR="00BA5C0C">
        <w:t xml:space="preserve">t is </w:t>
      </w:r>
      <w:r w:rsidR="00AB6A1B">
        <w:t>plausible, even likely</w:t>
      </w:r>
      <w:r w:rsidR="00BA5C0C">
        <w:t xml:space="preserve"> that the repeated null results of the standard DiD studies are a result of a lack of statistical power rather than a true zero. Under the DiD research design using state-level identifying variation (indicator variable for Medicaid expansion in 2014), there is little variation with which to estimate this effect: there are only 50 observations (states), the “treatment” variable is binary, and most studies drop early and/or late expanding states, reducing the sample size </w:t>
      </w:r>
      <w:r w:rsidR="00EC4EFE">
        <w:t xml:space="preserve">for the independent variable </w:t>
      </w:r>
      <w:r w:rsidR="00BA5C0C">
        <w:t xml:space="preserve">as low as 36. </w:t>
      </w:r>
    </w:p>
    <w:p w:rsidR="00DF60F4" w:rsidRDefault="004D479B" w:rsidP="00E92F73">
      <w:pPr>
        <w:spacing w:line="480" w:lineRule="auto"/>
        <w:ind w:firstLine="720"/>
        <w:rPr>
          <w:rFonts w:eastAsiaTheme="minorEastAsia"/>
        </w:rPr>
      </w:pPr>
      <w:r>
        <w:t xml:space="preserve">In addition, these </w:t>
      </w:r>
      <w:r w:rsidR="005A1F7B">
        <w:t xml:space="preserve">DiD </w:t>
      </w:r>
      <w:r>
        <w:t xml:space="preserve">studies rely on a relatively implausible identifying assumption: that </w:t>
      </w:r>
      <w:r w:rsidR="00EC508B">
        <w:t>Medicaid expanding states and non-expanding states would be on the same trends in labor market outcomes</w:t>
      </w:r>
      <w:r w:rsidR="00973BFF">
        <w:t xml:space="preserve"> over time</w:t>
      </w:r>
      <w:r w:rsidR="00EC508B">
        <w:t xml:space="preserve">, absent the ACA. </w:t>
      </w:r>
      <w:proofErr w:type="gramStart"/>
      <w:r w:rsidR="00B751B6">
        <w:t>This amounts</w:t>
      </w:r>
      <w:proofErr w:type="gramEnd"/>
      <w:r w:rsidR="00B751B6">
        <w:t xml:space="preserve"> to assuming that there are no factors differentially affecting outcomes of expansion and non-expansion states over time</w:t>
      </w:r>
      <w:r w:rsidR="006B5F8A">
        <w:t xml:space="preserve">, which could </w:t>
      </w:r>
      <w:r w:rsidR="006B5F8A">
        <w:lastRenderedPageBreak/>
        <w:t>reasonably</w:t>
      </w:r>
      <w:r w:rsidR="00973BFF">
        <w:rPr>
          <w:rFonts w:eastAsiaTheme="minorEastAsia"/>
        </w:rPr>
        <w:t xml:space="preserve"> be violated by such confounders as state level economic conditions or population growth.</w:t>
      </w:r>
      <w:r w:rsidR="00F350B9">
        <w:rPr>
          <w:rFonts w:eastAsiaTheme="minorEastAsia"/>
        </w:rPr>
        <w:t xml:space="preserve"> As Courtemanche et al. (</w:t>
      </w:r>
      <w:r w:rsidR="00BB7D99">
        <w:rPr>
          <w:rFonts w:eastAsiaTheme="minorEastAsia"/>
        </w:rPr>
        <w:t>2017) note</w:t>
      </w:r>
      <w:r w:rsidR="00F350B9">
        <w:rPr>
          <w:rFonts w:eastAsiaTheme="minorEastAsia"/>
        </w:rPr>
        <w:t xml:space="preserve">, this seems a particularly strong assumption </w:t>
      </w:r>
      <w:r w:rsidR="00BB7D99">
        <w:rPr>
          <w:rFonts w:eastAsiaTheme="minorEastAsia"/>
        </w:rPr>
        <w:t>“</w:t>
      </w:r>
      <w:r w:rsidR="00BB7D99" w:rsidRPr="00BB7D99">
        <w:rPr>
          <w:rFonts w:eastAsiaTheme="minorEastAsia"/>
        </w:rPr>
        <w:t>given t</w:t>
      </w:r>
      <w:r w:rsidR="00BB7D99">
        <w:rPr>
          <w:rFonts w:eastAsiaTheme="minorEastAsia"/>
        </w:rPr>
        <w:t>he political nature of the Medi</w:t>
      </w:r>
      <w:r w:rsidR="00BB7D99" w:rsidRPr="00BB7D99">
        <w:rPr>
          <w:rFonts w:eastAsiaTheme="minorEastAsia"/>
        </w:rPr>
        <w:t>caid expansion decision and the possibility that unobserved determinants of 2014</w:t>
      </w:r>
      <w:r w:rsidR="00BB7D99">
        <w:rPr>
          <w:rFonts w:eastAsiaTheme="minorEastAsia"/>
        </w:rPr>
        <w:t xml:space="preserve"> </w:t>
      </w:r>
      <w:r w:rsidR="00BB7D99" w:rsidRPr="00BB7D99">
        <w:rPr>
          <w:rFonts w:eastAsiaTheme="minorEastAsia"/>
        </w:rPr>
        <w:t>coverage changes could be correlated with a state’s political climate.</w:t>
      </w:r>
      <w:r w:rsidR="00BB7D99">
        <w:rPr>
          <w:rFonts w:eastAsiaTheme="minorEastAsia"/>
        </w:rPr>
        <w:t xml:space="preserve">” Indeed, Courtemanche and coauthors go on to cite Sobel (2014), which provides evidence that republican state leadership was highly predictive of </w:t>
      </w:r>
      <w:r w:rsidR="00305E0F">
        <w:rPr>
          <w:rFonts w:eastAsiaTheme="minorEastAsia"/>
        </w:rPr>
        <w:t>not expanding</w:t>
      </w:r>
      <w:r w:rsidR="00BB7D99">
        <w:rPr>
          <w:rFonts w:eastAsiaTheme="minorEastAsia"/>
        </w:rPr>
        <w:t xml:space="preserve"> Medicaid. </w:t>
      </w:r>
    </w:p>
    <w:p w:rsidR="00594D50" w:rsidRDefault="002B4B03" w:rsidP="00E92F73">
      <w:pPr>
        <w:spacing w:line="480" w:lineRule="auto"/>
        <w:ind w:firstLine="720"/>
        <w:rPr>
          <w:b/>
          <w:u w:val="single"/>
        </w:rPr>
      </w:pPr>
      <w:r>
        <w:rPr>
          <w:rFonts w:eastAsiaTheme="minorEastAsia"/>
        </w:rPr>
        <w:t>Furthermore, only one study has attempted to examine the effect of the broader ACA in addition to the Medicaid effect on labor supply</w:t>
      </w:r>
      <w:r w:rsidR="00D01AA1">
        <w:rPr>
          <w:rFonts w:eastAsiaTheme="minorEastAsia"/>
        </w:rPr>
        <w:t>, Duggan et al. (2017)</w:t>
      </w:r>
      <w:r>
        <w:rPr>
          <w:rFonts w:eastAsiaTheme="minorEastAsia"/>
        </w:rPr>
        <w:t xml:space="preserve">. </w:t>
      </w:r>
      <w:r w:rsidR="00594D50">
        <w:rPr>
          <w:rFonts w:eastAsiaTheme="minorEastAsia"/>
        </w:rPr>
        <w:t>This study also</w:t>
      </w:r>
      <w:r w:rsidR="00D01AA1">
        <w:rPr>
          <w:rFonts w:eastAsiaTheme="minorEastAsia"/>
        </w:rPr>
        <w:t xml:space="preserve"> attempts to improve upon the little identifying variation of the DiD Medicaid studies </w:t>
      </w:r>
      <w:r>
        <w:t xml:space="preserve">by utilizing a research design similar to the triple difference/dose response model of </w:t>
      </w:r>
      <w:r>
        <w:rPr>
          <w:rFonts w:eastAsiaTheme="minorEastAsia"/>
        </w:rPr>
        <w:t>Courtemanche et al. (2017).</w:t>
      </w:r>
      <w:r w:rsidR="00D01AA1">
        <w:rPr>
          <w:rFonts w:eastAsiaTheme="minorEastAsia"/>
        </w:rPr>
        <w:t xml:space="preserve"> </w:t>
      </w:r>
      <w:r>
        <w:t xml:space="preserve">Unfortunately, the specifics of the research design </w:t>
      </w:r>
      <w:r w:rsidR="00D01AA1">
        <w:t xml:space="preserve">used </w:t>
      </w:r>
      <w:r>
        <w:t xml:space="preserve">seem overcomplicated, </w:t>
      </w:r>
      <w:r w:rsidR="00D01AA1">
        <w:t>and make the estimated effects</w:t>
      </w:r>
      <w:r>
        <w:t xml:space="preserve"> difficult to interpret. </w:t>
      </w:r>
      <w:r w:rsidR="00F96050">
        <w:t>In any case, Duggan and coauthors find mostly null results, with the key exception being an association between the non-Medicaid ACA provisions rolled out in 2014 (notably the private insurance exchanges)</w:t>
      </w:r>
      <w:r w:rsidR="0028215A">
        <w:t xml:space="preserve"> and a modest decrease in labor force participation. </w:t>
      </w:r>
    </w:p>
    <w:p w:rsidR="00B71DB2" w:rsidRDefault="008610CF" w:rsidP="00E92F73">
      <w:pPr>
        <w:spacing w:line="480" w:lineRule="auto"/>
        <w:ind w:firstLine="720"/>
      </w:pPr>
      <w:r>
        <w:t>T</w:t>
      </w:r>
      <w:r w:rsidR="00DF60F4">
        <w:t xml:space="preserve">his paper contributes to the </w:t>
      </w:r>
      <w:r>
        <w:t xml:space="preserve">existing </w:t>
      </w:r>
      <w:r w:rsidR="00DF60F4">
        <w:t xml:space="preserve">literature on the ACA and labor supply by </w:t>
      </w:r>
      <w:r>
        <w:t>examining the effects of both the Medicaid expansion and the broader ACA, using more data (through 2016, 2015 was the latest year used in aforementioned studies)</w:t>
      </w:r>
      <w:r w:rsidR="007968A0">
        <w:t>, and making use of a research design with more identifying variation</w:t>
      </w:r>
      <w:r w:rsidR="0038013F">
        <w:t>/statistical power</w:t>
      </w:r>
      <w:r w:rsidR="007968A0">
        <w:t xml:space="preserve"> and a weaker identifying assumption</w:t>
      </w:r>
      <w:r w:rsidR="00BE2B84">
        <w:t xml:space="preserve"> than the DiD Medicaid studies</w:t>
      </w:r>
      <w:r w:rsidR="007968A0">
        <w:t xml:space="preserve">. </w:t>
      </w:r>
    </w:p>
    <w:p w:rsidR="00DF60F4" w:rsidRDefault="0038013F" w:rsidP="00E92F73">
      <w:pPr>
        <w:spacing w:line="480" w:lineRule="auto"/>
        <w:ind w:firstLine="720"/>
      </w:pPr>
      <w:r>
        <w:t xml:space="preserve">I accomplish this by employing the triple difference/dose response </w:t>
      </w:r>
      <w:r w:rsidR="00AA00B1">
        <w:t xml:space="preserve">(DiDiD) </w:t>
      </w:r>
      <w:r>
        <w:t>methodology of Courtemanche et al (2017).</w:t>
      </w:r>
      <w:r w:rsidR="00061063">
        <w:t xml:space="preserve"> </w:t>
      </w:r>
      <w:r>
        <w:t>The</w:t>
      </w:r>
      <w:r w:rsidR="00DF60F4">
        <w:t xml:space="preserve"> additional </w:t>
      </w:r>
      <w:r>
        <w:t xml:space="preserve">statistical </w:t>
      </w:r>
      <w:r w:rsidR="00DF60F4">
        <w:t xml:space="preserve">power </w:t>
      </w:r>
      <w:r w:rsidR="00B71DB2">
        <w:t xml:space="preserve">over the DiD Medicaid studies </w:t>
      </w:r>
      <w:r w:rsidR="00DF60F4">
        <w:t xml:space="preserve">is a result of the addition of pre-expansion uninsured rates in local areas as </w:t>
      </w:r>
      <w:r w:rsidR="00B71DB2">
        <w:t>a</w:t>
      </w:r>
      <w:r w:rsidR="00DF60F4">
        <w:t xml:space="preserve"> dose/treatment intensity </w:t>
      </w:r>
      <w:r w:rsidR="00DF60F4">
        <w:lastRenderedPageBreak/>
        <w:t xml:space="preserve">variable. In other works, areas which had more uninsured individuals can expect to get a higher “dose” of the Medicaid expansion than areas with less uninsured individuals. This increases the sample size and </w:t>
      </w:r>
      <w:r w:rsidR="00B71DB2">
        <w:t xml:space="preserve">identifying </w:t>
      </w:r>
      <w:r w:rsidR="00DF60F4">
        <w:t xml:space="preserve">variation with which effects </w:t>
      </w:r>
      <w:r w:rsidR="005A3826">
        <w:t xml:space="preserve">on labor supply </w:t>
      </w:r>
      <w:r w:rsidR="00DF60F4">
        <w:t xml:space="preserve">can be estimated. </w:t>
      </w:r>
      <w:r w:rsidR="005A3826">
        <w:t>This research design</w:t>
      </w:r>
      <w:r w:rsidR="008314A1">
        <w:t>,</w:t>
      </w:r>
      <w:r w:rsidR="005A3826">
        <w:t xml:space="preserve"> </w:t>
      </w:r>
      <w:r w:rsidR="008314A1">
        <w:t>importantly,</w:t>
      </w:r>
      <w:r w:rsidR="005A3826">
        <w:t xml:space="preserve"> allow</w:t>
      </w:r>
      <w:r w:rsidR="008314A1">
        <w:t>s</w:t>
      </w:r>
      <w:r w:rsidR="005A3826">
        <w:t xml:space="preserve"> me to separately estimate the effects of the 2014 ACA “non-Medicaid” provisions on labor supply</w:t>
      </w:r>
      <w:r w:rsidR="00666838">
        <w:t xml:space="preserve">. </w:t>
      </w:r>
      <w:r w:rsidR="00DF60F4">
        <w:t xml:space="preserve">It is important to note that local area uninsured rates </w:t>
      </w:r>
      <w:r w:rsidR="00666838">
        <w:t xml:space="preserve">(the dose variable) </w:t>
      </w:r>
      <w:r w:rsidR="00DF60F4">
        <w:t xml:space="preserve">must be measured </w:t>
      </w:r>
      <w:r w:rsidR="002C614D">
        <w:t>pr</w:t>
      </w:r>
      <w:r w:rsidR="003F5878">
        <w:t>ior to the ACA rollout/</w:t>
      </w:r>
      <w:r w:rsidR="002C614D">
        <w:t xml:space="preserve">Medicaid expansion in 2014 </w:t>
      </w:r>
      <w:r w:rsidR="00DF60F4">
        <w:t xml:space="preserve">because these uninsured rates </w:t>
      </w:r>
      <w:r w:rsidR="002C614D">
        <w:t>subsequently declined as a result of the policy, which was a major goal of the ACA</w:t>
      </w:r>
      <w:r w:rsidR="00DF60F4">
        <w:t xml:space="preserve">. In contrast to the DiD </w:t>
      </w:r>
      <w:r w:rsidR="009E57C0">
        <w:t xml:space="preserve">Medicaid </w:t>
      </w:r>
      <w:r w:rsidR="00DF60F4">
        <w:t>specification</w:t>
      </w:r>
      <w:r w:rsidR="009E57C0">
        <w:t>s</w:t>
      </w:r>
      <w:r w:rsidR="00DF60F4">
        <w:t xml:space="preserve">, the DiDiD model does not rely on the identifying assumption that there are no factors differentially affecting outcomes of expansion and non-expansion states over time, but rather, that any such factors are not correlated with pre-reform uninsured rates. </w:t>
      </w:r>
      <w:r w:rsidR="00C8008B">
        <w:t xml:space="preserve">I estimate this model using ACS Data (2011-2016), and data on state Medicaid expansions from the Kaiser Family Foundation. My outcome variables are log wages, labor force participation, employment and hours worked. </w:t>
      </w:r>
    </w:p>
    <w:p w:rsidR="00146A57" w:rsidRDefault="00146A57" w:rsidP="00E92F73">
      <w:pPr>
        <w:spacing w:line="480" w:lineRule="auto"/>
        <w:ind w:firstLine="720"/>
      </w:pPr>
      <w:r>
        <w:t xml:space="preserve">Results of my study indicate that the </w:t>
      </w:r>
      <w:r w:rsidR="005F4F34">
        <w:t>ACA Medicaid expansion was not significantly associated with labor supply, possibly with the exception of labor supply for females</w:t>
      </w:r>
      <w:r w:rsidR="002179B3">
        <w:t>, although these estimates were not statistically significant</w:t>
      </w:r>
      <w:r w:rsidR="005F4F34">
        <w:t>.</w:t>
      </w:r>
      <w:r w:rsidR="00BE197A">
        <w:t xml:space="preserve"> The non-Medicaid ACA provisions, however, seem to be associated with a substantial and statistically significant increase in employment</w:t>
      </w:r>
      <w:r w:rsidR="009F2110">
        <w:t xml:space="preserve">. This estimated effect ranges from an increase in employment of 0.2 percentage points for the minimum uninsured PUMA to an increase in employment of 2.6 percentage points for the maximum uninsured PUMA, or an increase of 1.1 percentage points for the average PUMA. </w:t>
      </w:r>
    </w:p>
    <w:p w:rsidR="00DF60F4" w:rsidRPr="00960892" w:rsidRDefault="00DF60F4" w:rsidP="00E92F73">
      <w:pPr>
        <w:spacing w:line="480" w:lineRule="auto"/>
      </w:pPr>
      <w:r w:rsidRPr="00CA72A7">
        <w:rPr>
          <w:color w:val="FF0000"/>
        </w:rPr>
        <w:tab/>
      </w:r>
      <w:r>
        <w:t xml:space="preserve">The rest of this paper is laid out as follows. </w:t>
      </w:r>
      <w:r w:rsidR="00960892">
        <w:t xml:space="preserve">Section II provides useful background information on the ACA, Medicaid, and labor supply. Section III examines previous literature relevant to this study. </w:t>
      </w:r>
      <w:r>
        <w:t xml:space="preserve">Section </w:t>
      </w:r>
      <w:r w:rsidR="00960892">
        <w:t>IV</w:t>
      </w:r>
      <w:r>
        <w:t xml:space="preserve"> describes the data sources used in my analysis. Section </w:t>
      </w:r>
      <w:r w:rsidR="00960892">
        <w:t>V</w:t>
      </w:r>
      <w:r>
        <w:t xml:space="preserve"> </w:t>
      </w:r>
      <w:r>
        <w:lastRenderedPageBreak/>
        <w:t xml:space="preserve">outlines my empirical methodology. Section </w:t>
      </w:r>
      <w:r w:rsidR="00960892">
        <w:t>VI</w:t>
      </w:r>
      <w:r>
        <w:t xml:space="preserve"> </w:t>
      </w:r>
      <w:r w:rsidR="00960892">
        <w:t>reports</w:t>
      </w:r>
      <w:r>
        <w:t xml:space="preserve"> results of my analysis. Section </w:t>
      </w:r>
      <w:r w:rsidR="00537674">
        <w:t>VII</w:t>
      </w:r>
      <w:r>
        <w:t xml:space="preserve"> presents robustness checks, and section </w:t>
      </w:r>
      <w:r w:rsidR="00537674">
        <w:t>VIII</w:t>
      </w:r>
      <w:r>
        <w:t xml:space="preserve"> concludes.</w:t>
      </w:r>
    </w:p>
    <w:p w:rsidR="00DF60F4" w:rsidRDefault="00DF60F4" w:rsidP="00E92F73">
      <w:pPr>
        <w:spacing w:line="480" w:lineRule="auto"/>
        <w:rPr>
          <w:b/>
          <w:u w:val="single"/>
        </w:rPr>
      </w:pPr>
    </w:p>
    <w:p w:rsidR="00DF60F4" w:rsidRPr="00764AFC" w:rsidRDefault="00764AFC" w:rsidP="00E92F73">
      <w:pPr>
        <w:pStyle w:val="ListParagraph"/>
        <w:numPr>
          <w:ilvl w:val="0"/>
          <w:numId w:val="4"/>
        </w:numPr>
        <w:spacing w:line="480" w:lineRule="auto"/>
        <w:rPr>
          <w:b/>
          <w:u w:val="single"/>
        </w:rPr>
      </w:pPr>
      <w:r>
        <w:rPr>
          <w:b/>
          <w:u w:val="single"/>
        </w:rPr>
        <w:t>Background</w:t>
      </w:r>
    </w:p>
    <w:p w:rsidR="008362AD" w:rsidRPr="006E236B" w:rsidRDefault="00BA72CD" w:rsidP="00E92F73">
      <w:pPr>
        <w:spacing w:line="480" w:lineRule="auto"/>
        <w:ind w:firstLine="720"/>
      </w:pPr>
      <w:r>
        <w:t xml:space="preserve">The Affordable Care Act was a sweeping reform that signifies the largest change to the U.S. healthcare system in generations. </w:t>
      </w:r>
      <w:r w:rsidR="00E94477">
        <w:t xml:space="preserve">While the law was passed in 2010, many of the key provisions did not take effect until 2014. </w:t>
      </w:r>
      <w:r w:rsidR="00E65C05">
        <w:t>Among these aspects activating in 2014 were the Individual Mandate, the insurance exchanges (and subsidies), the Medicaid expansion, and many insurance regulations, such as the pre-existing conditions protection</w:t>
      </w:r>
      <w:r w:rsidR="00C54F26">
        <w:t xml:space="preserve"> </w:t>
      </w:r>
      <w:r w:rsidR="00C54F26" w:rsidRPr="008342AF">
        <w:t>(</w:t>
      </w:r>
      <w:r w:rsidR="008342AF" w:rsidRPr="008342AF">
        <w:rPr>
          <w:iCs/>
        </w:rPr>
        <w:t>Advisory Board</w:t>
      </w:r>
      <w:r w:rsidR="008342AF">
        <w:rPr>
          <w:iCs/>
        </w:rPr>
        <w:t>, 2013</w:t>
      </w:r>
      <w:r w:rsidR="00C54F26" w:rsidRPr="008342AF">
        <w:t>)</w:t>
      </w:r>
      <w:r w:rsidR="00E65C05" w:rsidRPr="008342AF">
        <w:t xml:space="preserve">. </w:t>
      </w:r>
      <w:r w:rsidR="006E236B">
        <w:t xml:space="preserve">While the employer mandate was originally scheduled to </w:t>
      </w:r>
      <w:r w:rsidR="00C941FF">
        <w:t>take effect in 2014 as well, this provision was delayed until 2015.</w:t>
      </w:r>
    </w:p>
    <w:p w:rsidR="002D3D44" w:rsidRDefault="003163C6" w:rsidP="00E92F73">
      <w:pPr>
        <w:spacing w:line="480" w:lineRule="auto"/>
        <w:ind w:firstLine="720"/>
      </w:pPr>
      <w:r>
        <w:t>T</w:t>
      </w:r>
      <w:r w:rsidR="005A738C" w:rsidRPr="00BA19D2">
        <w:t xml:space="preserve">he </w:t>
      </w:r>
      <w:r w:rsidR="00EA4E24" w:rsidRPr="00BA19D2">
        <w:t xml:space="preserve">Medicaid expansion </w:t>
      </w:r>
      <w:r w:rsidR="00197663">
        <w:t xml:space="preserve">endeavored </w:t>
      </w:r>
      <w:r w:rsidR="00EA4E24" w:rsidRPr="00BA19D2">
        <w:t xml:space="preserve">to extend Medicaid </w:t>
      </w:r>
      <w:r w:rsidR="00BA19D2" w:rsidRPr="00BA19D2">
        <w:t xml:space="preserve">eligibility </w:t>
      </w:r>
      <w:r w:rsidR="00EA4E24" w:rsidRPr="00BA19D2">
        <w:t xml:space="preserve">to all adults below 138% of the Federal Poverty Line (FPL). </w:t>
      </w:r>
      <w:r w:rsidR="00994FA9">
        <w:t>While</w:t>
      </w:r>
      <w:r w:rsidR="002D3D44">
        <w:t xml:space="preserve"> the Medicaid expansion</w:t>
      </w:r>
      <w:r w:rsidR="00006FF1">
        <w:t xml:space="preserve"> was originally intended to apply to all states, the Supreme Court ruled in </w:t>
      </w:r>
      <w:r w:rsidR="00006FF1" w:rsidRPr="009A0CAD">
        <w:rPr>
          <w:i/>
        </w:rPr>
        <w:t>Nation</w:t>
      </w:r>
      <w:r w:rsidR="009A0CAD">
        <w:rPr>
          <w:i/>
        </w:rPr>
        <w:t>al</w:t>
      </w:r>
      <w:r w:rsidR="00006FF1" w:rsidRPr="009A0CAD">
        <w:rPr>
          <w:i/>
        </w:rPr>
        <w:t xml:space="preserve"> Federation of </w:t>
      </w:r>
      <w:r w:rsidR="009A0CAD">
        <w:rPr>
          <w:i/>
        </w:rPr>
        <w:t xml:space="preserve">Independent </w:t>
      </w:r>
      <w:r w:rsidR="00006FF1" w:rsidRPr="009A0CAD">
        <w:rPr>
          <w:i/>
        </w:rPr>
        <w:t>Business v. Sebelius</w:t>
      </w:r>
      <w:r w:rsidR="009A0CAD" w:rsidRPr="009A0CAD">
        <w:rPr>
          <w:i/>
        </w:rPr>
        <w:t xml:space="preserve"> (2012)</w:t>
      </w:r>
      <w:r w:rsidR="009A0CAD">
        <w:t xml:space="preserve"> that states could not be compelled to expand Medicaid against their wishes. As a result of this decision, many states elected to not expand </w:t>
      </w:r>
      <w:r w:rsidR="00994FA9">
        <w:t xml:space="preserve">their </w:t>
      </w:r>
      <w:r w:rsidR="009A0CAD">
        <w:t>Medicaid</w:t>
      </w:r>
      <w:r w:rsidR="00994FA9">
        <w:t xml:space="preserve"> programs</w:t>
      </w:r>
      <w:r w:rsidR="009A0CAD">
        <w:t xml:space="preserve">, creating </w:t>
      </w:r>
      <w:r w:rsidR="00994FA9">
        <w:t xml:space="preserve">useful </w:t>
      </w:r>
      <w:r w:rsidR="009A0CAD">
        <w:t xml:space="preserve">variation for those wishing to study the effects of the Medicaid expansion. </w:t>
      </w:r>
    </w:p>
    <w:p w:rsidR="005B20E0" w:rsidRDefault="009B0D56" w:rsidP="00E92F73">
      <w:pPr>
        <w:spacing w:line="480" w:lineRule="auto"/>
        <w:ind w:firstLine="720"/>
      </w:pPr>
      <w:r>
        <w:t>P</w:t>
      </w:r>
      <w:r w:rsidR="00EA4E24" w:rsidRPr="00BA19D2">
        <w:t xml:space="preserve">rior to the passage of the ACA, </w:t>
      </w:r>
      <w:r w:rsidR="008E58E5">
        <w:t xml:space="preserve">not </w:t>
      </w:r>
      <w:r w:rsidR="00BA19D2" w:rsidRPr="00BA19D2">
        <w:t xml:space="preserve">all </w:t>
      </w:r>
      <w:r w:rsidR="00197663">
        <w:t xml:space="preserve">low-income </w:t>
      </w:r>
      <w:r w:rsidR="00BA19D2" w:rsidRPr="00BA19D2">
        <w:t xml:space="preserve">adults </w:t>
      </w:r>
      <w:r w:rsidR="008E58E5">
        <w:t xml:space="preserve">were required to </w:t>
      </w:r>
      <w:r w:rsidR="00BA19D2" w:rsidRPr="00BA19D2">
        <w:t xml:space="preserve">be covered by Medicaid: </w:t>
      </w:r>
      <w:r w:rsidR="00BA19D2">
        <w:t>“</w:t>
      </w:r>
      <w:r w:rsidR="00BA19D2" w:rsidRPr="00BA19D2">
        <w:t xml:space="preserve">The federal government only required that states provide Medicaid to children, pregnant women, parents of dependent children, individuals with disabilities, and qualifying people over age 65. States were not required to cover childless, low-income, non-disabled adults” </w:t>
      </w:r>
      <w:r w:rsidR="00BA19D2" w:rsidRPr="00D3515B">
        <w:t>(</w:t>
      </w:r>
      <w:r w:rsidR="00D3515B" w:rsidRPr="004E6F51">
        <w:rPr>
          <w:iCs/>
        </w:rPr>
        <w:t>Health Reform Tracker</w:t>
      </w:r>
      <w:r w:rsidR="0049703F">
        <w:rPr>
          <w:iCs/>
        </w:rPr>
        <w:t>, 2017</w:t>
      </w:r>
      <w:r w:rsidR="00BA19D2" w:rsidRPr="00D3515B">
        <w:t xml:space="preserve">). </w:t>
      </w:r>
      <w:r w:rsidR="00BA19D2">
        <w:t xml:space="preserve">While </w:t>
      </w:r>
      <w:r w:rsidR="00197663">
        <w:t xml:space="preserve">these were just the minimum requirements, and some states had more generous eligibility rules, many did not. Moreover, states were only </w:t>
      </w:r>
      <w:r w:rsidR="00197663">
        <w:lastRenderedPageBreak/>
        <w:t xml:space="preserve">required to cover only the poorest </w:t>
      </w:r>
      <w:r w:rsidR="00967CEB">
        <w:t>among us</w:t>
      </w:r>
      <w:r w:rsidR="00197663">
        <w:t>: “</w:t>
      </w:r>
      <w:r w:rsidR="00197663" w:rsidRPr="00197663">
        <w:t>In 2013, before the ACA Medicaid expansion took effect, the median state Medicaid income eligibility cut-off for working parents was 61% FPL and, in most states, non-elderly adults without dependent children (“childless adults”) were categorically ineligible for Medicaid</w:t>
      </w:r>
      <w:r w:rsidR="00197663">
        <w:t xml:space="preserve">” </w:t>
      </w:r>
      <w:r w:rsidR="00197663" w:rsidRPr="00956FE6">
        <w:t>(</w:t>
      </w:r>
      <w:r w:rsidR="00956FE6">
        <w:t>Paradise</w:t>
      </w:r>
      <w:r w:rsidR="00197663" w:rsidRPr="00956FE6">
        <w:t>, 201</w:t>
      </w:r>
      <w:r w:rsidR="00956FE6">
        <w:t>6</w:t>
      </w:r>
      <w:r w:rsidR="00197663" w:rsidRPr="00956FE6">
        <w:t xml:space="preserve">). </w:t>
      </w:r>
      <w:r w:rsidR="008659CB">
        <w:t xml:space="preserve">Given these facts, we would </w:t>
      </w:r>
      <w:r w:rsidR="002C5D8F">
        <w:t xml:space="preserve">not </w:t>
      </w:r>
      <w:r w:rsidR="008659CB">
        <w:t xml:space="preserve">expect the Medicaid expansion </w:t>
      </w:r>
      <w:r w:rsidR="002C5D8F">
        <w:t xml:space="preserve">to </w:t>
      </w:r>
      <w:r w:rsidR="008659CB">
        <w:t xml:space="preserve">increase health coverage </w:t>
      </w:r>
      <w:r w:rsidR="002C5D8F">
        <w:t xml:space="preserve">uniformly across demographic groups. </w:t>
      </w:r>
    </w:p>
    <w:p w:rsidR="008659CB" w:rsidRDefault="00483EB3" w:rsidP="00E92F73">
      <w:pPr>
        <w:spacing w:line="480" w:lineRule="auto"/>
        <w:ind w:firstLine="720"/>
      </w:pPr>
      <w:r>
        <w:t>Indeed, studies have documented that the ACA, and specifically, the Medicaid expansion, increased health coverage</w:t>
      </w:r>
      <w:r w:rsidR="005813EF">
        <w:t>,</w:t>
      </w:r>
      <w:r w:rsidR="0045391D">
        <w:t xml:space="preserve"> especially for a few subgroups</w:t>
      </w:r>
      <w:r>
        <w:t>. For instance, Courtemanche et al. (2017) find that, on average, “</w:t>
      </w:r>
      <w:r w:rsidRPr="00483EB3">
        <w:t>the full ACA increased the proportion of residents with insurance by 5.9 percentage points compared to 2.8 percentage points in stat</w:t>
      </w:r>
      <w:r>
        <w:t>es that did not expand Medicaid,” and that the coverage gains were concentrated in individuals “</w:t>
      </w:r>
      <w:r w:rsidRPr="00483EB3">
        <w:t xml:space="preserve">without a college degree, non‐whites, young adults, unmarried individuals, and those without </w:t>
      </w:r>
      <w:r>
        <w:t>children in the home.”</w:t>
      </w:r>
    </w:p>
    <w:p w:rsidR="00BD7078" w:rsidRDefault="00ED1A27" w:rsidP="00E92F73">
      <w:pPr>
        <w:spacing w:line="480" w:lineRule="auto"/>
        <w:ind w:firstLine="720"/>
      </w:pPr>
      <w:r>
        <w:t xml:space="preserve">Some </w:t>
      </w:r>
      <w:r w:rsidR="009D1353">
        <w:t xml:space="preserve">who are critical of the ACA </w:t>
      </w:r>
      <w:r w:rsidR="004534E8">
        <w:t xml:space="preserve">(and other public assistance programs) </w:t>
      </w:r>
      <w:r w:rsidR="009D1353">
        <w:t xml:space="preserve">have argued that </w:t>
      </w:r>
      <w:r w:rsidR="00590B61">
        <w:t>the Medicaid expansion</w:t>
      </w:r>
      <w:r w:rsidR="002D3D44">
        <w:t>,</w:t>
      </w:r>
      <w:r w:rsidR="00590B61">
        <w:t xml:space="preserve"> </w:t>
      </w:r>
      <w:r w:rsidR="009D1353">
        <w:t xml:space="preserve">would create </w:t>
      </w:r>
      <w:r w:rsidR="00590B61">
        <w:t xml:space="preserve">more </w:t>
      </w:r>
      <w:r w:rsidR="009D1353">
        <w:t xml:space="preserve">government dependency </w:t>
      </w:r>
      <w:r w:rsidR="00214E05">
        <w:t xml:space="preserve">by reducing work </w:t>
      </w:r>
      <w:r w:rsidR="00E00C6E">
        <w:t xml:space="preserve">incentives and therefore work </w:t>
      </w:r>
      <w:r w:rsidR="00214E05">
        <w:t>effort (labor supply)</w:t>
      </w:r>
      <w:r w:rsidR="009D1353">
        <w:t xml:space="preserve">. This </w:t>
      </w:r>
      <w:r w:rsidR="00590B61">
        <w:t xml:space="preserve">leads to the question </w:t>
      </w:r>
      <w:r w:rsidR="009A2BA5">
        <w:t>“</w:t>
      </w:r>
      <w:r w:rsidR="00590B61">
        <w:t>Why might Medicaid affect work?</w:t>
      </w:r>
      <w:r w:rsidR="009A2BA5">
        <w:t>”</w:t>
      </w:r>
      <w:r w:rsidR="002D3D44">
        <w:t xml:space="preserve"> </w:t>
      </w:r>
    </w:p>
    <w:p w:rsidR="00590B61" w:rsidRDefault="00E417FF" w:rsidP="00E92F73">
      <w:pPr>
        <w:spacing w:line="480" w:lineRule="auto"/>
        <w:ind w:firstLine="720"/>
      </w:pPr>
      <w:r>
        <w:t xml:space="preserve">Simple microeconomic theory </w:t>
      </w:r>
      <w:r w:rsidR="003707AD">
        <w:t>suggests</w:t>
      </w:r>
      <w:r>
        <w:t xml:space="preserve"> that t</w:t>
      </w:r>
      <w:r w:rsidR="00590B61">
        <w:t xml:space="preserve">he Medicaid expansion may affect work effort </w:t>
      </w:r>
      <w:r w:rsidR="000C5AFF">
        <w:t xml:space="preserve">in a few different ways. </w:t>
      </w:r>
      <w:r w:rsidR="000A6F7F">
        <w:t>H</w:t>
      </w:r>
      <w:r w:rsidR="009A2375">
        <w:t xml:space="preserve">ealth insurance is quite expensive, and government provided health insurance </w:t>
      </w:r>
      <w:r w:rsidR="000A6F7F">
        <w:t xml:space="preserve">is therefore worth a lot of money, especially given that Medicaid coverage eliminates most out-of-pocket costs </w:t>
      </w:r>
      <w:r w:rsidR="00362264">
        <w:t>in addition to</w:t>
      </w:r>
      <w:r w:rsidR="000A6F7F">
        <w:t xml:space="preserve"> premiums. Therefore, there is a significant income effect of recei</w:t>
      </w:r>
      <w:r w:rsidR="00C27309">
        <w:t xml:space="preserve">ving Medicaid coverage, ie. </w:t>
      </w:r>
      <w:r w:rsidR="000A6F7F">
        <w:t xml:space="preserve">one can work less and consume the same amount as before. This income effect alone </w:t>
      </w:r>
      <w:r>
        <w:t xml:space="preserve">may be enough to induce some individuals to decrease work effort, and there may be additional distortionary effects for individuals who </w:t>
      </w:r>
      <w:r w:rsidR="0033587E">
        <w:t xml:space="preserve">are </w:t>
      </w:r>
      <w:r w:rsidR="0033587E">
        <w:lastRenderedPageBreak/>
        <w:t xml:space="preserve">near the new or old eligibility </w:t>
      </w:r>
      <w:r w:rsidR="00464CBA">
        <w:t xml:space="preserve">income </w:t>
      </w:r>
      <w:r w:rsidR="0033587E">
        <w:t xml:space="preserve">thresholds. </w:t>
      </w:r>
      <w:r w:rsidR="007D117F">
        <w:t>Individuals just above the new eligibility</w:t>
      </w:r>
      <w:r w:rsidR="007622EE">
        <w:t xml:space="preserve"> </w:t>
      </w:r>
      <w:r w:rsidR="007D117F">
        <w:t xml:space="preserve">threshold may reduce work effort to obtain Medicaid if their lost income is less than the income effect of Medicaid. Finally, individuals who were reducing work effort to obtain Medicaid coverage under the old eligibility thresholds may increase work effort </w:t>
      </w:r>
      <w:r w:rsidR="001E5164">
        <w:t xml:space="preserve">now that this can be done without losing Medicaid coverage. </w:t>
      </w:r>
      <w:r w:rsidR="008B00DE">
        <w:t xml:space="preserve">The predicted overall effect of the Medicaid expansion on work effort is therefore ambiguous and must be studied empirically. </w:t>
      </w:r>
    </w:p>
    <w:p w:rsidR="0094163B" w:rsidRDefault="00A22101" w:rsidP="00E92F73">
      <w:pPr>
        <w:spacing w:line="480" w:lineRule="auto"/>
        <w:ind w:firstLine="720"/>
      </w:pPr>
      <w:r>
        <w:t xml:space="preserve">The mechanisms by which the </w:t>
      </w:r>
      <w:r w:rsidR="00E42619">
        <w:t xml:space="preserve">non-Medicaid ACA provisions could affect labor supply are less </w:t>
      </w:r>
      <w:r w:rsidR="009B3EE5">
        <w:t>obvious</w:t>
      </w:r>
      <w:r w:rsidR="00E42619">
        <w:t xml:space="preserve">. </w:t>
      </w:r>
      <w:r w:rsidR="0017525C">
        <w:t xml:space="preserve">In </w:t>
      </w:r>
      <w:r w:rsidR="00C101C1">
        <w:t xml:space="preserve">chapter 50 of </w:t>
      </w:r>
      <w:r w:rsidR="00C101C1" w:rsidRPr="00C101C1">
        <w:rPr>
          <w:i/>
        </w:rPr>
        <w:t>The Handbook of Labor Economics</w:t>
      </w:r>
      <w:r w:rsidR="00C101C1">
        <w:t>, “</w:t>
      </w:r>
      <w:r w:rsidR="00C101C1" w:rsidRPr="00C101C1">
        <w:t>Health, health insurance and the labor market</w:t>
      </w:r>
      <w:r w:rsidR="00C101C1">
        <w:t>,” the authors Currie &amp; Madrian outline two primary mechanisms</w:t>
      </w:r>
      <w:r w:rsidR="00B61A3B">
        <w:t xml:space="preserve"> by which employer provided private health insurance could affect labor supply</w:t>
      </w:r>
      <w:r w:rsidR="00C37257">
        <w:t xml:space="preserve"> </w:t>
      </w:r>
      <w:bookmarkStart w:id="0" w:name="_Hlk532545070"/>
      <w:r w:rsidR="00C37257" w:rsidRPr="00CC27BE">
        <w:t>(</w:t>
      </w:r>
      <w:r w:rsidR="00CC27BE">
        <w:t>p. 33</w:t>
      </w:r>
      <w:r w:rsidR="00842123">
        <w:t>76</w:t>
      </w:r>
      <w:r w:rsidR="00C37257" w:rsidRPr="00CC27BE">
        <w:t>)</w:t>
      </w:r>
      <w:r w:rsidR="00C101C1" w:rsidRPr="00CC27BE">
        <w:t xml:space="preserve">. </w:t>
      </w:r>
      <w:bookmarkEnd w:id="0"/>
      <w:r w:rsidR="00CA7A82">
        <w:t xml:space="preserve">First, there is a direct tradeoff between wages and fringe benefits for firms. This means that increasing the value of benefits </w:t>
      </w:r>
      <w:r w:rsidR="00922134">
        <w:t xml:space="preserve">provided to employees </w:t>
      </w:r>
      <w:r w:rsidR="00CA7A82">
        <w:t xml:space="preserve">such as health insurance </w:t>
      </w:r>
      <w:r w:rsidR="003011B1">
        <w:t>should</w:t>
      </w:r>
      <w:r w:rsidR="00CA7A82">
        <w:t xml:space="preserve"> lead</w:t>
      </w:r>
      <w:r w:rsidR="00922134">
        <w:t xml:space="preserve"> to decreased wages</w:t>
      </w:r>
      <w:r w:rsidR="003011B1">
        <w:t xml:space="preserve"> through cost shifting. </w:t>
      </w:r>
      <w:r w:rsidR="00B61A3B">
        <w:t xml:space="preserve">Second, the costs of losing health insurance upon changing jobs could lead some to stay in at their current job even when better alternatives are available. </w:t>
      </w:r>
      <w:r w:rsidR="00A521E5">
        <w:t xml:space="preserve">This concept is referred to as “job lock,” and has received a good deal of attention in </w:t>
      </w:r>
      <w:r w:rsidR="00C8486E">
        <w:t>the conversation around</w:t>
      </w:r>
      <w:r w:rsidR="00C958BA">
        <w:t xml:space="preserve"> health insurance in the United States</w:t>
      </w:r>
      <w:r w:rsidR="00A521E5">
        <w:t xml:space="preserve">. </w:t>
      </w:r>
    </w:p>
    <w:p w:rsidR="00E51DD9" w:rsidRPr="00E51DD9" w:rsidRDefault="00560361" w:rsidP="003B3D58">
      <w:pPr>
        <w:spacing w:line="480" w:lineRule="auto"/>
        <w:ind w:firstLine="720"/>
      </w:pPr>
      <w:r>
        <w:t xml:space="preserve">Note that these outlined mechanisms are for employer provided private health insurance, not individually purchased private health insurance. Currie &amp; Madrian do </w:t>
      </w:r>
      <w:r w:rsidR="0094163B">
        <w:t xml:space="preserve">note, however, that health insurance of any kind could have a direct positive effect on labor supply if it increases health, although empirical literature on this is sparse, due to identification issues. However, the authors also explain that health insurance could have an indirect effect on labor supply if increased health changes the tradeoff between leisure and work. This hypothesized effect could go in either direction depending on an individuals’ preferences. </w:t>
      </w:r>
    </w:p>
    <w:p w:rsidR="00764AFC" w:rsidRPr="00764AFC" w:rsidRDefault="00764AFC" w:rsidP="00E92F73">
      <w:pPr>
        <w:pStyle w:val="ListParagraph"/>
        <w:numPr>
          <w:ilvl w:val="0"/>
          <w:numId w:val="4"/>
        </w:numPr>
        <w:spacing w:line="480" w:lineRule="auto"/>
        <w:rPr>
          <w:b/>
          <w:u w:val="single"/>
        </w:rPr>
      </w:pPr>
      <w:r>
        <w:rPr>
          <w:b/>
          <w:u w:val="single"/>
        </w:rPr>
        <w:lastRenderedPageBreak/>
        <w:t>Literature Review</w:t>
      </w:r>
    </w:p>
    <w:p w:rsidR="00F668B9" w:rsidRPr="00F668B9" w:rsidRDefault="00F668B9" w:rsidP="00E92F73">
      <w:pPr>
        <w:spacing w:line="480" w:lineRule="auto"/>
        <w:ind w:firstLine="720"/>
      </w:pPr>
      <w:r>
        <w:t xml:space="preserve">There is a relatively robust empirical research literature on the effects of public health insurance and labor supply in the US. </w:t>
      </w:r>
      <w:r w:rsidR="00E95A82">
        <w:t>A few studies are worth noting.</w:t>
      </w:r>
      <w:r>
        <w:t xml:space="preserve"> Baicker et al. (2013) examine the Oregon health insurance experiment, in which people were randomly assigned to receive Medicaid, and find a small decrease in employment and earnings. </w:t>
      </w:r>
      <w:r w:rsidR="00194EC9">
        <w:t xml:space="preserve">While this estimate is not statistically significant, the experimental nature of the context studied gives me increased confidence in the estimated effect. </w:t>
      </w:r>
      <w:r w:rsidR="00091486">
        <w:t>Garthwaite et al. (2014) study the 2005 TennCare disenrollment, in which about 170,000 people suddenly lost Medicaid coverage, and find a</w:t>
      </w:r>
      <w:r w:rsidR="009F14E3">
        <w:t xml:space="preserve"> statistically significant</w:t>
      </w:r>
      <w:r w:rsidR="00091486">
        <w:t xml:space="preserve"> increase in employment. Note that this result suggests that the presence of Medicaid coverage was </w:t>
      </w:r>
      <w:r w:rsidR="00091486" w:rsidRPr="00091486">
        <w:rPr>
          <w:i/>
        </w:rPr>
        <w:t>reducing</w:t>
      </w:r>
      <w:r w:rsidR="00091486">
        <w:t xml:space="preserve"> employment. </w:t>
      </w:r>
      <w:r w:rsidR="00E95A82">
        <w:t>Finally, Dague et al</w:t>
      </w:r>
      <w:r w:rsidR="0086592B">
        <w:t>. study the 2009 extension of Medicaid to childless adults in Wisconsin, and find a statisti</w:t>
      </w:r>
      <w:r w:rsidR="00F30090">
        <w:t>cally significant decrease in employment.</w:t>
      </w:r>
    </w:p>
    <w:p w:rsidR="003A1A9D" w:rsidRDefault="003746EA" w:rsidP="00E92F73">
      <w:pPr>
        <w:spacing w:line="480" w:lineRule="auto"/>
      </w:pPr>
      <w:r w:rsidRPr="00CA72A7">
        <w:rPr>
          <w:color w:val="FF0000"/>
        </w:rPr>
        <w:tab/>
      </w:r>
      <w:r w:rsidR="00600CA1">
        <w:t>A</w:t>
      </w:r>
      <w:r w:rsidR="00DA38A8">
        <w:t xml:space="preserve"> few papers have looked specifically at the effect of the ACA Medicaid expansion on labor market outcomes</w:t>
      </w:r>
      <w:r w:rsidR="003A1A9D">
        <w:t xml:space="preserve"> using DiD research designs. These papers </w:t>
      </w:r>
      <w:r w:rsidR="009E0D8F">
        <w:t xml:space="preserve">use an indicator variable for the </w:t>
      </w:r>
      <w:r w:rsidR="003A1A9D">
        <w:t xml:space="preserve">Medicaid expansion decision in 2014 as identifying variation </w:t>
      </w:r>
      <w:r w:rsidR="009E0D8F">
        <w:t>and include</w:t>
      </w:r>
      <w:r w:rsidR="003A1A9D">
        <w:t xml:space="preserve"> state &amp; year fixed effects</w:t>
      </w:r>
      <w:r w:rsidR="00DA38A8">
        <w:t xml:space="preserve">. </w:t>
      </w:r>
      <w:r w:rsidR="00321FDE">
        <w:t>Gooptu</w:t>
      </w:r>
      <w:r w:rsidR="00AC715B">
        <w:t xml:space="preserve"> et al. (2016) examine transitions from employed to unemployed, transitions from full-time to part time employment, and job switches using data from </w:t>
      </w:r>
      <w:r w:rsidR="003A1A9D">
        <w:t>the monthly CPS (through 2015)</w:t>
      </w:r>
      <w:r w:rsidR="00AC715B">
        <w:t>, and find no significant effects. Leung &amp; Mas (2016) study employment, hours worked, and wages using ACS data through 2014,</w:t>
      </w:r>
      <w:r w:rsidR="00A2562D">
        <w:t xml:space="preserve"> and</w:t>
      </w:r>
      <w:r w:rsidR="00AC715B">
        <w:t xml:space="preserve"> find no significant effects. </w:t>
      </w:r>
      <w:r w:rsidR="00010E1A">
        <w:t>Kaestner et al. (2017) analyze whether an individual is employed at time of interview, usual number of hours worked per week, whether an individual works more than 30 hours per week (full-time) using data from the ACS through 2014, monthly CPS through 2015, and the March CPS through 2016, and find no significant results</w:t>
      </w:r>
      <w:r w:rsidR="00DB421D">
        <w:t>.</w:t>
      </w:r>
      <w:r w:rsidR="002D3D44">
        <w:t xml:space="preserve"> </w:t>
      </w:r>
      <w:r w:rsidR="00DB421D">
        <w:t>M</w:t>
      </w:r>
      <w:r w:rsidR="002D3D44">
        <w:t>ost estimates were positive</w:t>
      </w:r>
      <w:r w:rsidR="00DB421D">
        <w:t xml:space="preserve">, </w:t>
      </w:r>
      <w:r w:rsidR="00C12AA6">
        <w:t>note the authors</w:t>
      </w:r>
      <w:r w:rsidR="00010E1A">
        <w:t xml:space="preserve">. </w:t>
      </w:r>
    </w:p>
    <w:p w:rsidR="003746EA" w:rsidRPr="000D3057" w:rsidRDefault="00600CA1" w:rsidP="00E92F73">
      <w:pPr>
        <w:spacing w:line="480" w:lineRule="auto"/>
        <w:ind w:firstLine="720"/>
      </w:pPr>
      <w:r>
        <w:lastRenderedPageBreak/>
        <w:t xml:space="preserve">Additionally, two recent papers have studied the Medicaid expansion and labor supply with different research designs. </w:t>
      </w:r>
      <w:r w:rsidR="00010E1A">
        <w:t xml:space="preserve">Peng et al. (2018) </w:t>
      </w:r>
      <w:r>
        <w:t>examine</w:t>
      </w:r>
      <w:r w:rsidR="00010E1A">
        <w:t xml:space="preserve"> employment and wages </w:t>
      </w:r>
      <w:r w:rsidR="00716509">
        <w:t>using a unique research design with data from the Quarterly Census of employment and wages. Peng and coauthors compare</w:t>
      </w:r>
      <w:r w:rsidR="008E5FE4">
        <w:t xml:space="preserve"> bordering county-pairs from expansion and non-expansion states</w:t>
      </w:r>
      <w:r w:rsidR="00DF3395">
        <w:t>, make heavy use of fixed effects (county, year, county-pair, county-pair-by-year) and find “</w:t>
      </w:r>
      <w:r w:rsidR="00DF3395" w:rsidRPr="00DF3395">
        <w:t>a small but statistically significant</w:t>
      </w:r>
      <w:r w:rsidR="00DF3395">
        <w:t xml:space="preserve"> </w:t>
      </w:r>
      <w:r w:rsidR="00DF3395" w:rsidRPr="00DF3395">
        <w:t>decrease in employment of 1.3 percent one year after the Medicaid expansion.</w:t>
      </w:r>
      <w:r w:rsidR="00C37087">
        <w:t>”</w:t>
      </w:r>
      <w:r w:rsidR="00DF3395" w:rsidRPr="00DF3395">
        <w:t xml:space="preserve"> </w:t>
      </w:r>
      <w:r w:rsidR="00C37087">
        <w:t>The authors note that this effect dissipates with</w:t>
      </w:r>
      <w:r w:rsidR="007C7140">
        <w:t>in</w:t>
      </w:r>
      <w:r w:rsidR="00C37087">
        <w:t xml:space="preserve"> two years, and they do not find any significant effects on wages</w:t>
      </w:r>
      <w:r w:rsidR="00182467">
        <w:t>, “at any point.”</w:t>
      </w:r>
      <w:r w:rsidR="00C12AA6">
        <w:t xml:space="preserve"> Duggan et </w:t>
      </w:r>
      <w:r w:rsidR="006D104D">
        <w:t>al. (</w:t>
      </w:r>
      <w:r w:rsidR="00A7268C">
        <w:t>2017</w:t>
      </w:r>
      <w:r w:rsidR="006D104D">
        <w:t>)</w:t>
      </w:r>
      <w:r w:rsidR="00A7268C">
        <w:t xml:space="preserve"> examine </w:t>
      </w:r>
      <w:r w:rsidR="00085236">
        <w:t xml:space="preserve">the ACA and labor supply </w:t>
      </w:r>
      <w:r w:rsidR="00A7268C">
        <w:t>us</w:t>
      </w:r>
      <w:r w:rsidR="00EB5EF7">
        <w:t>ing</w:t>
      </w:r>
      <w:r w:rsidR="00A7268C">
        <w:t xml:space="preserve"> a </w:t>
      </w:r>
      <w:r w:rsidR="003F4287">
        <w:t xml:space="preserve">methodology similar to the </w:t>
      </w:r>
      <w:r w:rsidR="00A7268C">
        <w:t>triple-difference</w:t>
      </w:r>
      <w:r w:rsidR="00085236">
        <w:t>/dose response</w:t>
      </w:r>
      <w:r w:rsidR="003F4287">
        <w:t xml:space="preserve"> specification of Courtemanche et al. (2017)</w:t>
      </w:r>
      <w:r w:rsidR="00085236">
        <w:t xml:space="preserve">. </w:t>
      </w:r>
      <w:r w:rsidR="003F4287">
        <w:t xml:space="preserve">However, rather than utilizing pre-reform uninsured rates as the dose response variable, as </w:t>
      </w:r>
      <w:r w:rsidR="001119E4">
        <w:t xml:space="preserve">in Courtemanche et al. (2017) and other ACA literature, Duggan and coauthors define their own dose response variables (two) based on pre-reform uninsured rates of particular income groups. They then estimate two specifications similar to DiD/dose response and DiDiD/dose response, but utilizing both dose response variables in the same equation. </w:t>
      </w:r>
      <w:r w:rsidR="005057E0">
        <w:t xml:space="preserve">The authors find a modest decrease in labor force participation, although the magnitude seems difficult to interpret given their specification. </w:t>
      </w:r>
    </w:p>
    <w:p w:rsidR="00CA72A7" w:rsidRDefault="00CA72A7" w:rsidP="00E92F73">
      <w:pPr>
        <w:spacing w:line="480" w:lineRule="auto"/>
      </w:pPr>
    </w:p>
    <w:p w:rsidR="005A738C" w:rsidRPr="007E0CC0" w:rsidRDefault="00CA72A7" w:rsidP="00E92F73">
      <w:pPr>
        <w:pStyle w:val="ListParagraph"/>
        <w:numPr>
          <w:ilvl w:val="0"/>
          <w:numId w:val="4"/>
        </w:numPr>
        <w:spacing w:line="480" w:lineRule="auto"/>
        <w:rPr>
          <w:b/>
          <w:u w:val="single"/>
        </w:rPr>
      </w:pPr>
      <w:r w:rsidRPr="007E0CC0">
        <w:rPr>
          <w:b/>
          <w:u w:val="single"/>
        </w:rPr>
        <w:t>Data</w:t>
      </w:r>
    </w:p>
    <w:p w:rsidR="00750957" w:rsidRDefault="00676663" w:rsidP="00E92F73">
      <w:pPr>
        <w:spacing w:line="480" w:lineRule="auto"/>
        <w:ind w:firstLine="720"/>
      </w:pPr>
      <w:r>
        <w:t>T</w:t>
      </w:r>
      <w:r w:rsidR="00625D19">
        <w:t xml:space="preserve">his paper </w:t>
      </w:r>
      <w:r w:rsidR="00D54077">
        <w:t xml:space="preserve">makes use of two data sources: </w:t>
      </w:r>
      <w:r w:rsidR="00625D19">
        <w:t xml:space="preserve">the American Community Survey </w:t>
      </w:r>
      <w:r w:rsidR="00D54077">
        <w:t>or ACS (2011-2016)</w:t>
      </w:r>
      <w:r w:rsidR="00625D19">
        <w:t xml:space="preserve">, </w:t>
      </w:r>
      <w:r w:rsidR="00D54077">
        <w:t xml:space="preserve">and the Kaiser Family Foundation. </w:t>
      </w:r>
      <w:r w:rsidR="005E443B">
        <w:t xml:space="preserve">The ACS is </w:t>
      </w:r>
      <w:r w:rsidR="00D7420C">
        <w:t xml:space="preserve">a </w:t>
      </w:r>
      <w:r w:rsidR="005E443B">
        <w:t>large-sample (~3.5 million) household survey which is conducted throughout the year and released annually</w:t>
      </w:r>
      <w:r w:rsidR="008F3A04">
        <w:t xml:space="preserve"> by the U.S. Census Bureau</w:t>
      </w:r>
      <w:r w:rsidR="005E443B">
        <w:t xml:space="preserve">. The Kaiser Family Foundation is an American non-profit organization focused </w:t>
      </w:r>
      <w:r w:rsidR="005E443B">
        <w:lastRenderedPageBreak/>
        <w:t xml:space="preserve">on </w:t>
      </w:r>
      <w:r w:rsidR="00BD2321">
        <w:t xml:space="preserve">healthcare, </w:t>
      </w:r>
      <w:r w:rsidR="00470A4E">
        <w:t xml:space="preserve">and more </w:t>
      </w:r>
      <w:r w:rsidR="00BD2321">
        <w:t>specifically, providing policy analysis, research, news and information</w:t>
      </w:r>
      <w:r w:rsidR="004F6CE3">
        <w:t xml:space="preserve"> related to healthcare</w:t>
      </w:r>
      <w:r w:rsidR="00BD2321">
        <w:t>.</w:t>
      </w:r>
      <w:r w:rsidR="009161B2">
        <w:t xml:space="preserve"> </w:t>
      </w:r>
    </w:p>
    <w:p w:rsidR="00060138" w:rsidRDefault="00FA4ABE" w:rsidP="00E92F73">
      <w:pPr>
        <w:spacing w:line="480" w:lineRule="auto"/>
        <w:ind w:firstLine="720"/>
      </w:pPr>
      <w:r>
        <w:t>I utilize the ACS for labor market outcomes (</w:t>
      </w:r>
      <w:r w:rsidR="00C5641A">
        <w:t xml:space="preserve">my </w:t>
      </w:r>
      <w:r>
        <w:t xml:space="preserve">dependent variables), demographic controls, and pre-expansion uninsured rates (the treatment dose/intensity variable for the DiDiD model). Data on whether a state expanded Medicaid </w:t>
      </w:r>
      <w:r w:rsidR="00FA0804">
        <w:t xml:space="preserve">in 2014 </w:t>
      </w:r>
      <w:r>
        <w:t>comes from the Kaiser Family Foundation. For my primary analysis, I have limited my sample to adults age</w:t>
      </w:r>
      <w:r w:rsidR="00D96630">
        <w:t>d</w:t>
      </w:r>
      <w:r>
        <w:t xml:space="preserve"> 25-55 (prime working ages), in order to limit </w:t>
      </w:r>
      <w:r w:rsidR="00C5641A">
        <w:t>adult</w:t>
      </w:r>
      <w:r w:rsidR="00824623">
        <w:t xml:space="preserve"> </w:t>
      </w:r>
      <w:r>
        <w:t xml:space="preserve">students and early retirees in the sample. Notably, my primary sample is not selected based on characteristics like income </w:t>
      </w:r>
      <w:r w:rsidR="00F8172A">
        <w:t>or</w:t>
      </w:r>
      <w:r>
        <w:t xml:space="preserve"> ed</w:t>
      </w:r>
      <w:r w:rsidRPr="00F8172A">
        <w:t xml:space="preserve">ucation, as </w:t>
      </w:r>
      <w:r w:rsidR="00033174" w:rsidRPr="00F8172A">
        <w:t>is common in the literature</w:t>
      </w:r>
      <w:r w:rsidRPr="00F8172A">
        <w:t xml:space="preserve">, </w:t>
      </w:r>
      <w:r w:rsidR="00F8172A" w:rsidRPr="00F8172A">
        <w:t>although I do estimate heterogeneous effects by education</w:t>
      </w:r>
      <w:r w:rsidRPr="00164B2C">
        <w:rPr>
          <w:color w:val="FF0000"/>
        </w:rPr>
        <w:t xml:space="preserve">. </w:t>
      </w:r>
    </w:p>
    <w:p w:rsidR="00E6703C" w:rsidRDefault="00D67313" w:rsidP="00E92F73">
      <w:pPr>
        <w:spacing w:line="480" w:lineRule="auto"/>
        <w:ind w:firstLine="720"/>
      </w:pPr>
      <w:r w:rsidRPr="00D67313">
        <w:t xml:space="preserve">The </w:t>
      </w:r>
      <w:r>
        <w:t>Kaiser Family Foundation</w:t>
      </w:r>
      <w:r w:rsidRPr="00D67313">
        <w:t>, on their website, identif</w:t>
      </w:r>
      <w:r>
        <w:t>y</w:t>
      </w:r>
      <w:r w:rsidRPr="00D67313">
        <w:t xml:space="preserve"> </w:t>
      </w:r>
      <w:r w:rsidR="00642645">
        <w:t>several</w:t>
      </w:r>
      <w:r w:rsidRPr="00D67313">
        <w:t xml:space="preserve"> states which expanded their Medicaid programs after January</w:t>
      </w:r>
      <w:r w:rsidR="00BB1A9E">
        <w:t>,</w:t>
      </w:r>
      <w:r w:rsidRPr="00D67313">
        <w:t xml:space="preserve"> 2014: Michigan, New Hampshire, Pennsylvania, Indiana, Alaska, Montana, Louisiana</w:t>
      </w:r>
      <w:r w:rsidR="00642645">
        <w:t>, Maine, and Virginia</w:t>
      </w:r>
      <w:r w:rsidR="001A172B">
        <w:t xml:space="preserve"> </w:t>
      </w:r>
      <w:r w:rsidR="001A172B" w:rsidRPr="00E45670">
        <w:t>(</w:t>
      </w:r>
      <w:r w:rsidR="00E45670" w:rsidRPr="003C4529">
        <w:t>Kaiser Family Foundation</w:t>
      </w:r>
      <w:r w:rsidR="00E45670">
        <w:t>, 2018</w:t>
      </w:r>
      <w:r w:rsidR="001A172B" w:rsidRPr="00E45670">
        <w:t>)</w:t>
      </w:r>
      <w:r w:rsidRPr="00E45670">
        <w:t xml:space="preserve">. </w:t>
      </w:r>
      <w:r w:rsidRPr="00D67313">
        <w:t>Additionally, Kaestner et al. (2017) identify four states</w:t>
      </w:r>
      <w:r w:rsidR="00642645">
        <w:t xml:space="preserve"> (and Washington, D.C.)</w:t>
      </w:r>
      <w:r w:rsidRPr="00D67313">
        <w:t xml:space="preserve"> as having comprehensive Medicaid expansions prior to 2014: Delaware, Massachusetts, New York, and Vermont. These “late expanding” and “early expanding” states </w:t>
      </w:r>
      <w:r w:rsidR="002B4589">
        <w:t xml:space="preserve">(including DC) </w:t>
      </w:r>
      <w:r w:rsidR="00EB5917">
        <w:t>are</w:t>
      </w:r>
      <w:r w:rsidRPr="00D67313">
        <w:t xml:space="preserve"> dropped from </w:t>
      </w:r>
      <w:r w:rsidR="00EB5917">
        <w:t>the</w:t>
      </w:r>
      <w:r w:rsidRPr="00D67313">
        <w:t xml:space="preserve"> sample for my main analysis.</w:t>
      </w:r>
    </w:p>
    <w:p w:rsidR="00882462" w:rsidRDefault="00693CE9" w:rsidP="00E92F73">
      <w:pPr>
        <w:spacing w:line="480" w:lineRule="auto"/>
        <w:ind w:firstLine="720"/>
      </w:pPr>
      <w:r>
        <w:t>As mentioned, I utilize</w:t>
      </w:r>
      <w:r w:rsidR="00E24F7A">
        <w:t xml:space="preserve"> sub-state </w:t>
      </w:r>
      <w:r w:rsidR="0058256A">
        <w:t xml:space="preserve">geographic </w:t>
      </w:r>
      <w:r w:rsidR="00E24F7A">
        <w:t xml:space="preserve">variation in pre-reform (2013) uninsured rates to provide additional statistical power over the standard </w:t>
      </w:r>
      <w:r w:rsidR="00ED0E20">
        <w:t xml:space="preserve">Medicaid </w:t>
      </w:r>
      <w:r w:rsidR="00E24F7A">
        <w:t xml:space="preserve">DiD specifications. </w:t>
      </w:r>
      <w:r w:rsidR="0058256A">
        <w:t xml:space="preserve">Unfortunately, the ACS does not contain data from all counties, only large ones, so county level uninsured rates are not feasible to use. </w:t>
      </w:r>
      <w:r w:rsidR="00E24F7A">
        <w:t xml:space="preserve">The </w:t>
      </w:r>
      <w:r w:rsidR="0058256A">
        <w:t xml:space="preserve">next </w:t>
      </w:r>
      <w:r w:rsidR="00E24F7A">
        <w:t>smallest geographical unit present in the ACS is the Public Use Microdata Area or PUMA</w:t>
      </w:r>
      <w:r w:rsidR="0058256A">
        <w:t xml:space="preserve">, a sub-state geographic unit used by the </w:t>
      </w:r>
      <w:r w:rsidR="00840D1A">
        <w:t>U.S. Census Bureau for providing demographic/statistical information. Fortunately, there is a complete set of PUMAs present in the ACS.</w:t>
      </w:r>
      <w:r w:rsidR="0058256A">
        <w:t xml:space="preserve"> </w:t>
      </w:r>
    </w:p>
    <w:p w:rsidR="00BD3BFE" w:rsidRDefault="00BB7F91" w:rsidP="00E92F73">
      <w:pPr>
        <w:spacing w:line="480" w:lineRule="auto"/>
        <w:ind w:firstLine="720"/>
      </w:pPr>
      <w:r>
        <w:lastRenderedPageBreak/>
        <w:t xml:space="preserve">However, the definitions of PUMAs change every ten years after the </w:t>
      </w:r>
      <w:r w:rsidR="00FF296E">
        <w:t>C</w:t>
      </w:r>
      <w:r>
        <w:t>ensus. In order to facilitate intertemporal analysis, the ACS also provides a “</w:t>
      </w:r>
      <w:r w:rsidR="00FF296E">
        <w:t xml:space="preserve">2000/2010 </w:t>
      </w:r>
      <w:r>
        <w:t xml:space="preserve">constant PUMA” </w:t>
      </w:r>
      <w:r w:rsidR="00A65235">
        <w:t xml:space="preserve">variable </w:t>
      </w:r>
      <w:r w:rsidR="00882BED">
        <w:t>which combines</w:t>
      </w:r>
      <w:r>
        <w:t xml:space="preserve"> 2000 </w:t>
      </w:r>
      <w:r w:rsidR="00FF296E">
        <w:t>C</w:t>
      </w:r>
      <w:r w:rsidR="00882BED">
        <w:t xml:space="preserve">ensus PUMAs </w:t>
      </w:r>
      <w:r>
        <w:t xml:space="preserve">and 2010 </w:t>
      </w:r>
      <w:r w:rsidR="00FF296E">
        <w:t>C</w:t>
      </w:r>
      <w:r w:rsidR="00882BED">
        <w:t xml:space="preserve">ensus </w:t>
      </w:r>
      <w:r>
        <w:t>PUMA</w:t>
      </w:r>
      <w:r w:rsidR="00882BED">
        <w:t>s</w:t>
      </w:r>
      <w:r>
        <w:t xml:space="preserve"> into one normalized variable. </w:t>
      </w:r>
      <w:r w:rsidR="00FF296E">
        <w:t xml:space="preserve">Due to the fact that the 2010 Census PUMAs were not adopted until 2012, and that I add 2009 &amp; 2010 ACS data for a robustness check, I make use of the constant PUMA variable for my analysis. </w:t>
      </w:r>
      <w:r w:rsidR="0058256A">
        <w:t>I therefore use pre-</w:t>
      </w:r>
      <w:r w:rsidR="00FF296E">
        <w:t>expansion</w:t>
      </w:r>
      <w:r w:rsidR="0058256A">
        <w:t xml:space="preserve"> uninsured rates by </w:t>
      </w:r>
      <w:r>
        <w:t xml:space="preserve">constant </w:t>
      </w:r>
      <w:r w:rsidR="0058256A">
        <w:t xml:space="preserve">PUMA </w:t>
      </w:r>
      <w:r w:rsidR="00840D1A">
        <w:t xml:space="preserve">as my dose response variable. </w:t>
      </w:r>
      <w:r w:rsidR="00752371">
        <w:t xml:space="preserve">These rates were created </w:t>
      </w:r>
      <w:r w:rsidR="001D001D">
        <w:t>using</w:t>
      </w:r>
      <w:r w:rsidR="00752371">
        <w:t xml:space="preserve"> the indicator variable for any health coverage</w:t>
      </w:r>
      <w:r w:rsidR="001D001D">
        <w:t xml:space="preserve"> in the 2013 ACS data. </w:t>
      </w:r>
      <w:r w:rsidR="00D37546">
        <w:t>Note that h</w:t>
      </w:r>
      <w:r>
        <w:t xml:space="preserve">enceforth I </w:t>
      </w:r>
      <w:r w:rsidR="00D37546">
        <w:t xml:space="preserve">will </w:t>
      </w:r>
      <w:r>
        <w:t xml:space="preserve">refer to </w:t>
      </w:r>
      <w:r w:rsidR="00D37546">
        <w:t>constant PUMAs, simply as PUMAs.</w:t>
      </w:r>
    </w:p>
    <w:p w:rsidR="002259CF" w:rsidRDefault="00CD54D7" w:rsidP="00E92F73">
      <w:pPr>
        <w:spacing w:line="480" w:lineRule="auto"/>
        <w:ind w:firstLine="720"/>
      </w:pPr>
      <w:r>
        <w:t xml:space="preserve">Summary statistics of the variables used in the analysis are presented in Table 1. </w:t>
      </w:r>
      <w:r w:rsidR="0073072A">
        <w:t>While Employed, Labor Force Participation, and Employed were native in the ACS, Hourly Wage had to be created by dividing Wage Income by Usual Hours Worked times 52 weeks per year.</w:t>
      </w:r>
      <w:r w:rsidR="00856BE9">
        <w:t xml:space="preserve"> </w:t>
      </w:r>
      <w:r w:rsidR="0073072A">
        <w:t xml:space="preserve">Additionally, outliers in wage have been dropped (wage &lt; $1 or wage &gt; $1000). </w:t>
      </w:r>
      <w:r w:rsidR="005B4B26">
        <w:t xml:space="preserve">It is important to note that I use the natural log of hourly wage in my analysis as levels are difficult to interpret. </w:t>
      </w:r>
    </w:p>
    <w:p w:rsidR="00B85096" w:rsidRDefault="0073072A" w:rsidP="00B86E95">
      <w:pPr>
        <w:spacing w:line="480" w:lineRule="auto"/>
        <w:ind w:firstLine="720"/>
      </w:pPr>
      <w:r>
        <w:t xml:space="preserve">Note that the sample size on Employed, Usual Hours Worked, and Wages are lower than the overall sample size of </w:t>
      </w:r>
      <w:r w:rsidRPr="0073072A">
        <w:t>5</w:t>
      </w:r>
      <w:r>
        <w:t>,</w:t>
      </w:r>
      <w:r w:rsidRPr="0073072A">
        <w:t>597</w:t>
      </w:r>
      <w:r>
        <w:t>,</w:t>
      </w:r>
      <w:r w:rsidRPr="0073072A">
        <w:t>891</w:t>
      </w:r>
      <w:r>
        <w:t xml:space="preserve"> due to the fact that some people are not in the labor force or are unemployed, </w:t>
      </w:r>
      <w:r w:rsidR="00D266D1">
        <w:t>and therefore have missing values for some or all three of these variables</w:t>
      </w:r>
      <w:r w:rsidR="005269AF">
        <w:t xml:space="preserve">. </w:t>
      </w:r>
      <w:r w:rsidR="008A65FD">
        <w:t>Additionally, coding individuals who are unemployed or not in the labor force as missing for wages allows me to examine log wages without dropping anyone from my sample</w:t>
      </w:r>
      <w:r w:rsidR="005269AF">
        <w:t>.</w:t>
      </w:r>
      <w:r w:rsidR="0052392A">
        <w:t xml:space="preserve"> Note that both employment and labor force participation are very high</w:t>
      </w:r>
      <w:r w:rsidR="00BC3C36">
        <w:t xml:space="preserve"> in my sample</w:t>
      </w:r>
      <w:r w:rsidR="0052392A">
        <w:t xml:space="preserve"> due to the fact that the sample has been limited to</w:t>
      </w:r>
      <w:r w:rsidR="00784197">
        <w:t xml:space="preserve"> the primary working age population,</w:t>
      </w:r>
      <w:r w:rsidR="0052392A">
        <w:t xml:space="preserve"> individuals aged 25-55. </w:t>
      </w:r>
      <w:r w:rsidR="006A0C55">
        <w:t>Furthermore, I created age</w:t>
      </w:r>
      <w:r w:rsidR="00605206">
        <w:t xml:space="preserve"> dummy variables, </w:t>
      </w:r>
      <w:r w:rsidR="0052392A">
        <w:t>ages 25-35, ages 35-45, and ages 45-55</w:t>
      </w:r>
      <w:r w:rsidR="00605206">
        <w:t xml:space="preserve"> for use as controls and for heterogeneous effects</w:t>
      </w:r>
      <w:r w:rsidR="0052392A">
        <w:t>.</w:t>
      </w:r>
      <w:r w:rsidR="00CF1A5D">
        <w:t xml:space="preserve"> </w:t>
      </w:r>
      <w:r w:rsidR="00B85096">
        <w:t xml:space="preserve">For ease of </w:t>
      </w:r>
      <w:r w:rsidR="0081247A">
        <w:t>computation</w:t>
      </w:r>
      <w:r w:rsidR="00B85096">
        <w:t xml:space="preserve">, I use </w:t>
      </w:r>
      <w:r w:rsidR="006549BB">
        <w:t xml:space="preserve">aggregate </w:t>
      </w:r>
      <w:r w:rsidR="00B85096">
        <w:t>data in this analysis.</w:t>
      </w:r>
      <w:r w:rsidR="006549BB">
        <w:t xml:space="preserve"> </w:t>
      </w:r>
      <w:r w:rsidR="00B42048">
        <w:t xml:space="preserve">Sample sizes are a bit all over the place due to the fact that my heterogeneity and </w:t>
      </w:r>
      <w:r w:rsidR="00B42048">
        <w:lastRenderedPageBreak/>
        <w:t>robustness analysis required that t</w:t>
      </w:r>
      <w:r w:rsidR="006549BB">
        <w:t xml:space="preserve">he </w:t>
      </w:r>
      <w:r w:rsidR="00B42048">
        <w:t xml:space="preserve">dataset </w:t>
      </w:r>
      <w:r w:rsidR="00BF6452">
        <w:t>be</w:t>
      </w:r>
      <w:r w:rsidR="00B42048">
        <w:t xml:space="preserve"> collapsed </w:t>
      </w:r>
      <w:r w:rsidR="005A3DD8">
        <w:t>by</w:t>
      </w:r>
      <w:r w:rsidR="00B42048">
        <w:t xml:space="preserve"> some of the </w:t>
      </w:r>
      <w:r w:rsidR="00BC0A5C">
        <w:t xml:space="preserve">demographic </w:t>
      </w:r>
      <w:r w:rsidR="00B42048">
        <w:t>controls as well</w:t>
      </w:r>
      <w:r w:rsidR="00804AD9">
        <w:t xml:space="preserve"> as by PUMA, state, and year</w:t>
      </w:r>
      <w:r w:rsidR="00B42048">
        <w:t>.</w:t>
      </w:r>
    </w:p>
    <w:p w:rsidR="007C6FD8" w:rsidRPr="00F17683" w:rsidRDefault="007C6FD8" w:rsidP="00B86E95">
      <w:pPr>
        <w:spacing w:line="480" w:lineRule="auto"/>
        <w:ind w:firstLine="720"/>
      </w:pPr>
    </w:p>
    <w:tbl>
      <w:tblPr>
        <w:tblW w:w="8841" w:type="dxa"/>
        <w:tblLook w:val="04A0" w:firstRow="1" w:lastRow="0" w:firstColumn="1" w:lastColumn="0" w:noHBand="0" w:noVBand="1"/>
      </w:tblPr>
      <w:tblGrid>
        <w:gridCol w:w="4159"/>
        <w:gridCol w:w="1395"/>
        <w:gridCol w:w="856"/>
        <w:gridCol w:w="1126"/>
        <w:gridCol w:w="1305"/>
      </w:tblGrid>
      <w:tr w:rsidR="00CD54D7" w:rsidRPr="00CD54D7" w:rsidTr="00CD54D7">
        <w:trPr>
          <w:trHeight w:val="290"/>
        </w:trPr>
        <w:tc>
          <w:tcPr>
            <w:tcW w:w="8841" w:type="dxa"/>
            <w:gridSpan w:val="5"/>
            <w:tcBorders>
              <w:top w:val="nil"/>
              <w:left w:val="nil"/>
              <w:bottom w:val="single" w:sz="4" w:space="0" w:color="auto"/>
              <w:right w:val="nil"/>
            </w:tcBorders>
            <w:shd w:val="clear" w:color="auto" w:fill="auto"/>
            <w:noWrap/>
            <w:vAlign w:val="bottom"/>
            <w:hideMark/>
          </w:tcPr>
          <w:p w:rsidR="00CD54D7" w:rsidRPr="00CD54D7" w:rsidRDefault="00CD54D7" w:rsidP="00CD54D7">
            <w:pPr>
              <w:jc w:val="center"/>
              <w:rPr>
                <w:rFonts w:ascii="Calibri" w:hAnsi="Calibri" w:cs="Calibri"/>
                <w:b/>
                <w:bCs/>
                <w:color w:val="000000"/>
              </w:rPr>
            </w:pPr>
            <w:r w:rsidRPr="00CD54D7">
              <w:rPr>
                <w:rFonts w:ascii="Calibri" w:hAnsi="Calibri" w:cs="Calibri"/>
                <w:b/>
                <w:bCs/>
                <w:color w:val="000000"/>
              </w:rPr>
              <w:t>Table 1: Individual Level Summary Statistics</w:t>
            </w:r>
          </w:p>
        </w:tc>
      </w:tr>
      <w:tr w:rsidR="00CD54D7" w:rsidRPr="00CD54D7" w:rsidTr="00CD54D7">
        <w:trPr>
          <w:trHeight w:val="290"/>
        </w:trPr>
        <w:tc>
          <w:tcPr>
            <w:tcW w:w="4159" w:type="dxa"/>
            <w:tcBorders>
              <w:top w:val="single" w:sz="4" w:space="0" w:color="auto"/>
              <w:left w:val="nil"/>
              <w:bottom w:val="nil"/>
              <w:right w:val="nil"/>
            </w:tcBorders>
            <w:shd w:val="clear" w:color="auto" w:fill="auto"/>
            <w:noWrap/>
            <w:vAlign w:val="bottom"/>
            <w:hideMark/>
          </w:tcPr>
          <w:p w:rsidR="00CD54D7" w:rsidRPr="00CD54D7" w:rsidRDefault="00CD54D7" w:rsidP="00CD54D7">
            <w:pPr>
              <w:jc w:val="center"/>
              <w:rPr>
                <w:rFonts w:ascii="Calibri" w:hAnsi="Calibri" w:cs="Calibri"/>
                <w:color w:val="000000"/>
              </w:rPr>
            </w:pPr>
          </w:p>
        </w:tc>
        <w:tc>
          <w:tcPr>
            <w:tcW w:w="1395" w:type="dxa"/>
            <w:tcBorders>
              <w:top w:val="single" w:sz="4" w:space="0" w:color="auto"/>
              <w:left w:val="nil"/>
              <w:bottom w:val="nil"/>
              <w:right w:val="nil"/>
            </w:tcBorders>
            <w:shd w:val="clear" w:color="auto" w:fill="auto"/>
            <w:noWrap/>
            <w:vAlign w:val="bottom"/>
            <w:hideMark/>
          </w:tcPr>
          <w:p w:rsidR="00CD54D7" w:rsidRPr="00CD54D7" w:rsidRDefault="00CD54D7" w:rsidP="00CD54D7">
            <w:pPr>
              <w:jc w:val="center"/>
              <w:rPr>
                <w:rFonts w:ascii="Calibri" w:hAnsi="Calibri" w:cs="Calibri"/>
                <w:color w:val="000000"/>
              </w:rPr>
            </w:pPr>
            <w:r w:rsidRPr="00CD54D7">
              <w:rPr>
                <w:rFonts w:ascii="Calibri" w:hAnsi="Calibri" w:cs="Calibri"/>
                <w:color w:val="000000"/>
              </w:rPr>
              <w:t>Mean</w:t>
            </w:r>
          </w:p>
        </w:tc>
        <w:tc>
          <w:tcPr>
            <w:tcW w:w="856" w:type="dxa"/>
            <w:tcBorders>
              <w:top w:val="single" w:sz="4" w:space="0" w:color="auto"/>
              <w:left w:val="nil"/>
              <w:bottom w:val="nil"/>
              <w:right w:val="nil"/>
            </w:tcBorders>
            <w:shd w:val="clear" w:color="auto" w:fill="auto"/>
            <w:noWrap/>
            <w:vAlign w:val="bottom"/>
            <w:hideMark/>
          </w:tcPr>
          <w:p w:rsidR="00CD54D7" w:rsidRPr="00CD54D7" w:rsidRDefault="00CD54D7" w:rsidP="00CD54D7">
            <w:pPr>
              <w:jc w:val="center"/>
              <w:rPr>
                <w:rFonts w:ascii="Calibri" w:hAnsi="Calibri" w:cs="Calibri"/>
                <w:color w:val="000000"/>
              </w:rPr>
            </w:pPr>
            <w:r w:rsidRPr="00CD54D7">
              <w:rPr>
                <w:rFonts w:ascii="Calibri" w:hAnsi="Calibri" w:cs="Calibri"/>
                <w:color w:val="000000"/>
              </w:rPr>
              <w:t>Min</w:t>
            </w:r>
          </w:p>
        </w:tc>
        <w:tc>
          <w:tcPr>
            <w:tcW w:w="1126" w:type="dxa"/>
            <w:tcBorders>
              <w:top w:val="single" w:sz="4" w:space="0" w:color="auto"/>
              <w:left w:val="nil"/>
              <w:bottom w:val="nil"/>
              <w:right w:val="nil"/>
            </w:tcBorders>
            <w:shd w:val="clear" w:color="auto" w:fill="auto"/>
            <w:noWrap/>
            <w:vAlign w:val="bottom"/>
            <w:hideMark/>
          </w:tcPr>
          <w:p w:rsidR="00CD54D7" w:rsidRPr="00CD54D7" w:rsidRDefault="00CD54D7" w:rsidP="00CD54D7">
            <w:pPr>
              <w:jc w:val="center"/>
              <w:rPr>
                <w:rFonts w:ascii="Calibri" w:hAnsi="Calibri" w:cs="Calibri"/>
                <w:color w:val="000000"/>
              </w:rPr>
            </w:pPr>
            <w:r w:rsidRPr="00CD54D7">
              <w:rPr>
                <w:rFonts w:ascii="Calibri" w:hAnsi="Calibri" w:cs="Calibri"/>
                <w:color w:val="000000"/>
              </w:rPr>
              <w:t>Max</w:t>
            </w:r>
          </w:p>
        </w:tc>
        <w:tc>
          <w:tcPr>
            <w:tcW w:w="1305" w:type="dxa"/>
            <w:tcBorders>
              <w:top w:val="single" w:sz="4" w:space="0" w:color="auto"/>
              <w:left w:val="nil"/>
              <w:bottom w:val="nil"/>
              <w:right w:val="nil"/>
            </w:tcBorders>
            <w:shd w:val="clear" w:color="auto" w:fill="auto"/>
            <w:noWrap/>
            <w:vAlign w:val="bottom"/>
            <w:hideMark/>
          </w:tcPr>
          <w:p w:rsidR="00CD54D7" w:rsidRPr="00CD54D7" w:rsidRDefault="00CD54D7" w:rsidP="00CD54D7">
            <w:pPr>
              <w:jc w:val="center"/>
              <w:rPr>
                <w:rFonts w:ascii="Calibri" w:hAnsi="Calibri" w:cs="Calibri"/>
                <w:color w:val="000000"/>
              </w:rPr>
            </w:pPr>
            <w:r w:rsidRPr="00CD54D7">
              <w:rPr>
                <w:rFonts w:ascii="Calibri" w:hAnsi="Calibri" w:cs="Calibri"/>
                <w:color w:val="000000"/>
              </w:rPr>
              <w:t>N</w:t>
            </w:r>
          </w:p>
        </w:tc>
      </w:tr>
      <w:tr w:rsidR="00CD54D7" w:rsidRPr="00CD54D7" w:rsidTr="00CD54D7">
        <w:trPr>
          <w:trHeight w:val="290"/>
        </w:trPr>
        <w:tc>
          <w:tcPr>
            <w:tcW w:w="4159" w:type="dxa"/>
            <w:tcBorders>
              <w:top w:val="nil"/>
              <w:left w:val="nil"/>
              <w:bottom w:val="nil"/>
              <w:right w:val="nil"/>
            </w:tcBorders>
            <w:shd w:val="clear" w:color="auto" w:fill="auto"/>
            <w:noWrap/>
            <w:vAlign w:val="bottom"/>
            <w:hideMark/>
          </w:tcPr>
          <w:p w:rsidR="00CD54D7" w:rsidRPr="00CD54D7" w:rsidRDefault="00CD54D7" w:rsidP="009E52AB">
            <w:pPr>
              <w:jc w:val="center"/>
              <w:rPr>
                <w:rFonts w:ascii="Calibri" w:hAnsi="Calibri" w:cs="Calibri"/>
                <w:b/>
                <w:bCs/>
                <w:color w:val="000000"/>
                <w:u w:val="single"/>
              </w:rPr>
            </w:pPr>
            <w:r w:rsidRPr="00CD54D7">
              <w:rPr>
                <w:rFonts w:ascii="Calibri" w:hAnsi="Calibri" w:cs="Calibri"/>
                <w:b/>
                <w:bCs/>
                <w:color w:val="000000"/>
                <w:u w:val="single"/>
              </w:rPr>
              <w:t>Outcomes</w:t>
            </w:r>
          </w:p>
        </w:tc>
        <w:tc>
          <w:tcPr>
            <w:tcW w:w="1395" w:type="dxa"/>
            <w:tcBorders>
              <w:top w:val="nil"/>
              <w:left w:val="nil"/>
              <w:bottom w:val="nil"/>
              <w:right w:val="nil"/>
            </w:tcBorders>
            <w:shd w:val="clear" w:color="auto" w:fill="auto"/>
            <w:noWrap/>
            <w:vAlign w:val="bottom"/>
            <w:hideMark/>
          </w:tcPr>
          <w:p w:rsidR="00CD54D7" w:rsidRPr="00CD54D7" w:rsidRDefault="00CD54D7" w:rsidP="00CD54D7">
            <w:pPr>
              <w:jc w:val="center"/>
              <w:rPr>
                <w:rFonts w:ascii="Calibri" w:hAnsi="Calibri" w:cs="Calibri"/>
                <w:b/>
                <w:bCs/>
                <w:color w:val="000000"/>
                <w:u w:val="single"/>
              </w:rPr>
            </w:pPr>
          </w:p>
        </w:tc>
        <w:tc>
          <w:tcPr>
            <w:tcW w:w="856" w:type="dxa"/>
            <w:tcBorders>
              <w:top w:val="nil"/>
              <w:left w:val="nil"/>
              <w:bottom w:val="nil"/>
              <w:right w:val="nil"/>
            </w:tcBorders>
            <w:shd w:val="clear" w:color="auto" w:fill="auto"/>
            <w:noWrap/>
            <w:vAlign w:val="bottom"/>
            <w:hideMark/>
          </w:tcPr>
          <w:p w:rsidR="00CD54D7" w:rsidRPr="00CD54D7" w:rsidRDefault="00CD54D7" w:rsidP="00CD54D7">
            <w:pPr>
              <w:rPr>
                <w:sz w:val="20"/>
                <w:szCs w:val="20"/>
              </w:rPr>
            </w:pPr>
          </w:p>
        </w:tc>
        <w:tc>
          <w:tcPr>
            <w:tcW w:w="1126" w:type="dxa"/>
            <w:tcBorders>
              <w:top w:val="nil"/>
              <w:left w:val="nil"/>
              <w:bottom w:val="nil"/>
              <w:right w:val="nil"/>
            </w:tcBorders>
            <w:shd w:val="clear" w:color="auto" w:fill="auto"/>
            <w:noWrap/>
            <w:vAlign w:val="bottom"/>
            <w:hideMark/>
          </w:tcPr>
          <w:p w:rsidR="00CD54D7" w:rsidRPr="00CD54D7" w:rsidRDefault="00CD54D7" w:rsidP="00CD54D7">
            <w:pPr>
              <w:rPr>
                <w:sz w:val="20"/>
                <w:szCs w:val="20"/>
              </w:rPr>
            </w:pPr>
          </w:p>
        </w:tc>
        <w:tc>
          <w:tcPr>
            <w:tcW w:w="1305" w:type="dxa"/>
            <w:tcBorders>
              <w:top w:val="nil"/>
              <w:left w:val="nil"/>
              <w:bottom w:val="nil"/>
              <w:right w:val="nil"/>
            </w:tcBorders>
            <w:shd w:val="clear" w:color="auto" w:fill="auto"/>
            <w:noWrap/>
            <w:vAlign w:val="bottom"/>
            <w:hideMark/>
          </w:tcPr>
          <w:p w:rsidR="00CD54D7" w:rsidRPr="00CD54D7" w:rsidRDefault="00CD54D7" w:rsidP="00CD54D7">
            <w:pPr>
              <w:rPr>
                <w:sz w:val="20"/>
                <w:szCs w:val="20"/>
              </w:rPr>
            </w:pPr>
          </w:p>
        </w:tc>
      </w:tr>
      <w:tr w:rsidR="00CD54D7" w:rsidRPr="00CD54D7" w:rsidTr="00CD54D7">
        <w:trPr>
          <w:trHeight w:val="290"/>
        </w:trPr>
        <w:tc>
          <w:tcPr>
            <w:tcW w:w="4159" w:type="dxa"/>
            <w:tcBorders>
              <w:top w:val="nil"/>
              <w:left w:val="nil"/>
              <w:bottom w:val="nil"/>
              <w:right w:val="nil"/>
            </w:tcBorders>
            <w:shd w:val="clear" w:color="auto" w:fill="auto"/>
            <w:noWrap/>
            <w:vAlign w:val="bottom"/>
            <w:hideMark/>
          </w:tcPr>
          <w:p w:rsidR="00CD54D7" w:rsidRPr="00CD54D7" w:rsidRDefault="00CD54D7" w:rsidP="00CD54D7">
            <w:pPr>
              <w:rPr>
                <w:rFonts w:ascii="Calibri" w:hAnsi="Calibri" w:cs="Calibri"/>
                <w:color w:val="000000"/>
              </w:rPr>
            </w:pPr>
            <w:r w:rsidRPr="00CD54D7">
              <w:rPr>
                <w:rFonts w:ascii="Calibri" w:hAnsi="Calibri" w:cs="Calibri"/>
                <w:color w:val="000000"/>
              </w:rPr>
              <w:t>Employed</w:t>
            </w:r>
          </w:p>
        </w:tc>
        <w:tc>
          <w:tcPr>
            <w:tcW w:w="1395" w:type="dxa"/>
            <w:tcBorders>
              <w:top w:val="nil"/>
              <w:left w:val="nil"/>
              <w:bottom w:val="nil"/>
              <w:right w:val="nil"/>
            </w:tcBorders>
            <w:shd w:val="clear" w:color="auto" w:fill="auto"/>
            <w:noWrap/>
            <w:vAlign w:val="bottom"/>
            <w:hideMark/>
          </w:tcPr>
          <w:p w:rsidR="00CD54D7" w:rsidRPr="00CD54D7" w:rsidRDefault="00CD54D7" w:rsidP="00CD54D7">
            <w:pPr>
              <w:jc w:val="right"/>
              <w:rPr>
                <w:rFonts w:ascii="Calibri" w:hAnsi="Calibri" w:cs="Calibri"/>
                <w:color w:val="000000"/>
              </w:rPr>
            </w:pPr>
            <w:r w:rsidRPr="00CD54D7">
              <w:rPr>
                <w:rFonts w:ascii="Calibri" w:hAnsi="Calibri" w:cs="Calibri"/>
                <w:color w:val="000000"/>
              </w:rPr>
              <w:t>0.935</w:t>
            </w:r>
          </w:p>
        </w:tc>
        <w:tc>
          <w:tcPr>
            <w:tcW w:w="856" w:type="dxa"/>
            <w:tcBorders>
              <w:top w:val="nil"/>
              <w:left w:val="nil"/>
              <w:bottom w:val="nil"/>
              <w:right w:val="nil"/>
            </w:tcBorders>
            <w:shd w:val="clear" w:color="auto" w:fill="auto"/>
            <w:noWrap/>
            <w:vAlign w:val="bottom"/>
            <w:hideMark/>
          </w:tcPr>
          <w:p w:rsidR="00CD54D7" w:rsidRPr="00CD54D7" w:rsidRDefault="00CD54D7" w:rsidP="00CD54D7">
            <w:pPr>
              <w:jc w:val="right"/>
              <w:rPr>
                <w:rFonts w:ascii="Calibri" w:hAnsi="Calibri" w:cs="Calibri"/>
                <w:color w:val="000000"/>
              </w:rPr>
            </w:pPr>
            <w:r w:rsidRPr="00CD54D7">
              <w:rPr>
                <w:rFonts w:ascii="Calibri" w:hAnsi="Calibri" w:cs="Calibri"/>
                <w:color w:val="000000"/>
              </w:rPr>
              <w:t>0</w:t>
            </w:r>
          </w:p>
        </w:tc>
        <w:tc>
          <w:tcPr>
            <w:tcW w:w="1126" w:type="dxa"/>
            <w:tcBorders>
              <w:top w:val="nil"/>
              <w:left w:val="nil"/>
              <w:bottom w:val="nil"/>
              <w:right w:val="nil"/>
            </w:tcBorders>
            <w:shd w:val="clear" w:color="auto" w:fill="auto"/>
            <w:noWrap/>
            <w:vAlign w:val="bottom"/>
            <w:hideMark/>
          </w:tcPr>
          <w:p w:rsidR="00CD54D7" w:rsidRPr="00CD54D7" w:rsidRDefault="00CD54D7" w:rsidP="00CD54D7">
            <w:pPr>
              <w:jc w:val="right"/>
              <w:rPr>
                <w:rFonts w:ascii="Calibri" w:hAnsi="Calibri" w:cs="Calibri"/>
                <w:color w:val="000000"/>
              </w:rPr>
            </w:pPr>
            <w:r w:rsidRPr="00CD54D7">
              <w:rPr>
                <w:rFonts w:ascii="Calibri" w:hAnsi="Calibri" w:cs="Calibri"/>
                <w:color w:val="000000"/>
              </w:rPr>
              <w:t>1</w:t>
            </w:r>
          </w:p>
        </w:tc>
        <w:tc>
          <w:tcPr>
            <w:tcW w:w="1305" w:type="dxa"/>
            <w:tcBorders>
              <w:top w:val="nil"/>
              <w:left w:val="nil"/>
              <w:bottom w:val="nil"/>
              <w:right w:val="nil"/>
            </w:tcBorders>
            <w:shd w:val="clear" w:color="auto" w:fill="auto"/>
            <w:noWrap/>
            <w:vAlign w:val="bottom"/>
            <w:hideMark/>
          </w:tcPr>
          <w:p w:rsidR="00CD54D7" w:rsidRPr="00CD54D7" w:rsidRDefault="00CD54D7" w:rsidP="00CD54D7">
            <w:pPr>
              <w:jc w:val="right"/>
              <w:rPr>
                <w:rFonts w:ascii="Calibri" w:hAnsi="Calibri" w:cs="Calibri"/>
                <w:color w:val="000000"/>
              </w:rPr>
            </w:pPr>
            <w:r w:rsidRPr="00CD54D7">
              <w:rPr>
                <w:rFonts w:ascii="Calibri" w:hAnsi="Calibri" w:cs="Calibri"/>
                <w:color w:val="000000"/>
              </w:rPr>
              <w:t>4469191</w:t>
            </w:r>
          </w:p>
        </w:tc>
      </w:tr>
      <w:tr w:rsidR="00CD54D7" w:rsidRPr="00CD54D7" w:rsidTr="00CD54D7">
        <w:trPr>
          <w:trHeight w:val="290"/>
        </w:trPr>
        <w:tc>
          <w:tcPr>
            <w:tcW w:w="4159" w:type="dxa"/>
            <w:tcBorders>
              <w:top w:val="nil"/>
              <w:left w:val="nil"/>
              <w:bottom w:val="nil"/>
              <w:right w:val="nil"/>
            </w:tcBorders>
            <w:shd w:val="clear" w:color="auto" w:fill="auto"/>
            <w:noWrap/>
            <w:vAlign w:val="bottom"/>
            <w:hideMark/>
          </w:tcPr>
          <w:p w:rsidR="00CD54D7" w:rsidRPr="00CD54D7" w:rsidRDefault="00CD54D7" w:rsidP="00CD54D7">
            <w:pPr>
              <w:rPr>
                <w:rFonts w:ascii="Calibri" w:hAnsi="Calibri" w:cs="Calibri"/>
                <w:color w:val="000000"/>
              </w:rPr>
            </w:pPr>
            <w:r w:rsidRPr="00CD54D7">
              <w:rPr>
                <w:rFonts w:ascii="Calibri" w:hAnsi="Calibri" w:cs="Calibri"/>
                <w:color w:val="000000"/>
              </w:rPr>
              <w:t>In Labor Force</w:t>
            </w:r>
          </w:p>
        </w:tc>
        <w:tc>
          <w:tcPr>
            <w:tcW w:w="1395" w:type="dxa"/>
            <w:tcBorders>
              <w:top w:val="nil"/>
              <w:left w:val="nil"/>
              <w:bottom w:val="nil"/>
              <w:right w:val="nil"/>
            </w:tcBorders>
            <w:shd w:val="clear" w:color="auto" w:fill="auto"/>
            <w:noWrap/>
            <w:vAlign w:val="bottom"/>
            <w:hideMark/>
          </w:tcPr>
          <w:p w:rsidR="00CD54D7" w:rsidRPr="00CD54D7" w:rsidRDefault="00CD54D7" w:rsidP="00CD54D7">
            <w:pPr>
              <w:jc w:val="right"/>
              <w:rPr>
                <w:rFonts w:ascii="Calibri" w:hAnsi="Calibri" w:cs="Calibri"/>
                <w:color w:val="000000"/>
              </w:rPr>
            </w:pPr>
            <w:r w:rsidRPr="00CD54D7">
              <w:rPr>
                <w:rFonts w:ascii="Calibri" w:hAnsi="Calibri" w:cs="Calibri"/>
                <w:color w:val="000000"/>
              </w:rPr>
              <w:t>0.798</w:t>
            </w:r>
          </w:p>
        </w:tc>
        <w:tc>
          <w:tcPr>
            <w:tcW w:w="856" w:type="dxa"/>
            <w:tcBorders>
              <w:top w:val="nil"/>
              <w:left w:val="nil"/>
              <w:bottom w:val="nil"/>
              <w:right w:val="nil"/>
            </w:tcBorders>
            <w:shd w:val="clear" w:color="auto" w:fill="auto"/>
            <w:noWrap/>
            <w:vAlign w:val="bottom"/>
            <w:hideMark/>
          </w:tcPr>
          <w:p w:rsidR="00CD54D7" w:rsidRPr="00CD54D7" w:rsidRDefault="00CD54D7" w:rsidP="00CD54D7">
            <w:pPr>
              <w:jc w:val="right"/>
              <w:rPr>
                <w:rFonts w:ascii="Calibri" w:hAnsi="Calibri" w:cs="Calibri"/>
                <w:color w:val="000000"/>
              </w:rPr>
            </w:pPr>
            <w:r w:rsidRPr="00CD54D7">
              <w:rPr>
                <w:rFonts w:ascii="Calibri" w:hAnsi="Calibri" w:cs="Calibri"/>
                <w:color w:val="000000"/>
              </w:rPr>
              <w:t>0</w:t>
            </w:r>
          </w:p>
        </w:tc>
        <w:tc>
          <w:tcPr>
            <w:tcW w:w="1126" w:type="dxa"/>
            <w:tcBorders>
              <w:top w:val="nil"/>
              <w:left w:val="nil"/>
              <w:bottom w:val="nil"/>
              <w:right w:val="nil"/>
            </w:tcBorders>
            <w:shd w:val="clear" w:color="auto" w:fill="auto"/>
            <w:noWrap/>
            <w:vAlign w:val="bottom"/>
            <w:hideMark/>
          </w:tcPr>
          <w:p w:rsidR="00CD54D7" w:rsidRPr="00CD54D7" w:rsidRDefault="00CD54D7" w:rsidP="00CD54D7">
            <w:pPr>
              <w:jc w:val="right"/>
              <w:rPr>
                <w:rFonts w:ascii="Calibri" w:hAnsi="Calibri" w:cs="Calibri"/>
                <w:color w:val="000000"/>
              </w:rPr>
            </w:pPr>
            <w:r w:rsidRPr="00CD54D7">
              <w:rPr>
                <w:rFonts w:ascii="Calibri" w:hAnsi="Calibri" w:cs="Calibri"/>
                <w:color w:val="000000"/>
              </w:rPr>
              <w:t>1</w:t>
            </w:r>
          </w:p>
        </w:tc>
        <w:tc>
          <w:tcPr>
            <w:tcW w:w="1305" w:type="dxa"/>
            <w:tcBorders>
              <w:top w:val="nil"/>
              <w:left w:val="nil"/>
              <w:bottom w:val="nil"/>
              <w:right w:val="nil"/>
            </w:tcBorders>
            <w:shd w:val="clear" w:color="auto" w:fill="auto"/>
            <w:noWrap/>
            <w:vAlign w:val="bottom"/>
            <w:hideMark/>
          </w:tcPr>
          <w:p w:rsidR="00CD54D7" w:rsidRPr="00CD54D7" w:rsidRDefault="00CD54D7" w:rsidP="00CD54D7">
            <w:pPr>
              <w:jc w:val="right"/>
              <w:rPr>
                <w:rFonts w:ascii="Calibri" w:hAnsi="Calibri" w:cs="Calibri"/>
                <w:color w:val="000000"/>
              </w:rPr>
            </w:pPr>
            <w:r w:rsidRPr="00CD54D7">
              <w:rPr>
                <w:rFonts w:ascii="Calibri" w:hAnsi="Calibri" w:cs="Calibri"/>
                <w:color w:val="000000"/>
              </w:rPr>
              <w:t>5597891</w:t>
            </w:r>
          </w:p>
        </w:tc>
      </w:tr>
      <w:tr w:rsidR="00CD54D7" w:rsidRPr="00CD54D7" w:rsidTr="00CD54D7">
        <w:trPr>
          <w:trHeight w:val="290"/>
        </w:trPr>
        <w:tc>
          <w:tcPr>
            <w:tcW w:w="4159" w:type="dxa"/>
            <w:tcBorders>
              <w:top w:val="nil"/>
              <w:left w:val="nil"/>
              <w:bottom w:val="nil"/>
              <w:right w:val="nil"/>
            </w:tcBorders>
            <w:shd w:val="clear" w:color="auto" w:fill="auto"/>
            <w:noWrap/>
            <w:vAlign w:val="bottom"/>
            <w:hideMark/>
          </w:tcPr>
          <w:p w:rsidR="00CD54D7" w:rsidRPr="00CD54D7" w:rsidRDefault="00CD54D7" w:rsidP="00CD54D7">
            <w:pPr>
              <w:rPr>
                <w:rFonts w:ascii="Calibri" w:hAnsi="Calibri" w:cs="Calibri"/>
                <w:color w:val="000000"/>
              </w:rPr>
            </w:pPr>
            <w:r w:rsidRPr="00CD54D7">
              <w:rPr>
                <w:rFonts w:ascii="Calibri" w:hAnsi="Calibri" w:cs="Calibri"/>
                <w:color w:val="000000"/>
              </w:rPr>
              <w:t>Hourly wage</w:t>
            </w:r>
          </w:p>
        </w:tc>
        <w:tc>
          <w:tcPr>
            <w:tcW w:w="1395" w:type="dxa"/>
            <w:tcBorders>
              <w:top w:val="nil"/>
              <w:left w:val="nil"/>
              <w:bottom w:val="nil"/>
              <w:right w:val="nil"/>
            </w:tcBorders>
            <w:shd w:val="clear" w:color="auto" w:fill="auto"/>
            <w:noWrap/>
            <w:vAlign w:val="bottom"/>
            <w:hideMark/>
          </w:tcPr>
          <w:p w:rsidR="00CD54D7" w:rsidRPr="00CD54D7" w:rsidRDefault="00CD54D7" w:rsidP="00CD54D7">
            <w:pPr>
              <w:jc w:val="right"/>
              <w:rPr>
                <w:rFonts w:ascii="Calibri" w:hAnsi="Calibri" w:cs="Calibri"/>
                <w:color w:val="000000"/>
              </w:rPr>
            </w:pPr>
            <w:r w:rsidRPr="00CD54D7">
              <w:rPr>
                <w:rFonts w:ascii="Calibri" w:hAnsi="Calibri" w:cs="Calibri"/>
                <w:color w:val="000000"/>
              </w:rPr>
              <w:t>23.13</w:t>
            </w:r>
          </w:p>
        </w:tc>
        <w:tc>
          <w:tcPr>
            <w:tcW w:w="856" w:type="dxa"/>
            <w:tcBorders>
              <w:top w:val="nil"/>
              <w:left w:val="nil"/>
              <w:bottom w:val="nil"/>
              <w:right w:val="nil"/>
            </w:tcBorders>
            <w:shd w:val="clear" w:color="auto" w:fill="auto"/>
            <w:noWrap/>
            <w:vAlign w:val="bottom"/>
            <w:hideMark/>
          </w:tcPr>
          <w:p w:rsidR="00CD54D7" w:rsidRPr="00CD54D7" w:rsidRDefault="00CD54D7" w:rsidP="00CD54D7">
            <w:pPr>
              <w:jc w:val="right"/>
              <w:rPr>
                <w:rFonts w:ascii="Calibri" w:hAnsi="Calibri" w:cs="Calibri"/>
                <w:color w:val="000000"/>
              </w:rPr>
            </w:pPr>
            <w:r w:rsidRPr="00CD54D7">
              <w:rPr>
                <w:rFonts w:ascii="Calibri" w:hAnsi="Calibri" w:cs="Calibri"/>
                <w:color w:val="000000"/>
              </w:rPr>
              <w:t>1</w:t>
            </w:r>
          </w:p>
        </w:tc>
        <w:tc>
          <w:tcPr>
            <w:tcW w:w="1126" w:type="dxa"/>
            <w:tcBorders>
              <w:top w:val="nil"/>
              <w:left w:val="nil"/>
              <w:bottom w:val="nil"/>
              <w:right w:val="nil"/>
            </w:tcBorders>
            <w:shd w:val="clear" w:color="auto" w:fill="auto"/>
            <w:noWrap/>
            <w:vAlign w:val="bottom"/>
            <w:hideMark/>
          </w:tcPr>
          <w:p w:rsidR="00CD54D7" w:rsidRPr="00CD54D7" w:rsidRDefault="00CD54D7" w:rsidP="00CD54D7">
            <w:pPr>
              <w:jc w:val="right"/>
              <w:rPr>
                <w:rFonts w:ascii="Calibri" w:hAnsi="Calibri" w:cs="Calibri"/>
                <w:color w:val="000000"/>
              </w:rPr>
            </w:pPr>
            <w:r w:rsidRPr="00CD54D7">
              <w:rPr>
                <w:rFonts w:ascii="Calibri" w:hAnsi="Calibri" w:cs="Calibri"/>
                <w:color w:val="000000"/>
              </w:rPr>
              <w:t>1000</w:t>
            </w:r>
          </w:p>
        </w:tc>
        <w:tc>
          <w:tcPr>
            <w:tcW w:w="1305" w:type="dxa"/>
            <w:tcBorders>
              <w:top w:val="nil"/>
              <w:left w:val="nil"/>
              <w:bottom w:val="nil"/>
              <w:right w:val="nil"/>
            </w:tcBorders>
            <w:shd w:val="clear" w:color="auto" w:fill="auto"/>
            <w:noWrap/>
            <w:vAlign w:val="bottom"/>
            <w:hideMark/>
          </w:tcPr>
          <w:p w:rsidR="00CD54D7" w:rsidRPr="00CD54D7" w:rsidRDefault="00CD54D7" w:rsidP="00CD54D7">
            <w:pPr>
              <w:jc w:val="right"/>
              <w:rPr>
                <w:rFonts w:ascii="Calibri" w:hAnsi="Calibri" w:cs="Calibri"/>
                <w:color w:val="000000"/>
              </w:rPr>
            </w:pPr>
            <w:r w:rsidRPr="00CD54D7">
              <w:rPr>
                <w:rFonts w:ascii="Calibri" w:hAnsi="Calibri" w:cs="Calibri"/>
                <w:color w:val="000000"/>
              </w:rPr>
              <w:t>4187685</w:t>
            </w:r>
          </w:p>
        </w:tc>
      </w:tr>
      <w:tr w:rsidR="00CD54D7" w:rsidRPr="00CD54D7" w:rsidTr="00CD54D7">
        <w:trPr>
          <w:trHeight w:val="290"/>
        </w:trPr>
        <w:tc>
          <w:tcPr>
            <w:tcW w:w="4159" w:type="dxa"/>
            <w:tcBorders>
              <w:top w:val="nil"/>
              <w:left w:val="nil"/>
              <w:bottom w:val="nil"/>
              <w:right w:val="nil"/>
            </w:tcBorders>
            <w:shd w:val="clear" w:color="auto" w:fill="auto"/>
            <w:noWrap/>
            <w:vAlign w:val="bottom"/>
            <w:hideMark/>
          </w:tcPr>
          <w:p w:rsidR="00CD54D7" w:rsidRPr="00CD54D7" w:rsidRDefault="00CD54D7" w:rsidP="00CD54D7">
            <w:pPr>
              <w:rPr>
                <w:rFonts w:ascii="Calibri" w:hAnsi="Calibri" w:cs="Calibri"/>
                <w:color w:val="000000"/>
              </w:rPr>
            </w:pPr>
            <w:r w:rsidRPr="00CD54D7">
              <w:rPr>
                <w:rFonts w:ascii="Calibri" w:hAnsi="Calibri" w:cs="Calibri"/>
                <w:color w:val="000000"/>
              </w:rPr>
              <w:t xml:space="preserve">Usual Hours Worked </w:t>
            </w:r>
            <w:r w:rsidR="0073072A">
              <w:rPr>
                <w:rFonts w:ascii="Calibri" w:hAnsi="Calibri" w:cs="Calibri"/>
                <w:color w:val="000000"/>
              </w:rPr>
              <w:t>Per</w:t>
            </w:r>
            <w:r w:rsidRPr="00CD54D7">
              <w:rPr>
                <w:rFonts w:ascii="Calibri" w:hAnsi="Calibri" w:cs="Calibri"/>
                <w:color w:val="000000"/>
              </w:rPr>
              <w:t xml:space="preserve"> Week</w:t>
            </w:r>
          </w:p>
        </w:tc>
        <w:tc>
          <w:tcPr>
            <w:tcW w:w="1395" w:type="dxa"/>
            <w:tcBorders>
              <w:top w:val="nil"/>
              <w:left w:val="nil"/>
              <w:bottom w:val="nil"/>
              <w:right w:val="nil"/>
            </w:tcBorders>
            <w:shd w:val="clear" w:color="auto" w:fill="auto"/>
            <w:noWrap/>
            <w:vAlign w:val="bottom"/>
            <w:hideMark/>
          </w:tcPr>
          <w:p w:rsidR="00CD54D7" w:rsidRPr="00CD54D7" w:rsidRDefault="00CD54D7" w:rsidP="00CD54D7">
            <w:pPr>
              <w:jc w:val="right"/>
              <w:rPr>
                <w:rFonts w:ascii="Calibri" w:hAnsi="Calibri" w:cs="Calibri"/>
                <w:color w:val="000000"/>
              </w:rPr>
            </w:pPr>
            <w:r w:rsidRPr="00CD54D7">
              <w:rPr>
                <w:rFonts w:ascii="Calibri" w:hAnsi="Calibri" w:cs="Calibri"/>
                <w:color w:val="000000"/>
              </w:rPr>
              <w:t>40.438</w:t>
            </w:r>
          </w:p>
        </w:tc>
        <w:tc>
          <w:tcPr>
            <w:tcW w:w="856" w:type="dxa"/>
            <w:tcBorders>
              <w:top w:val="nil"/>
              <w:left w:val="nil"/>
              <w:bottom w:val="nil"/>
              <w:right w:val="nil"/>
            </w:tcBorders>
            <w:shd w:val="clear" w:color="auto" w:fill="auto"/>
            <w:noWrap/>
            <w:vAlign w:val="bottom"/>
            <w:hideMark/>
          </w:tcPr>
          <w:p w:rsidR="00CD54D7" w:rsidRPr="00CD54D7" w:rsidRDefault="00CD54D7" w:rsidP="00CD54D7">
            <w:pPr>
              <w:jc w:val="right"/>
              <w:rPr>
                <w:rFonts w:ascii="Calibri" w:hAnsi="Calibri" w:cs="Calibri"/>
                <w:color w:val="000000"/>
              </w:rPr>
            </w:pPr>
            <w:r w:rsidRPr="00CD54D7">
              <w:rPr>
                <w:rFonts w:ascii="Calibri" w:hAnsi="Calibri" w:cs="Calibri"/>
                <w:color w:val="000000"/>
              </w:rPr>
              <w:t>1</w:t>
            </w:r>
          </w:p>
        </w:tc>
        <w:tc>
          <w:tcPr>
            <w:tcW w:w="1126" w:type="dxa"/>
            <w:tcBorders>
              <w:top w:val="nil"/>
              <w:left w:val="nil"/>
              <w:bottom w:val="nil"/>
              <w:right w:val="nil"/>
            </w:tcBorders>
            <w:shd w:val="clear" w:color="auto" w:fill="auto"/>
            <w:noWrap/>
            <w:vAlign w:val="bottom"/>
            <w:hideMark/>
          </w:tcPr>
          <w:p w:rsidR="00CD54D7" w:rsidRPr="00CD54D7" w:rsidRDefault="00CD54D7" w:rsidP="00CD54D7">
            <w:pPr>
              <w:jc w:val="right"/>
              <w:rPr>
                <w:rFonts w:ascii="Calibri" w:hAnsi="Calibri" w:cs="Calibri"/>
                <w:color w:val="000000"/>
              </w:rPr>
            </w:pPr>
            <w:r w:rsidRPr="00CD54D7">
              <w:rPr>
                <w:rFonts w:ascii="Calibri" w:hAnsi="Calibri" w:cs="Calibri"/>
                <w:color w:val="000000"/>
              </w:rPr>
              <w:t>99</w:t>
            </w:r>
          </w:p>
        </w:tc>
        <w:tc>
          <w:tcPr>
            <w:tcW w:w="1305" w:type="dxa"/>
            <w:tcBorders>
              <w:top w:val="nil"/>
              <w:left w:val="nil"/>
              <w:bottom w:val="nil"/>
              <w:right w:val="nil"/>
            </w:tcBorders>
            <w:shd w:val="clear" w:color="auto" w:fill="auto"/>
            <w:noWrap/>
            <w:vAlign w:val="bottom"/>
            <w:hideMark/>
          </w:tcPr>
          <w:p w:rsidR="00CD54D7" w:rsidRPr="00CD54D7" w:rsidRDefault="00CD54D7" w:rsidP="00CD54D7">
            <w:pPr>
              <w:jc w:val="right"/>
              <w:rPr>
                <w:rFonts w:ascii="Calibri" w:hAnsi="Calibri" w:cs="Calibri"/>
                <w:color w:val="000000"/>
              </w:rPr>
            </w:pPr>
            <w:r w:rsidRPr="00CD54D7">
              <w:rPr>
                <w:rFonts w:ascii="Calibri" w:hAnsi="Calibri" w:cs="Calibri"/>
                <w:color w:val="000000"/>
              </w:rPr>
              <w:t>4511167</w:t>
            </w:r>
          </w:p>
        </w:tc>
      </w:tr>
      <w:tr w:rsidR="00CD54D7" w:rsidRPr="00CD54D7" w:rsidTr="00CD54D7">
        <w:trPr>
          <w:trHeight w:val="290"/>
        </w:trPr>
        <w:tc>
          <w:tcPr>
            <w:tcW w:w="4159" w:type="dxa"/>
            <w:tcBorders>
              <w:top w:val="nil"/>
              <w:left w:val="nil"/>
              <w:bottom w:val="nil"/>
              <w:right w:val="nil"/>
            </w:tcBorders>
            <w:shd w:val="clear" w:color="auto" w:fill="auto"/>
            <w:noWrap/>
            <w:vAlign w:val="bottom"/>
            <w:hideMark/>
          </w:tcPr>
          <w:p w:rsidR="00CD54D7" w:rsidRPr="00CD54D7" w:rsidRDefault="00CD54D7" w:rsidP="00CD54D7">
            <w:pPr>
              <w:jc w:val="right"/>
              <w:rPr>
                <w:rFonts w:ascii="Calibri" w:hAnsi="Calibri" w:cs="Calibri"/>
                <w:color w:val="000000"/>
              </w:rPr>
            </w:pPr>
          </w:p>
        </w:tc>
        <w:tc>
          <w:tcPr>
            <w:tcW w:w="1395" w:type="dxa"/>
            <w:tcBorders>
              <w:top w:val="nil"/>
              <w:left w:val="nil"/>
              <w:bottom w:val="nil"/>
              <w:right w:val="nil"/>
            </w:tcBorders>
            <w:shd w:val="clear" w:color="auto" w:fill="auto"/>
            <w:noWrap/>
            <w:vAlign w:val="bottom"/>
            <w:hideMark/>
          </w:tcPr>
          <w:p w:rsidR="00CD54D7" w:rsidRPr="00CD54D7" w:rsidRDefault="00CD54D7" w:rsidP="00CD54D7">
            <w:pPr>
              <w:rPr>
                <w:sz w:val="20"/>
                <w:szCs w:val="20"/>
              </w:rPr>
            </w:pPr>
          </w:p>
        </w:tc>
        <w:tc>
          <w:tcPr>
            <w:tcW w:w="856" w:type="dxa"/>
            <w:tcBorders>
              <w:top w:val="nil"/>
              <w:left w:val="nil"/>
              <w:bottom w:val="nil"/>
              <w:right w:val="nil"/>
            </w:tcBorders>
            <w:shd w:val="clear" w:color="auto" w:fill="auto"/>
            <w:noWrap/>
            <w:vAlign w:val="bottom"/>
            <w:hideMark/>
          </w:tcPr>
          <w:p w:rsidR="00CD54D7" w:rsidRPr="00CD54D7" w:rsidRDefault="00CD54D7" w:rsidP="00CD54D7">
            <w:pPr>
              <w:rPr>
                <w:sz w:val="20"/>
                <w:szCs w:val="20"/>
              </w:rPr>
            </w:pPr>
          </w:p>
        </w:tc>
        <w:tc>
          <w:tcPr>
            <w:tcW w:w="1126" w:type="dxa"/>
            <w:tcBorders>
              <w:top w:val="nil"/>
              <w:left w:val="nil"/>
              <w:bottom w:val="nil"/>
              <w:right w:val="nil"/>
            </w:tcBorders>
            <w:shd w:val="clear" w:color="auto" w:fill="auto"/>
            <w:noWrap/>
            <w:vAlign w:val="bottom"/>
            <w:hideMark/>
          </w:tcPr>
          <w:p w:rsidR="00CD54D7" w:rsidRPr="00CD54D7" w:rsidRDefault="00CD54D7" w:rsidP="00CD54D7">
            <w:pPr>
              <w:rPr>
                <w:sz w:val="20"/>
                <w:szCs w:val="20"/>
              </w:rPr>
            </w:pPr>
          </w:p>
        </w:tc>
        <w:tc>
          <w:tcPr>
            <w:tcW w:w="1305" w:type="dxa"/>
            <w:tcBorders>
              <w:top w:val="nil"/>
              <w:left w:val="nil"/>
              <w:bottom w:val="nil"/>
              <w:right w:val="nil"/>
            </w:tcBorders>
            <w:shd w:val="clear" w:color="auto" w:fill="auto"/>
            <w:noWrap/>
            <w:vAlign w:val="bottom"/>
            <w:hideMark/>
          </w:tcPr>
          <w:p w:rsidR="00CD54D7" w:rsidRPr="00CD54D7" w:rsidRDefault="00CD54D7" w:rsidP="00CD54D7">
            <w:pPr>
              <w:rPr>
                <w:sz w:val="20"/>
                <w:szCs w:val="20"/>
              </w:rPr>
            </w:pPr>
          </w:p>
        </w:tc>
      </w:tr>
      <w:tr w:rsidR="00CD54D7" w:rsidRPr="00CD54D7" w:rsidTr="00CD54D7">
        <w:trPr>
          <w:trHeight w:val="290"/>
        </w:trPr>
        <w:tc>
          <w:tcPr>
            <w:tcW w:w="4159" w:type="dxa"/>
            <w:tcBorders>
              <w:top w:val="nil"/>
              <w:left w:val="nil"/>
              <w:bottom w:val="nil"/>
              <w:right w:val="nil"/>
            </w:tcBorders>
            <w:shd w:val="clear" w:color="auto" w:fill="auto"/>
            <w:noWrap/>
            <w:vAlign w:val="bottom"/>
            <w:hideMark/>
          </w:tcPr>
          <w:p w:rsidR="00CD54D7" w:rsidRPr="00CD54D7" w:rsidRDefault="00CD54D7" w:rsidP="00CD54D7">
            <w:pPr>
              <w:jc w:val="center"/>
              <w:rPr>
                <w:rFonts w:ascii="Calibri" w:hAnsi="Calibri" w:cs="Calibri"/>
                <w:b/>
                <w:bCs/>
                <w:color w:val="000000"/>
                <w:u w:val="single"/>
              </w:rPr>
            </w:pPr>
            <w:r w:rsidRPr="00CD54D7">
              <w:rPr>
                <w:rFonts w:ascii="Calibri" w:hAnsi="Calibri" w:cs="Calibri"/>
                <w:b/>
                <w:bCs/>
                <w:color w:val="000000"/>
                <w:u w:val="single"/>
              </w:rPr>
              <w:t>Independent Variables</w:t>
            </w:r>
          </w:p>
        </w:tc>
        <w:tc>
          <w:tcPr>
            <w:tcW w:w="1395" w:type="dxa"/>
            <w:tcBorders>
              <w:top w:val="nil"/>
              <w:left w:val="nil"/>
              <w:bottom w:val="nil"/>
              <w:right w:val="nil"/>
            </w:tcBorders>
            <w:shd w:val="clear" w:color="auto" w:fill="auto"/>
            <w:noWrap/>
            <w:vAlign w:val="bottom"/>
            <w:hideMark/>
          </w:tcPr>
          <w:p w:rsidR="00CD54D7" w:rsidRPr="00CD54D7" w:rsidRDefault="00CD54D7" w:rsidP="00CD54D7">
            <w:pPr>
              <w:jc w:val="center"/>
              <w:rPr>
                <w:rFonts w:ascii="Calibri" w:hAnsi="Calibri" w:cs="Calibri"/>
                <w:b/>
                <w:bCs/>
                <w:color w:val="000000"/>
                <w:u w:val="single"/>
              </w:rPr>
            </w:pPr>
          </w:p>
        </w:tc>
        <w:tc>
          <w:tcPr>
            <w:tcW w:w="856" w:type="dxa"/>
            <w:tcBorders>
              <w:top w:val="nil"/>
              <w:left w:val="nil"/>
              <w:bottom w:val="nil"/>
              <w:right w:val="nil"/>
            </w:tcBorders>
            <w:shd w:val="clear" w:color="auto" w:fill="auto"/>
            <w:noWrap/>
            <w:vAlign w:val="bottom"/>
            <w:hideMark/>
          </w:tcPr>
          <w:p w:rsidR="00CD54D7" w:rsidRPr="00CD54D7" w:rsidRDefault="00CD54D7" w:rsidP="00CD54D7">
            <w:pPr>
              <w:rPr>
                <w:sz w:val="20"/>
                <w:szCs w:val="20"/>
              </w:rPr>
            </w:pPr>
          </w:p>
        </w:tc>
        <w:tc>
          <w:tcPr>
            <w:tcW w:w="1126" w:type="dxa"/>
            <w:tcBorders>
              <w:top w:val="nil"/>
              <w:left w:val="nil"/>
              <w:bottom w:val="nil"/>
              <w:right w:val="nil"/>
            </w:tcBorders>
            <w:shd w:val="clear" w:color="auto" w:fill="auto"/>
            <w:noWrap/>
            <w:vAlign w:val="bottom"/>
            <w:hideMark/>
          </w:tcPr>
          <w:p w:rsidR="00CD54D7" w:rsidRPr="00CD54D7" w:rsidRDefault="00CD54D7" w:rsidP="00CD54D7">
            <w:pPr>
              <w:rPr>
                <w:sz w:val="20"/>
                <w:szCs w:val="20"/>
              </w:rPr>
            </w:pPr>
          </w:p>
        </w:tc>
        <w:tc>
          <w:tcPr>
            <w:tcW w:w="1305" w:type="dxa"/>
            <w:tcBorders>
              <w:top w:val="nil"/>
              <w:left w:val="nil"/>
              <w:bottom w:val="nil"/>
              <w:right w:val="nil"/>
            </w:tcBorders>
            <w:shd w:val="clear" w:color="auto" w:fill="auto"/>
            <w:noWrap/>
            <w:vAlign w:val="bottom"/>
            <w:hideMark/>
          </w:tcPr>
          <w:p w:rsidR="00CD54D7" w:rsidRPr="00CD54D7" w:rsidRDefault="00CD54D7" w:rsidP="00CD54D7">
            <w:pPr>
              <w:rPr>
                <w:sz w:val="20"/>
                <w:szCs w:val="20"/>
              </w:rPr>
            </w:pPr>
          </w:p>
        </w:tc>
      </w:tr>
      <w:tr w:rsidR="00CD54D7" w:rsidRPr="00CD54D7" w:rsidTr="00CD54D7">
        <w:trPr>
          <w:trHeight w:val="290"/>
        </w:trPr>
        <w:tc>
          <w:tcPr>
            <w:tcW w:w="4159" w:type="dxa"/>
            <w:tcBorders>
              <w:top w:val="nil"/>
              <w:left w:val="nil"/>
              <w:bottom w:val="nil"/>
              <w:right w:val="nil"/>
            </w:tcBorders>
            <w:shd w:val="clear" w:color="auto" w:fill="auto"/>
            <w:noWrap/>
            <w:vAlign w:val="bottom"/>
            <w:hideMark/>
          </w:tcPr>
          <w:p w:rsidR="00CD54D7" w:rsidRPr="00CD54D7" w:rsidRDefault="00CD54D7" w:rsidP="00CD54D7">
            <w:pPr>
              <w:rPr>
                <w:rFonts w:ascii="Calibri" w:hAnsi="Calibri" w:cs="Calibri"/>
                <w:color w:val="000000"/>
              </w:rPr>
            </w:pPr>
            <w:r w:rsidRPr="00CD54D7">
              <w:rPr>
                <w:rFonts w:ascii="Calibri" w:hAnsi="Calibri" w:cs="Calibri"/>
                <w:color w:val="000000"/>
              </w:rPr>
              <w:t>PUMA Uninsured Rate, 2013</w:t>
            </w:r>
          </w:p>
        </w:tc>
        <w:tc>
          <w:tcPr>
            <w:tcW w:w="1395" w:type="dxa"/>
            <w:tcBorders>
              <w:top w:val="nil"/>
              <w:left w:val="nil"/>
              <w:bottom w:val="nil"/>
              <w:right w:val="nil"/>
            </w:tcBorders>
            <w:shd w:val="clear" w:color="auto" w:fill="auto"/>
            <w:noWrap/>
            <w:vAlign w:val="bottom"/>
            <w:hideMark/>
          </w:tcPr>
          <w:p w:rsidR="00CD54D7" w:rsidRPr="00CD54D7" w:rsidRDefault="00CD54D7" w:rsidP="00CD54D7">
            <w:pPr>
              <w:jc w:val="right"/>
              <w:rPr>
                <w:rFonts w:ascii="Calibri" w:hAnsi="Calibri" w:cs="Calibri"/>
                <w:color w:val="000000"/>
              </w:rPr>
            </w:pPr>
            <w:r w:rsidRPr="00CD54D7">
              <w:rPr>
                <w:rFonts w:ascii="Calibri" w:hAnsi="Calibri" w:cs="Calibri"/>
                <w:color w:val="000000"/>
              </w:rPr>
              <w:t>0.210</w:t>
            </w:r>
          </w:p>
        </w:tc>
        <w:tc>
          <w:tcPr>
            <w:tcW w:w="856" w:type="dxa"/>
            <w:tcBorders>
              <w:top w:val="nil"/>
              <w:left w:val="nil"/>
              <w:bottom w:val="nil"/>
              <w:right w:val="nil"/>
            </w:tcBorders>
            <w:shd w:val="clear" w:color="auto" w:fill="auto"/>
            <w:noWrap/>
            <w:vAlign w:val="bottom"/>
            <w:hideMark/>
          </w:tcPr>
          <w:p w:rsidR="00CD54D7" w:rsidRPr="00CD54D7" w:rsidRDefault="00CD54D7" w:rsidP="00CD54D7">
            <w:pPr>
              <w:jc w:val="right"/>
              <w:rPr>
                <w:rFonts w:ascii="Calibri" w:hAnsi="Calibri" w:cs="Calibri"/>
                <w:color w:val="000000"/>
              </w:rPr>
            </w:pPr>
            <w:r w:rsidRPr="00CD54D7">
              <w:rPr>
                <w:rFonts w:ascii="Calibri" w:hAnsi="Calibri" w:cs="Calibri"/>
                <w:color w:val="000000"/>
              </w:rPr>
              <w:t>0.040</w:t>
            </w:r>
          </w:p>
        </w:tc>
        <w:tc>
          <w:tcPr>
            <w:tcW w:w="1126" w:type="dxa"/>
            <w:tcBorders>
              <w:top w:val="nil"/>
              <w:left w:val="nil"/>
              <w:bottom w:val="nil"/>
              <w:right w:val="nil"/>
            </w:tcBorders>
            <w:shd w:val="clear" w:color="auto" w:fill="auto"/>
            <w:noWrap/>
            <w:vAlign w:val="bottom"/>
            <w:hideMark/>
          </w:tcPr>
          <w:p w:rsidR="00CD54D7" w:rsidRPr="00CD54D7" w:rsidRDefault="00CD54D7" w:rsidP="00CD54D7">
            <w:pPr>
              <w:jc w:val="right"/>
              <w:rPr>
                <w:rFonts w:ascii="Calibri" w:hAnsi="Calibri" w:cs="Calibri"/>
                <w:color w:val="000000"/>
              </w:rPr>
            </w:pPr>
            <w:r w:rsidRPr="00CD54D7">
              <w:rPr>
                <w:rFonts w:ascii="Calibri" w:hAnsi="Calibri" w:cs="Calibri"/>
                <w:color w:val="000000"/>
              </w:rPr>
              <w:t>0.518</w:t>
            </w:r>
          </w:p>
        </w:tc>
        <w:tc>
          <w:tcPr>
            <w:tcW w:w="1305" w:type="dxa"/>
            <w:tcBorders>
              <w:top w:val="nil"/>
              <w:left w:val="nil"/>
              <w:bottom w:val="nil"/>
              <w:right w:val="nil"/>
            </w:tcBorders>
            <w:shd w:val="clear" w:color="auto" w:fill="auto"/>
            <w:noWrap/>
            <w:vAlign w:val="bottom"/>
            <w:hideMark/>
          </w:tcPr>
          <w:p w:rsidR="00CD54D7" w:rsidRPr="00CD54D7" w:rsidRDefault="0073072A" w:rsidP="00CD54D7">
            <w:pPr>
              <w:jc w:val="right"/>
              <w:rPr>
                <w:rFonts w:ascii="Calibri" w:hAnsi="Calibri" w:cs="Calibri"/>
                <w:color w:val="000000"/>
              </w:rPr>
            </w:pPr>
            <w:bookmarkStart w:id="1" w:name="_Hlk529897296"/>
            <w:r w:rsidRPr="0073072A">
              <w:rPr>
                <w:rFonts w:ascii="Calibri" w:hAnsi="Calibri" w:cs="Calibri"/>
                <w:color w:val="000000"/>
              </w:rPr>
              <w:t>5597891</w:t>
            </w:r>
            <w:bookmarkEnd w:id="1"/>
          </w:p>
        </w:tc>
      </w:tr>
      <w:tr w:rsidR="00CD54D7" w:rsidRPr="00CD54D7" w:rsidTr="00CD54D7">
        <w:trPr>
          <w:trHeight w:val="290"/>
        </w:trPr>
        <w:tc>
          <w:tcPr>
            <w:tcW w:w="4159" w:type="dxa"/>
            <w:tcBorders>
              <w:top w:val="nil"/>
              <w:left w:val="nil"/>
              <w:bottom w:val="nil"/>
              <w:right w:val="nil"/>
            </w:tcBorders>
            <w:shd w:val="clear" w:color="auto" w:fill="auto"/>
            <w:noWrap/>
            <w:vAlign w:val="bottom"/>
            <w:hideMark/>
          </w:tcPr>
          <w:p w:rsidR="00CD54D7" w:rsidRPr="00CD54D7" w:rsidRDefault="00CD54D7" w:rsidP="00CD54D7">
            <w:pPr>
              <w:rPr>
                <w:rFonts w:ascii="Calibri" w:hAnsi="Calibri" w:cs="Calibri"/>
                <w:color w:val="000000"/>
              </w:rPr>
            </w:pPr>
            <w:r w:rsidRPr="00CD54D7">
              <w:rPr>
                <w:rFonts w:ascii="Calibri" w:hAnsi="Calibri" w:cs="Calibri"/>
                <w:color w:val="000000"/>
              </w:rPr>
              <w:t>Medicaid Expansion in 2014</w:t>
            </w:r>
          </w:p>
        </w:tc>
        <w:tc>
          <w:tcPr>
            <w:tcW w:w="1395" w:type="dxa"/>
            <w:tcBorders>
              <w:top w:val="nil"/>
              <w:left w:val="nil"/>
              <w:bottom w:val="nil"/>
              <w:right w:val="nil"/>
            </w:tcBorders>
            <w:shd w:val="clear" w:color="auto" w:fill="auto"/>
            <w:noWrap/>
            <w:vAlign w:val="bottom"/>
            <w:hideMark/>
          </w:tcPr>
          <w:p w:rsidR="00CD54D7" w:rsidRPr="00CD54D7" w:rsidRDefault="00CD54D7" w:rsidP="00CD54D7">
            <w:pPr>
              <w:jc w:val="right"/>
              <w:rPr>
                <w:rFonts w:ascii="Calibri" w:hAnsi="Calibri" w:cs="Calibri"/>
                <w:color w:val="000000"/>
              </w:rPr>
            </w:pPr>
            <w:r w:rsidRPr="00CD54D7">
              <w:rPr>
                <w:rFonts w:ascii="Calibri" w:hAnsi="Calibri" w:cs="Calibri"/>
                <w:color w:val="000000"/>
              </w:rPr>
              <w:t>0.547</w:t>
            </w:r>
          </w:p>
        </w:tc>
        <w:tc>
          <w:tcPr>
            <w:tcW w:w="856" w:type="dxa"/>
            <w:tcBorders>
              <w:top w:val="nil"/>
              <w:left w:val="nil"/>
              <w:bottom w:val="nil"/>
              <w:right w:val="nil"/>
            </w:tcBorders>
            <w:shd w:val="clear" w:color="auto" w:fill="auto"/>
            <w:noWrap/>
            <w:vAlign w:val="bottom"/>
            <w:hideMark/>
          </w:tcPr>
          <w:p w:rsidR="00CD54D7" w:rsidRPr="00CD54D7" w:rsidRDefault="00CD54D7" w:rsidP="00CD54D7">
            <w:pPr>
              <w:jc w:val="right"/>
              <w:rPr>
                <w:rFonts w:ascii="Calibri" w:hAnsi="Calibri" w:cs="Calibri"/>
                <w:color w:val="000000"/>
              </w:rPr>
            </w:pPr>
            <w:r w:rsidRPr="00CD54D7">
              <w:rPr>
                <w:rFonts w:ascii="Calibri" w:hAnsi="Calibri" w:cs="Calibri"/>
                <w:color w:val="000000"/>
              </w:rPr>
              <w:t>0</w:t>
            </w:r>
          </w:p>
        </w:tc>
        <w:tc>
          <w:tcPr>
            <w:tcW w:w="1126" w:type="dxa"/>
            <w:tcBorders>
              <w:top w:val="nil"/>
              <w:left w:val="nil"/>
              <w:bottom w:val="nil"/>
              <w:right w:val="nil"/>
            </w:tcBorders>
            <w:shd w:val="clear" w:color="auto" w:fill="auto"/>
            <w:noWrap/>
            <w:vAlign w:val="bottom"/>
            <w:hideMark/>
          </w:tcPr>
          <w:p w:rsidR="00CD54D7" w:rsidRPr="00CD54D7" w:rsidRDefault="00CD54D7" w:rsidP="00CD54D7">
            <w:pPr>
              <w:jc w:val="right"/>
              <w:rPr>
                <w:rFonts w:ascii="Calibri" w:hAnsi="Calibri" w:cs="Calibri"/>
                <w:color w:val="000000"/>
              </w:rPr>
            </w:pPr>
            <w:r w:rsidRPr="00CD54D7">
              <w:rPr>
                <w:rFonts w:ascii="Calibri" w:hAnsi="Calibri" w:cs="Calibri"/>
                <w:color w:val="000000"/>
              </w:rPr>
              <w:t>1</w:t>
            </w:r>
          </w:p>
        </w:tc>
        <w:tc>
          <w:tcPr>
            <w:tcW w:w="1305" w:type="dxa"/>
            <w:tcBorders>
              <w:top w:val="nil"/>
              <w:left w:val="nil"/>
              <w:bottom w:val="nil"/>
              <w:right w:val="nil"/>
            </w:tcBorders>
            <w:shd w:val="clear" w:color="auto" w:fill="auto"/>
            <w:noWrap/>
            <w:vAlign w:val="bottom"/>
            <w:hideMark/>
          </w:tcPr>
          <w:p w:rsidR="00CD54D7" w:rsidRPr="00CD54D7" w:rsidRDefault="0073072A" w:rsidP="00CD54D7">
            <w:pPr>
              <w:jc w:val="right"/>
              <w:rPr>
                <w:rFonts w:ascii="Calibri" w:hAnsi="Calibri" w:cs="Calibri"/>
                <w:color w:val="000000"/>
              </w:rPr>
            </w:pPr>
            <w:r w:rsidRPr="0073072A">
              <w:rPr>
                <w:rFonts w:ascii="Calibri" w:hAnsi="Calibri" w:cs="Calibri"/>
                <w:color w:val="000000"/>
              </w:rPr>
              <w:t>5597891</w:t>
            </w:r>
          </w:p>
        </w:tc>
      </w:tr>
      <w:tr w:rsidR="00CD54D7" w:rsidRPr="00CD54D7" w:rsidTr="00CD54D7">
        <w:trPr>
          <w:trHeight w:val="290"/>
        </w:trPr>
        <w:tc>
          <w:tcPr>
            <w:tcW w:w="4159" w:type="dxa"/>
            <w:tcBorders>
              <w:top w:val="nil"/>
              <w:left w:val="nil"/>
              <w:bottom w:val="nil"/>
              <w:right w:val="nil"/>
            </w:tcBorders>
            <w:shd w:val="clear" w:color="auto" w:fill="auto"/>
            <w:noWrap/>
            <w:vAlign w:val="bottom"/>
            <w:hideMark/>
          </w:tcPr>
          <w:p w:rsidR="00CD54D7" w:rsidRPr="00CD54D7" w:rsidRDefault="00CD54D7" w:rsidP="00CD54D7">
            <w:pPr>
              <w:jc w:val="right"/>
              <w:rPr>
                <w:rFonts w:ascii="Calibri" w:hAnsi="Calibri" w:cs="Calibri"/>
                <w:color w:val="000000"/>
              </w:rPr>
            </w:pPr>
          </w:p>
        </w:tc>
        <w:tc>
          <w:tcPr>
            <w:tcW w:w="1395" w:type="dxa"/>
            <w:tcBorders>
              <w:top w:val="nil"/>
              <w:left w:val="nil"/>
              <w:bottom w:val="nil"/>
              <w:right w:val="nil"/>
            </w:tcBorders>
            <w:shd w:val="clear" w:color="auto" w:fill="auto"/>
            <w:noWrap/>
            <w:vAlign w:val="bottom"/>
            <w:hideMark/>
          </w:tcPr>
          <w:p w:rsidR="00CD54D7" w:rsidRPr="00CD54D7" w:rsidRDefault="00CD54D7" w:rsidP="00CD54D7">
            <w:pPr>
              <w:rPr>
                <w:sz w:val="20"/>
                <w:szCs w:val="20"/>
              </w:rPr>
            </w:pPr>
          </w:p>
        </w:tc>
        <w:tc>
          <w:tcPr>
            <w:tcW w:w="856" w:type="dxa"/>
            <w:tcBorders>
              <w:top w:val="nil"/>
              <w:left w:val="nil"/>
              <w:bottom w:val="nil"/>
              <w:right w:val="nil"/>
            </w:tcBorders>
            <w:shd w:val="clear" w:color="auto" w:fill="auto"/>
            <w:noWrap/>
            <w:vAlign w:val="bottom"/>
            <w:hideMark/>
          </w:tcPr>
          <w:p w:rsidR="00CD54D7" w:rsidRPr="00CD54D7" w:rsidRDefault="00CD54D7" w:rsidP="00CD54D7">
            <w:pPr>
              <w:rPr>
                <w:sz w:val="20"/>
                <w:szCs w:val="20"/>
              </w:rPr>
            </w:pPr>
          </w:p>
        </w:tc>
        <w:tc>
          <w:tcPr>
            <w:tcW w:w="1126" w:type="dxa"/>
            <w:tcBorders>
              <w:top w:val="nil"/>
              <w:left w:val="nil"/>
              <w:bottom w:val="nil"/>
              <w:right w:val="nil"/>
            </w:tcBorders>
            <w:shd w:val="clear" w:color="auto" w:fill="auto"/>
            <w:noWrap/>
            <w:vAlign w:val="bottom"/>
            <w:hideMark/>
          </w:tcPr>
          <w:p w:rsidR="00CD54D7" w:rsidRPr="00CD54D7" w:rsidRDefault="00CD54D7" w:rsidP="00CD54D7">
            <w:pPr>
              <w:rPr>
                <w:sz w:val="20"/>
                <w:szCs w:val="20"/>
              </w:rPr>
            </w:pPr>
          </w:p>
        </w:tc>
        <w:tc>
          <w:tcPr>
            <w:tcW w:w="1305" w:type="dxa"/>
            <w:tcBorders>
              <w:top w:val="nil"/>
              <w:left w:val="nil"/>
              <w:bottom w:val="nil"/>
              <w:right w:val="nil"/>
            </w:tcBorders>
            <w:shd w:val="clear" w:color="auto" w:fill="auto"/>
            <w:noWrap/>
            <w:vAlign w:val="bottom"/>
            <w:hideMark/>
          </w:tcPr>
          <w:p w:rsidR="00CD54D7" w:rsidRPr="00CD54D7" w:rsidRDefault="00CD54D7" w:rsidP="00CD54D7">
            <w:pPr>
              <w:rPr>
                <w:sz w:val="20"/>
                <w:szCs w:val="20"/>
              </w:rPr>
            </w:pPr>
          </w:p>
        </w:tc>
      </w:tr>
      <w:tr w:rsidR="00CD54D7" w:rsidRPr="00CD54D7" w:rsidTr="00CD54D7">
        <w:trPr>
          <w:trHeight w:val="290"/>
        </w:trPr>
        <w:tc>
          <w:tcPr>
            <w:tcW w:w="4159" w:type="dxa"/>
            <w:tcBorders>
              <w:top w:val="nil"/>
              <w:left w:val="nil"/>
              <w:bottom w:val="nil"/>
              <w:right w:val="nil"/>
            </w:tcBorders>
            <w:shd w:val="clear" w:color="auto" w:fill="auto"/>
            <w:noWrap/>
            <w:vAlign w:val="bottom"/>
            <w:hideMark/>
          </w:tcPr>
          <w:p w:rsidR="00CD54D7" w:rsidRPr="00CD54D7" w:rsidRDefault="00CD54D7" w:rsidP="00CD54D7">
            <w:pPr>
              <w:jc w:val="center"/>
              <w:rPr>
                <w:rFonts w:ascii="Calibri" w:hAnsi="Calibri" w:cs="Calibri"/>
                <w:b/>
                <w:bCs/>
                <w:color w:val="000000"/>
                <w:u w:val="single"/>
              </w:rPr>
            </w:pPr>
            <w:r w:rsidRPr="00CD54D7">
              <w:rPr>
                <w:rFonts w:ascii="Calibri" w:hAnsi="Calibri" w:cs="Calibri"/>
                <w:b/>
                <w:bCs/>
                <w:color w:val="000000"/>
                <w:u w:val="single"/>
              </w:rPr>
              <w:t>Controls</w:t>
            </w:r>
          </w:p>
        </w:tc>
        <w:tc>
          <w:tcPr>
            <w:tcW w:w="1395" w:type="dxa"/>
            <w:tcBorders>
              <w:top w:val="nil"/>
              <w:left w:val="nil"/>
              <w:bottom w:val="nil"/>
              <w:right w:val="nil"/>
            </w:tcBorders>
            <w:shd w:val="clear" w:color="auto" w:fill="auto"/>
            <w:noWrap/>
            <w:vAlign w:val="bottom"/>
            <w:hideMark/>
          </w:tcPr>
          <w:p w:rsidR="00CD54D7" w:rsidRPr="00CD54D7" w:rsidRDefault="00CD54D7" w:rsidP="00CD54D7">
            <w:pPr>
              <w:jc w:val="center"/>
              <w:rPr>
                <w:rFonts w:ascii="Calibri" w:hAnsi="Calibri" w:cs="Calibri"/>
                <w:b/>
                <w:bCs/>
                <w:color w:val="000000"/>
                <w:u w:val="single"/>
              </w:rPr>
            </w:pPr>
          </w:p>
        </w:tc>
        <w:tc>
          <w:tcPr>
            <w:tcW w:w="856" w:type="dxa"/>
            <w:tcBorders>
              <w:top w:val="nil"/>
              <w:left w:val="nil"/>
              <w:bottom w:val="nil"/>
              <w:right w:val="nil"/>
            </w:tcBorders>
            <w:shd w:val="clear" w:color="auto" w:fill="auto"/>
            <w:noWrap/>
            <w:vAlign w:val="bottom"/>
            <w:hideMark/>
          </w:tcPr>
          <w:p w:rsidR="00CD54D7" w:rsidRPr="00CD54D7" w:rsidRDefault="00CD54D7" w:rsidP="00CD54D7">
            <w:pPr>
              <w:rPr>
                <w:sz w:val="20"/>
                <w:szCs w:val="20"/>
              </w:rPr>
            </w:pPr>
          </w:p>
        </w:tc>
        <w:tc>
          <w:tcPr>
            <w:tcW w:w="1126" w:type="dxa"/>
            <w:tcBorders>
              <w:top w:val="nil"/>
              <w:left w:val="nil"/>
              <w:bottom w:val="nil"/>
              <w:right w:val="nil"/>
            </w:tcBorders>
            <w:shd w:val="clear" w:color="auto" w:fill="auto"/>
            <w:noWrap/>
            <w:vAlign w:val="bottom"/>
            <w:hideMark/>
          </w:tcPr>
          <w:p w:rsidR="00CD54D7" w:rsidRPr="00CD54D7" w:rsidRDefault="00CD54D7" w:rsidP="00CD54D7">
            <w:pPr>
              <w:rPr>
                <w:sz w:val="20"/>
                <w:szCs w:val="20"/>
              </w:rPr>
            </w:pPr>
          </w:p>
        </w:tc>
        <w:tc>
          <w:tcPr>
            <w:tcW w:w="1305" w:type="dxa"/>
            <w:tcBorders>
              <w:top w:val="nil"/>
              <w:left w:val="nil"/>
              <w:bottom w:val="nil"/>
              <w:right w:val="nil"/>
            </w:tcBorders>
            <w:shd w:val="clear" w:color="auto" w:fill="auto"/>
            <w:noWrap/>
            <w:vAlign w:val="bottom"/>
            <w:hideMark/>
          </w:tcPr>
          <w:p w:rsidR="00CD54D7" w:rsidRPr="00CD54D7" w:rsidRDefault="00CD54D7" w:rsidP="00CD54D7">
            <w:pPr>
              <w:rPr>
                <w:sz w:val="20"/>
                <w:szCs w:val="20"/>
              </w:rPr>
            </w:pPr>
          </w:p>
        </w:tc>
      </w:tr>
      <w:tr w:rsidR="00CD54D7" w:rsidRPr="00CD54D7" w:rsidTr="00CD54D7">
        <w:trPr>
          <w:trHeight w:val="290"/>
        </w:trPr>
        <w:tc>
          <w:tcPr>
            <w:tcW w:w="4159" w:type="dxa"/>
            <w:tcBorders>
              <w:top w:val="nil"/>
              <w:left w:val="nil"/>
              <w:bottom w:val="nil"/>
              <w:right w:val="nil"/>
            </w:tcBorders>
            <w:shd w:val="clear" w:color="auto" w:fill="auto"/>
            <w:noWrap/>
            <w:vAlign w:val="bottom"/>
            <w:hideMark/>
          </w:tcPr>
          <w:p w:rsidR="00CD54D7" w:rsidRPr="00CD54D7" w:rsidRDefault="00CD54D7" w:rsidP="00CD54D7">
            <w:pPr>
              <w:rPr>
                <w:rFonts w:ascii="Calibri" w:hAnsi="Calibri" w:cs="Calibri"/>
                <w:color w:val="000000"/>
              </w:rPr>
            </w:pPr>
            <w:r w:rsidRPr="00CD54D7">
              <w:rPr>
                <w:rFonts w:ascii="Calibri" w:hAnsi="Calibri" w:cs="Calibri"/>
                <w:color w:val="000000"/>
              </w:rPr>
              <w:t xml:space="preserve">Female </w:t>
            </w:r>
          </w:p>
        </w:tc>
        <w:tc>
          <w:tcPr>
            <w:tcW w:w="1395" w:type="dxa"/>
            <w:tcBorders>
              <w:top w:val="nil"/>
              <w:left w:val="nil"/>
              <w:bottom w:val="nil"/>
              <w:right w:val="nil"/>
            </w:tcBorders>
            <w:shd w:val="clear" w:color="auto" w:fill="auto"/>
            <w:noWrap/>
            <w:vAlign w:val="bottom"/>
            <w:hideMark/>
          </w:tcPr>
          <w:p w:rsidR="00CD54D7" w:rsidRPr="00CD54D7" w:rsidRDefault="00CD54D7" w:rsidP="00CD54D7">
            <w:pPr>
              <w:jc w:val="right"/>
              <w:rPr>
                <w:rFonts w:ascii="Calibri" w:hAnsi="Calibri" w:cs="Calibri"/>
                <w:color w:val="000000"/>
              </w:rPr>
            </w:pPr>
            <w:r w:rsidRPr="00CD54D7">
              <w:rPr>
                <w:rFonts w:ascii="Calibri" w:hAnsi="Calibri" w:cs="Calibri"/>
                <w:color w:val="000000"/>
              </w:rPr>
              <w:t>0.506</w:t>
            </w:r>
          </w:p>
        </w:tc>
        <w:tc>
          <w:tcPr>
            <w:tcW w:w="856" w:type="dxa"/>
            <w:tcBorders>
              <w:top w:val="nil"/>
              <w:left w:val="nil"/>
              <w:bottom w:val="nil"/>
              <w:right w:val="nil"/>
            </w:tcBorders>
            <w:shd w:val="clear" w:color="auto" w:fill="auto"/>
            <w:noWrap/>
            <w:vAlign w:val="bottom"/>
            <w:hideMark/>
          </w:tcPr>
          <w:p w:rsidR="00CD54D7" w:rsidRPr="00CD54D7" w:rsidRDefault="00CD54D7" w:rsidP="00CD54D7">
            <w:pPr>
              <w:jc w:val="right"/>
              <w:rPr>
                <w:rFonts w:ascii="Calibri" w:hAnsi="Calibri" w:cs="Calibri"/>
                <w:color w:val="000000"/>
              </w:rPr>
            </w:pPr>
            <w:r w:rsidRPr="00CD54D7">
              <w:rPr>
                <w:rFonts w:ascii="Calibri" w:hAnsi="Calibri" w:cs="Calibri"/>
                <w:color w:val="000000"/>
              </w:rPr>
              <w:t>0</w:t>
            </w:r>
          </w:p>
        </w:tc>
        <w:tc>
          <w:tcPr>
            <w:tcW w:w="1126" w:type="dxa"/>
            <w:tcBorders>
              <w:top w:val="nil"/>
              <w:left w:val="nil"/>
              <w:bottom w:val="nil"/>
              <w:right w:val="nil"/>
            </w:tcBorders>
            <w:shd w:val="clear" w:color="auto" w:fill="auto"/>
            <w:noWrap/>
            <w:vAlign w:val="bottom"/>
            <w:hideMark/>
          </w:tcPr>
          <w:p w:rsidR="00CD54D7" w:rsidRPr="00CD54D7" w:rsidRDefault="00CD54D7" w:rsidP="00CD54D7">
            <w:pPr>
              <w:jc w:val="right"/>
              <w:rPr>
                <w:rFonts w:ascii="Calibri" w:hAnsi="Calibri" w:cs="Calibri"/>
                <w:color w:val="000000"/>
              </w:rPr>
            </w:pPr>
            <w:r w:rsidRPr="00CD54D7">
              <w:rPr>
                <w:rFonts w:ascii="Calibri" w:hAnsi="Calibri" w:cs="Calibri"/>
                <w:color w:val="000000"/>
              </w:rPr>
              <w:t>1</w:t>
            </w:r>
          </w:p>
        </w:tc>
        <w:tc>
          <w:tcPr>
            <w:tcW w:w="1305" w:type="dxa"/>
            <w:tcBorders>
              <w:top w:val="nil"/>
              <w:left w:val="nil"/>
              <w:bottom w:val="nil"/>
              <w:right w:val="nil"/>
            </w:tcBorders>
            <w:shd w:val="clear" w:color="auto" w:fill="auto"/>
            <w:noWrap/>
            <w:vAlign w:val="bottom"/>
            <w:hideMark/>
          </w:tcPr>
          <w:p w:rsidR="00CD54D7" w:rsidRPr="00CD54D7" w:rsidRDefault="00CD54D7" w:rsidP="00CD54D7">
            <w:pPr>
              <w:jc w:val="right"/>
              <w:rPr>
                <w:rFonts w:ascii="Calibri" w:hAnsi="Calibri" w:cs="Calibri"/>
                <w:color w:val="000000"/>
              </w:rPr>
            </w:pPr>
            <w:r w:rsidRPr="00CD54D7">
              <w:rPr>
                <w:rFonts w:ascii="Calibri" w:hAnsi="Calibri" w:cs="Calibri"/>
                <w:color w:val="000000"/>
              </w:rPr>
              <w:t>5597891</w:t>
            </w:r>
          </w:p>
        </w:tc>
      </w:tr>
      <w:tr w:rsidR="00CD54D7" w:rsidRPr="00CD54D7" w:rsidTr="00CD54D7">
        <w:trPr>
          <w:trHeight w:val="290"/>
        </w:trPr>
        <w:tc>
          <w:tcPr>
            <w:tcW w:w="4159" w:type="dxa"/>
            <w:tcBorders>
              <w:top w:val="nil"/>
              <w:left w:val="nil"/>
              <w:bottom w:val="nil"/>
              <w:right w:val="nil"/>
            </w:tcBorders>
            <w:shd w:val="clear" w:color="auto" w:fill="auto"/>
            <w:noWrap/>
            <w:vAlign w:val="bottom"/>
            <w:hideMark/>
          </w:tcPr>
          <w:p w:rsidR="00CD54D7" w:rsidRPr="00CD54D7" w:rsidRDefault="00CD54D7" w:rsidP="00CD54D7">
            <w:pPr>
              <w:rPr>
                <w:rFonts w:ascii="Calibri" w:hAnsi="Calibri" w:cs="Calibri"/>
                <w:color w:val="000000"/>
              </w:rPr>
            </w:pPr>
            <w:r w:rsidRPr="00CD54D7">
              <w:rPr>
                <w:rFonts w:ascii="Calibri" w:hAnsi="Calibri" w:cs="Calibri"/>
                <w:color w:val="000000"/>
              </w:rPr>
              <w:t>Age</w:t>
            </w:r>
          </w:p>
        </w:tc>
        <w:tc>
          <w:tcPr>
            <w:tcW w:w="1395" w:type="dxa"/>
            <w:tcBorders>
              <w:top w:val="nil"/>
              <w:left w:val="nil"/>
              <w:bottom w:val="nil"/>
              <w:right w:val="nil"/>
            </w:tcBorders>
            <w:shd w:val="clear" w:color="auto" w:fill="auto"/>
            <w:noWrap/>
            <w:vAlign w:val="bottom"/>
            <w:hideMark/>
          </w:tcPr>
          <w:p w:rsidR="00CD54D7" w:rsidRPr="00CD54D7" w:rsidRDefault="00CD54D7" w:rsidP="00CD54D7">
            <w:pPr>
              <w:jc w:val="right"/>
              <w:rPr>
                <w:rFonts w:ascii="Calibri" w:hAnsi="Calibri" w:cs="Calibri"/>
                <w:color w:val="000000"/>
              </w:rPr>
            </w:pPr>
            <w:r w:rsidRPr="00CD54D7">
              <w:rPr>
                <w:rFonts w:ascii="Calibri" w:hAnsi="Calibri" w:cs="Calibri"/>
                <w:color w:val="000000"/>
              </w:rPr>
              <w:t>40.768</w:t>
            </w:r>
          </w:p>
        </w:tc>
        <w:tc>
          <w:tcPr>
            <w:tcW w:w="856" w:type="dxa"/>
            <w:tcBorders>
              <w:top w:val="nil"/>
              <w:left w:val="nil"/>
              <w:bottom w:val="nil"/>
              <w:right w:val="nil"/>
            </w:tcBorders>
            <w:shd w:val="clear" w:color="auto" w:fill="auto"/>
            <w:noWrap/>
            <w:vAlign w:val="bottom"/>
            <w:hideMark/>
          </w:tcPr>
          <w:p w:rsidR="00CD54D7" w:rsidRPr="00CD54D7" w:rsidRDefault="00CD54D7" w:rsidP="00CD54D7">
            <w:pPr>
              <w:jc w:val="right"/>
              <w:rPr>
                <w:rFonts w:ascii="Calibri" w:hAnsi="Calibri" w:cs="Calibri"/>
                <w:color w:val="000000"/>
              </w:rPr>
            </w:pPr>
            <w:r w:rsidRPr="00CD54D7">
              <w:rPr>
                <w:rFonts w:ascii="Calibri" w:hAnsi="Calibri" w:cs="Calibri"/>
                <w:color w:val="000000"/>
              </w:rPr>
              <w:t>25</w:t>
            </w:r>
          </w:p>
        </w:tc>
        <w:tc>
          <w:tcPr>
            <w:tcW w:w="1126" w:type="dxa"/>
            <w:tcBorders>
              <w:top w:val="nil"/>
              <w:left w:val="nil"/>
              <w:bottom w:val="nil"/>
              <w:right w:val="nil"/>
            </w:tcBorders>
            <w:shd w:val="clear" w:color="auto" w:fill="auto"/>
            <w:noWrap/>
            <w:vAlign w:val="bottom"/>
            <w:hideMark/>
          </w:tcPr>
          <w:p w:rsidR="00CD54D7" w:rsidRPr="00CD54D7" w:rsidRDefault="00CD54D7" w:rsidP="00CD54D7">
            <w:pPr>
              <w:jc w:val="right"/>
              <w:rPr>
                <w:rFonts w:ascii="Calibri" w:hAnsi="Calibri" w:cs="Calibri"/>
                <w:color w:val="000000"/>
              </w:rPr>
            </w:pPr>
            <w:r w:rsidRPr="00CD54D7">
              <w:rPr>
                <w:rFonts w:ascii="Calibri" w:hAnsi="Calibri" w:cs="Calibri"/>
                <w:color w:val="000000"/>
              </w:rPr>
              <w:t>55</w:t>
            </w:r>
          </w:p>
        </w:tc>
        <w:tc>
          <w:tcPr>
            <w:tcW w:w="1305" w:type="dxa"/>
            <w:tcBorders>
              <w:top w:val="nil"/>
              <w:left w:val="nil"/>
              <w:bottom w:val="nil"/>
              <w:right w:val="nil"/>
            </w:tcBorders>
            <w:shd w:val="clear" w:color="auto" w:fill="auto"/>
            <w:noWrap/>
            <w:vAlign w:val="bottom"/>
            <w:hideMark/>
          </w:tcPr>
          <w:p w:rsidR="00CD54D7" w:rsidRPr="00CD54D7" w:rsidRDefault="00CD54D7" w:rsidP="00CD54D7">
            <w:pPr>
              <w:jc w:val="right"/>
              <w:rPr>
                <w:rFonts w:ascii="Calibri" w:hAnsi="Calibri" w:cs="Calibri"/>
                <w:color w:val="000000"/>
              </w:rPr>
            </w:pPr>
            <w:r w:rsidRPr="00CD54D7">
              <w:rPr>
                <w:rFonts w:ascii="Calibri" w:hAnsi="Calibri" w:cs="Calibri"/>
                <w:color w:val="000000"/>
              </w:rPr>
              <w:t>5597891</w:t>
            </w:r>
          </w:p>
        </w:tc>
      </w:tr>
      <w:tr w:rsidR="00CD54D7" w:rsidRPr="00CD54D7" w:rsidTr="00CD54D7">
        <w:trPr>
          <w:trHeight w:val="290"/>
        </w:trPr>
        <w:tc>
          <w:tcPr>
            <w:tcW w:w="4159" w:type="dxa"/>
            <w:tcBorders>
              <w:top w:val="nil"/>
              <w:left w:val="nil"/>
              <w:bottom w:val="nil"/>
              <w:right w:val="nil"/>
            </w:tcBorders>
            <w:shd w:val="clear" w:color="auto" w:fill="auto"/>
            <w:noWrap/>
            <w:vAlign w:val="bottom"/>
            <w:hideMark/>
          </w:tcPr>
          <w:p w:rsidR="00CD54D7" w:rsidRPr="00CD54D7" w:rsidRDefault="00CD54D7" w:rsidP="00CD54D7">
            <w:pPr>
              <w:rPr>
                <w:rFonts w:ascii="Calibri" w:hAnsi="Calibri" w:cs="Calibri"/>
                <w:color w:val="000000"/>
              </w:rPr>
            </w:pPr>
            <w:r w:rsidRPr="00CD54D7">
              <w:rPr>
                <w:rFonts w:ascii="Calibri" w:hAnsi="Calibri" w:cs="Calibri"/>
                <w:color w:val="000000"/>
              </w:rPr>
              <w:t>College (Some College +)</w:t>
            </w:r>
          </w:p>
        </w:tc>
        <w:tc>
          <w:tcPr>
            <w:tcW w:w="1395" w:type="dxa"/>
            <w:tcBorders>
              <w:top w:val="nil"/>
              <w:left w:val="nil"/>
              <w:bottom w:val="nil"/>
              <w:right w:val="nil"/>
            </w:tcBorders>
            <w:shd w:val="clear" w:color="auto" w:fill="auto"/>
            <w:noWrap/>
            <w:vAlign w:val="bottom"/>
            <w:hideMark/>
          </w:tcPr>
          <w:p w:rsidR="00CD54D7" w:rsidRPr="00CD54D7" w:rsidRDefault="00CD54D7" w:rsidP="00CD54D7">
            <w:pPr>
              <w:jc w:val="right"/>
              <w:rPr>
                <w:rFonts w:ascii="Calibri" w:hAnsi="Calibri" w:cs="Calibri"/>
                <w:color w:val="000000"/>
              </w:rPr>
            </w:pPr>
            <w:r w:rsidRPr="00CD54D7">
              <w:rPr>
                <w:rFonts w:ascii="Calibri" w:hAnsi="Calibri" w:cs="Calibri"/>
                <w:color w:val="000000"/>
              </w:rPr>
              <w:t>0.565</w:t>
            </w:r>
          </w:p>
        </w:tc>
        <w:tc>
          <w:tcPr>
            <w:tcW w:w="856" w:type="dxa"/>
            <w:tcBorders>
              <w:top w:val="nil"/>
              <w:left w:val="nil"/>
              <w:bottom w:val="nil"/>
              <w:right w:val="nil"/>
            </w:tcBorders>
            <w:shd w:val="clear" w:color="auto" w:fill="auto"/>
            <w:noWrap/>
            <w:vAlign w:val="bottom"/>
            <w:hideMark/>
          </w:tcPr>
          <w:p w:rsidR="00CD54D7" w:rsidRPr="00CD54D7" w:rsidRDefault="00CD54D7" w:rsidP="00CD54D7">
            <w:pPr>
              <w:jc w:val="right"/>
              <w:rPr>
                <w:rFonts w:ascii="Calibri" w:hAnsi="Calibri" w:cs="Calibri"/>
                <w:color w:val="000000"/>
              </w:rPr>
            </w:pPr>
            <w:r w:rsidRPr="00CD54D7">
              <w:rPr>
                <w:rFonts w:ascii="Calibri" w:hAnsi="Calibri" w:cs="Calibri"/>
                <w:color w:val="000000"/>
              </w:rPr>
              <w:t>0</w:t>
            </w:r>
          </w:p>
        </w:tc>
        <w:tc>
          <w:tcPr>
            <w:tcW w:w="1126" w:type="dxa"/>
            <w:tcBorders>
              <w:top w:val="nil"/>
              <w:left w:val="nil"/>
              <w:bottom w:val="nil"/>
              <w:right w:val="nil"/>
            </w:tcBorders>
            <w:shd w:val="clear" w:color="auto" w:fill="auto"/>
            <w:noWrap/>
            <w:vAlign w:val="bottom"/>
            <w:hideMark/>
          </w:tcPr>
          <w:p w:rsidR="00CD54D7" w:rsidRPr="00CD54D7" w:rsidRDefault="00CD54D7" w:rsidP="00CD54D7">
            <w:pPr>
              <w:jc w:val="right"/>
              <w:rPr>
                <w:rFonts w:ascii="Calibri" w:hAnsi="Calibri" w:cs="Calibri"/>
                <w:color w:val="000000"/>
              </w:rPr>
            </w:pPr>
            <w:r w:rsidRPr="00CD54D7">
              <w:rPr>
                <w:rFonts w:ascii="Calibri" w:hAnsi="Calibri" w:cs="Calibri"/>
                <w:color w:val="000000"/>
              </w:rPr>
              <w:t>1</w:t>
            </w:r>
          </w:p>
        </w:tc>
        <w:tc>
          <w:tcPr>
            <w:tcW w:w="1305" w:type="dxa"/>
            <w:tcBorders>
              <w:top w:val="nil"/>
              <w:left w:val="nil"/>
              <w:bottom w:val="nil"/>
              <w:right w:val="nil"/>
            </w:tcBorders>
            <w:shd w:val="clear" w:color="auto" w:fill="auto"/>
            <w:noWrap/>
            <w:vAlign w:val="bottom"/>
            <w:hideMark/>
          </w:tcPr>
          <w:p w:rsidR="00CD54D7" w:rsidRPr="00CD54D7" w:rsidRDefault="00CD54D7" w:rsidP="00CD54D7">
            <w:pPr>
              <w:jc w:val="right"/>
              <w:rPr>
                <w:rFonts w:ascii="Calibri" w:hAnsi="Calibri" w:cs="Calibri"/>
                <w:color w:val="000000"/>
              </w:rPr>
            </w:pPr>
            <w:r w:rsidRPr="00CD54D7">
              <w:rPr>
                <w:rFonts w:ascii="Calibri" w:hAnsi="Calibri" w:cs="Calibri"/>
                <w:color w:val="000000"/>
              </w:rPr>
              <w:t>5597891</w:t>
            </w:r>
          </w:p>
        </w:tc>
      </w:tr>
      <w:tr w:rsidR="00CD54D7" w:rsidRPr="00CD54D7" w:rsidTr="00CD54D7">
        <w:trPr>
          <w:trHeight w:val="290"/>
        </w:trPr>
        <w:tc>
          <w:tcPr>
            <w:tcW w:w="4159" w:type="dxa"/>
            <w:tcBorders>
              <w:top w:val="nil"/>
              <w:left w:val="nil"/>
              <w:bottom w:val="nil"/>
              <w:right w:val="nil"/>
            </w:tcBorders>
            <w:shd w:val="clear" w:color="auto" w:fill="auto"/>
            <w:noWrap/>
            <w:vAlign w:val="bottom"/>
            <w:hideMark/>
          </w:tcPr>
          <w:p w:rsidR="00CD54D7" w:rsidRPr="00CD54D7" w:rsidRDefault="00CD54D7" w:rsidP="00CD54D7">
            <w:pPr>
              <w:rPr>
                <w:rFonts w:ascii="Calibri" w:hAnsi="Calibri" w:cs="Calibri"/>
                <w:color w:val="000000"/>
              </w:rPr>
            </w:pPr>
            <w:r w:rsidRPr="00CD54D7">
              <w:rPr>
                <w:rFonts w:ascii="Calibri" w:hAnsi="Calibri" w:cs="Calibri"/>
                <w:color w:val="000000"/>
              </w:rPr>
              <w:t>Hispanic</w:t>
            </w:r>
          </w:p>
        </w:tc>
        <w:tc>
          <w:tcPr>
            <w:tcW w:w="1395" w:type="dxa"/>
            <w:tcBorders>
              <w:top w:val="nil"/>
              <w:left w:val="nil"/>
              <w:bottom w:val="nil"/>
              <w:right w:val="nil"/>
            </w:tcBorders>
            <w:shd w:val="clear" w:color="auto" w:fill="auto"/>
            <w:noWrap/>
            <w:vAlign w:val="bottom"/>
            <w:hideMark/>
          </w:tcPr>
          <w:p w:rsidR="00CD54D7" w:rsidRPr="00CD54D7" w:rsidRDefault="00CD54D7" w:rsidP="00CD54D7">
            <w:pPr>
              <w:jc w:val="right"/>
              <w:rPr>
                <w:rFonts w:ascii="Calibri" w:hAnsi="Calibri" w:cs="Calibri"/>
                <w:color w:val="000000"/>
              </w:rPr>
            </w:pPr>
            <w:r w:rsidRPr="00CD54D7">
              <w:rPr>
                <w:rFonts w:ascii="Calibri" w:hAnsi="Calibri" w:cs="Calibri"/>
                <w:color w:val="000000"/>
              </w:rPr>
              <w:t>0.172</w:t>
            </w:r>
          </w:p>
        </w:tc>
        <w:tc>
          <w:tcPr>
            <w:tcW w:w="856" w:type="dxa"/>
            <w:tcBorders>
              <w:top w:val="nil"/>
              <w:left w:val="nil"/>
              <w:bottom w:val="nil"/>
              <w:right w:val="nil"/>
            </w:tcBorders>
            <w:shd w:val="clear" w:color="auto" w:fill="auto"/>
            <w:noWrap/>
            <w:vAlign w:val="bottom"/>
            <w:hideMark/>
          </w:tcPr>
          <w:p w:rsidR="00CD54D7" w:rsidRPr="00CD54D7" w:rsidRDefault="00CD54D7" w:rsidP="00CD54D7">
            <w:pPr>
              <w:jc w:val="right"/>
              <w:rPr>
                <w:rFonts w:ascii="Calibri" w:hAnsi="Calibri" w:cs="Calibri"/>
                <w:color w:val="000000"/>
              </w:rPr>
            </w:pPr>
            <w:r w:rsidRPr="00CD54D7">
              <w:rPr>
                <w:rFonts w:ascii="Calibri" w:hAnsi="Calibri" w:cs="Calibri"/>
                <w:color w:val="000000"/>
              </w:rPr>
              <w:t>0</w:t>
            </w:r>
          </w:p>
        </w:tc>
        <w:tc>
          <w:tcPr>
            <w:tcW w:w="1126" w:type="dxa"/>
            <w:tcBorders>
              <w:top w:val="nil"/>
              <w:left w:val="nil"/>
              <w:bottom w:val="nil"/>
              <w:right w:val="nil"/>
            </w:tcBorders>
            <w:shd w:val="clear" w:color="auto" w:fill="auto"/>
            <w:noWrap/>
            <w:vAlign w:val="bottom"/>
            <w:hideMark/>
          </w:tcPr>
          <w:p w:rsidR="00CD54D7" w:rsidRPr="00CD54D7" w:rsidRDefault="00CD54D7" w:rsidP="00CD54D7">
            <w:pPr>
              <w:jc w:val="right"/>
              <w:rPr>
                <w:rFonts w:ascii="Calibri" w:hAnsi="Calibri" w:cs="Calibri"/>
                <w:color w:val="000000"/>
              </w:rPr>
            </w:pPr>
            <w:r w:rsidRPr="00CD54D7">
              <w:rPr>
                <w:rFonts w:ascii="Calibri" w:hAnsi="Calibri" w:cs="Calibri"/>
                <w:color w:val="000000"/>
              </w:rPr>
              <w:t>1</w:t>
            </w:r>
          </w:p>
        </w:tc>
        <w:tc>
          <w:tcPr>
            <w:tcW w:w="1305" w:type="dxa"/>
            <w:tcBorders>
              <w:top w:val="nil"/>
              <w:left w:val="nil"/>
              <w:bottom w:val="nil"/>
              <w:right w:val="nil"/>
            </w:tcBorders>
            <w:shd w:val="clear" w:color="auto" w:fill="auto"/>
            <w:noWrap/>
            <w:vAlign w:val="bottom"/>
            <w:hideMark/>
          </w:tcPr>
          <w:p w:rsidR="00CD54D7" w:rsidRPr="00CD54D7" w:rsidRDefault="00CD54D7" w:rsidP="00CD54D7">
            <w:pPr>
              <w:jc w:val="right"/>
              <w:rPr>
                <w:rFonts w:ascii="Calibri" w:hAnsi="Calibri" w:cs="Calibri"/>
                <w:color w:val="000000"/>
              </w:rPr>
            </w:pPr>
            <w:r w:rsidRPr="00CD54D7">
              <w:rPr>
                <w:rFonts w:ascii="Calibri" w:hAnsi="Calibri" w:cs="Calibri"/>
                <w:color w:val="000000"/>
              </w:rPr>
              <w:t>5597891</w:t>
            </w:r>
          </w:p>
        </w:tc>
      </w:tr>
      <w:tr w:rsidR="00CD54D7" w:rsidRPr="00CD54D7" w:rsidTr="00CD54D7">
        <w:trPr>
          <w:trHeight w:val="290"/>
        </w:trPr>
        <w:tc>
          <w:tcPr>
            <w:tcW w:w="4159" w:type="dxa"/>
            <w:tcBorders>
              <w:top w:val="nil"/>
              <w:left w:val="nil"/>
              <w:bottom w:val="nil"/>
              <w:right w:val="nil"/>
            </w:tcBorders>
            <w:shd w:val="clear" w:color="auto" w:fill="auto"/>
            <w:noWrap/>
            <w:vAlign w:val="bottom"/>
            <w:hideMark/>
          </w:tcPr>
          <w:p w:rsidR="00CD54D7" w:rsidRPr="00CD54D7" w:rsidRDefault="00CD54D7" w:rsidP="00CD54D7">
            <w:pPr>
              <w:rPr>
                <w:rFonts w:ascii="Calibri" w:hAnsi="Calibri" w:cs="Calibri"/>
                <w:color w:val="000000"/>
              </w:rPr>
            </w:pPr>
            <w:r w:rsidRPr="00CD54D7">
              <w:rPr>
                <w:rFonts w:ascii="Calibri" w:hAnsi="Calibri" w:cs="Calibri"/>
                <w:color w:val="000000"/>
              </w:rPr>
              <w:t>Black</w:t>
            </w:r>
          </w:p>
        </w:tc>
        <w:tc>
          <w:tcPr>
            <w:tcW w:w="1395" w:type="dxa"/>
            <w:tcBorders>
              <w:top w:val="nil"/>
              <w:left w:val="nil"/>
              <w:bottom w:val="nil"/>
              <w:right w:val="nil"/>
            </w:tcBorders>
            <w:shd w:val="clear" w:color="auto" w:fill="auto"/>
            <w:noWrap/>
            <w:vAlign w:val="bottom"/>
            <w:hideMark/>
          </w:tcPr>
          <w:p w:rsidR="00CD54D7" w:rsidRPr="00CD54D7" w:rsidRDefault="00CD54D7" w:rsidP="00CD54D7">
            <w:pPr>
              <w:jc w:val="right"/>
              <w:rPr>
                <w:rFonts w:ascii="Calibri" w:hAnsi="Calibri" w:cs="Calibri"/>
                <w:color w:val="000000"/>
              </w:rPr>
            </w:pPr>
            <w:r w:rsidRPr="00CD54D7">
              <w:rPr>
                <w:rFonts w:ascii="Calibri" w:hAnsi="Calibri" w:cs="Calibri"/>
                <w:color w:val="000000"/>
              </w:rPr>
              <w:t>0.105</w:t>
            </w:r>
          </w:p>
        </w:tc>
        <w:tc>
          <w:tcPr>
            <w:tcW w:w="856" w:type="dxa"/>
            <w:tcBorders>
              <w:top w:val="nil"/>
              <w:left w:val="nil"/>
              <w:bottom w:val="nil"/>
              <w:right w:val="nil"/>
            </w:tcBorders>
            <w:shd w:val="clear" w:color="auto" w:fill="auto"/>
            <w:noWrap/>
            <w:vAlign w:val="bottom"/>
            <w:hideMark/>
          </w:tcPr>
          <w:p w:rsidR="00CD54D7" w:rsidRPr="00CD54D7" w:rsidRDefault="00CD54D7" w:rsidP="00CD54D7">
            <w:pPr>
              <w:jc w:val="right"/>
              <w:rPr>
                <w:rFonts w:ascii="Calibri" w:hAnsi="Calibri" w:cs="Calibri"/>
                <w:color w:val="000000"/>
              </w:rPr>
            </w:pPr>
            <w:r w:rsidRPr="00CD54D7">
              <w:rPr>
                <w:rFonts w:ascii="Calibri" w:hAnsi="Calibri" w:cs="Calibri"/>
                <w:color w:val="000000"/>
              </w:rPr>
              <w:t>0</w:t>
            </w:r>
          </w:p>
        </w:tc>
        <w:tc>
          <w:tcPr>
            <w:tcW w:w="1126" w:type="dxa"/>
            <w:tcBorders>
              <w:top w:val="nil"/>
              <w:left w:val="nil"/>
              <w:bottom w:val="nil"/>
              <w:right w:val="nil"/>
            </w:tcBorders>
            <w:shd w:val="clear" w:color="auto" w:fill="auto"/>
            <w:noWrap/>
            <w:vAlign w:val="bottom"/>
            <w:hideMark/>
          </w:tcPr>
          <w:p w:rsidR="00CD54D7" w:rsidRPr="00CD54D7" w:rsidRDefault="00CD54D7" w:rsidP="00CD54D7">
            <w:pPr>
              <w:jc w:val="right"/>
              <w:rPr>
                <w:rFonts w:ascii="Calibri" w:hAnsi="Calibri" w:cs="Calibri"/>
                <w:color w:val="000000"/>
              </w:rPr>
            </w:pPr>
            <w:r w:rsidRPr="00CD54D7">
              <w:rPr>
                <w:rFonts w:ascii="Calibri" w:hAnsi="Calibri" w:cs="Calibri"/>
                <w:color w:val="000000"/>
              </w:rPr>
              <w:t>1</w:t>
            </w:r>
          </w:p>
        </w:tc>
        <w:tc>
          <w:tcPr>
            <w:tcW w:w="1305" w:type="dxa"/>
            <w:tcBorders>
              <w:top w:val="nil"/>
              <w:left w:val="nil"/>
              <w:bottom w:val="nil"/>
              <w:right w:val="nil"/>
            </w:tcBorders>
            <w:shd w:val="clear" w:color="auto" w:fill="auto"/>
            <w:noWrap/>
            <w:vAlign w:val="bottom"/>
            <w:hideMark/>
          </w:tcPr>
          <w:p w:rsidR="00CD54D7" w:rsidRPr="00CD54D7" w:rsidRDefault="00CD54D7" w:rsidP="00CD54D7">
            <w:pPr>
              <w:jc w:val="right"/>
              <w:rPr>
                <w:rFonts w:ascii="Calibri" w:hAnsi="Calibri" w:cs="Calibri"/>
                <w:color w:val="000000"/>
              </w:rPr>
            </w:pPr>
            <w:r w:rsidRPr="00CD54D7">
              <w:rPr>
                <w:rFonts w:ascii="Calibri" w:hAnsi="Calibri" w:cs="Calibri"/>
                <w:color w:val="000000"/>
              </w:rPr>
              <w:t>5597891</w:t>
            </w:r>
          </w:p>
        </w:tc>
      </w:tr>
      <w:tr w:rsidR="00CD54D7" w:rsidRPr="00CD54D7" w:rsidTr="00CD54D7">
        <w:trPr>
          <w:trHeight w:val="290"/>
        </w:trPr>
        <w:tc>
          <w:tcPr>
            <w:tcW w:w="4159" w:type="dxa"/>
            <w:tcBorders>
              <w:top w:val="nil"/>
              <w:left w:val="nil"/>
              <w:bottom w:val="nil"/>
              <w:right w:val="nil"/>
            </w:tcBorders>
            <w:shd w:val="clear" w:color="auto" w:fill="auto"/>
            <w:noWrap/>
            <w:vAlign w:val="bottom"/>
            <w:hideMark/>
          </w:tcPr>
          <w:p w:rsidR="00CD54D7" w:rsidRPr="00CD54D7" w:rsidRDefault="00CD54D7" w:rsidP="00CD54D7">
            <w:pPr>
              <w:rPr>
                <w:rFonts w:ascii="Calibri" w:hAnsi="Calibri" w:cs="Calibri"/>
                <w:color w:val="000000"/>
              </w:rPr>
            </w:pPr>
            <w:r w:rsidRPr="00CD54D7">
              <w:rPr>
                <w:rFonts w:ascii="Calibri" w:hAnsi="Calibri" w:cs="Calibri"/>
                <w:color w:val="000000"/>
              </w:rPr>
              <w:t>Asian</w:t>
            </w:r>
          </w:p>
        </w:tc>
        <w:tc>
          <w:tcPr>
            <w:tcW w:w="1395" w:type="dxa"/>
            <w:tcBorders>
              <w:top w:val="nil"/>
              <w:left w:val="nil"/>
              <w:bottom w:val="nil"/>
              <w:right w:val="nil"/>
            </w:tcBorders>
            <w:shd w:val="clear" w:color="auto" w:fill="auto"/>
            <w:noWrap/>
            <w:vAlign w:val="bottom"/>
            <w:hideMark/>
          </w:tcPr>
          <w:p w:rsidR="00CD54D7" w:rsidRPr="00CD54D7" w:rsidRDefault="00CD54D7" w:rsidP="00CD54D7">
            <w:pPr>
              <w:jc w:val="right"/>
              <w:rPr>
                <w:rFonts w:ascii="Calibri" w:hAnsi="Calibri" w:cs="Calibri"/>
                <w:color w:val="000000"/>
              </w:rPr>
            </w:pPr>
            <w:r w:rsidRPr="00CD54D7">
              <w:rPr>
                <w:rFonts w:ascii="Calibri" w:hAnsi="Calibri" w:cs="Calibri"/>
                <w:color w:val="000000"/>
              </w:rPr>
              <w:t>0.061</w:t>
            </w:r>
          </w:p>
        </w:tc>
        <w:tc>
          <w:tcPr>
            <w:tcW w:w="856" w:type="dxa"/>
            <w:tcBorders>
              <w:top w:val="nil"/>
              <w:left w:val="nil"/>
              <w:bottom w:val="nil"/>
              <w:right w:val="nil"/>
            </w:tcBorders>
            <w:shd w:val="clear" w:color="auto" w:fill="auto"/>
            <w:noWrap/>
            <w:vAlign w:val="bottom"/>
            <w:hideMark/>
          </w:tcPr>
          <w:p w:rsidR="00CD54D7" w:rsidRPr="00CD54D7" w:rsidRDefault="00CD54D7" w:rsidP="00CD54D7">
            <w:pPr>
              <w:jc w:val="right"/>
              <w:rPr>
                <w:rFonts w:ascii="Calibri" w:hAnsi="Calibri" w:cs="Calibri"/>
                <w:color w:val="000000"/>
              </w:rPr>
            </w:pPr>
            <w:r w:rsidRPr="00CD54D7">
              <w:rPr>
                <w:rFonts w:ascii="Calibri" w:hAnsi="Calibri" w:cs="Calibri"/>
                <w:color w:val="000000"/>
              </w:rPr>
              <w:t>0</w:t>
            </w:r>
          </w:p>
        </w:tc>
        <w:tc>
          <w:tcPr>
            <w:tcW w:w="1126" w:type="dxa"/>
            <w:tcBorders>
              <w:top w:val="nil"/>
              <w:left w:val="nil"/>
              <w:bottom w:val="nil"/>
              <w:right w:val="nil"/>
            </w:tcBorders>
            <w:shd w:val="clear" w:color="auto" w:fill="auto"/>
            <w:noWrap/>
            <w:vAlign w:val="bottom"/>
            <w:hideMark/>
          </w:tcPr>
          <w:p w:rsidR="00CD54D7" w:rsidRPr="00CD54D7" w:rsidRDefault="00CD54D7" w:rsidP="00CD54D7">
            <w:pPr>
              <w:jc w:val="right"/>
              <w:rPr>
                <w:rFonts w:ascii="Calibri" w:hAnsi="Calibri" w:cs="Calibri"/>
                <w:color w:val="000000"/>
              </w:rPr>
            </w:pPr>
            <w:r w:rsidRPr="00CD54D7">
              <w:rPr>
                <w:rFonts w:ascii="Calibri" w:hAnsi="Calibri" w:cs="Calibri"/>
                <w:color w:val="000000"/>
              </w:rPr>
              <w:t>1</w:t>
            </w:r>
          </w:p>
        </w:tc>
        <w:tc>
          <w:tcPr>
            <w:tcW w:w="1305" w:type="dxa"/>
            <w:tcBorders>
              <w:top w:val="nil"/>
              <w:left w:val="nil"/>
              <w:bottom w:val="nil"/>
              <w:right w:val="nil"/>
            </w:tcBorders>
            <w:shd w:val="clear" w:color="auto" w:fill="auto"/>
            <w:noWrap/>
            <w:vAlign w:val="bottom"/>
            <w:hideMark/>
          </w:tcPr>
          <w:p w:rsidR="00CD54D7" w:rsidRPr="00CD54D7" w:rsidRDefault="00CD54D7" w:rsidP="00CD54D7">
            <w:pPr>
              <w:jc w:val="right"/>
              <w:rPr>
                <w:rFonts w:ascii="Calibri" w:hAnsi="Calibri" w:cs="Calibri"/>
                <w:color w:val="000000"/>
              </w:rPr>
            </w:pPr>
            <w:r w:rsidRPr="00CD54D7">
              <w:rPr>
                <w:rFonts w:ascii="Calibri" w:hAnsi="Calibri" w:cs="Calibri"/>
                <w:color w:val="000000"/>
              </w:rPr>
              <w:t>5597891</w:t>
            </w:r>
          </w:p>
        </w:tc>
      </w:tr>
      <w:tr w:rsidR="00CD54D7" w:rsidRPr="00CD54D7" w:rsidTr="009D350E">
        <w:trPr>
          <w:trHeight w:val="290"/>
        </w:trPr>
        <w:tc>
          <w:tcPr>
            <w:tcW w:w="4159" w:type="dxa"/>
            <w:tcBorders>
              <w:top w:val="nil"/>
              <w:left w:val="nil"/>
              <w:right w:val="nil"/>
            </w:tcBorders>
            <w:shd w:val="clear" w:color="auto" w:fill="auto"/>
            <w:noWrap/>
            <w:vAlign w:val="bottom"/>
            <w:hideMark/>
          </w:tcPr>
          <w:p w:rsidR="00CD54D7" w:rsidRPr="00CD54D7" w:rsidRDefault="00CD54D7" w:rsidP="00CD54D7">
            <w:pPr>
              <w:rPr>
                <w:rFonts w:ascii="Calibri" w:hAnsi="Calibri" w:cs="Calibri"/>
                <w:color w:val="000000"/>
              </w:rPr>
            </w:pPr>
            <w:r w:rsidRPr="00CD54D7">
              <w:rPr>
                <w:rFonts w:ascii="Calibri" w:hAnsi="Calibri" w:cs="Calibri"/>
                <w:color w:val="000000"/>
              </w:rPr>
              <w:t>White</w:t>
            </w:r>
          </w:p>
        </w:tc>
        <w:tc>
          <w:tcPr>
            <w:tcW w:w="1395" w:type="dxa"/>
            <w:tcBorders>
              <w:top w:val="nil"/>
              <w:left w:val="nil"/>
              <w:right w:val="nil"/>
            </w:tcBorders>
            <w:shd w:val="clear" w:color="auto" w:fill="auto"/>
            <w:noWrap/>
            <w:vAlign w:val="bottom"/>
            <w:hideMark/>
          </w:tcPr>
          <w:p w:rsidR="00CD54D7" w:rsidRPr="00CD54D7" w:rsidRDefault="00CD54D7" w:rsidP="00CD54D7">
            <w:pPr>
              <w:jc w:val="right"/>
              <w:rPr>
                <w:rFonts w:ascii="Calibri" w:hAnsi="Calibri" w:cs="Calibri"/>
                <w:color w:val="000000"/>
              </w:rPr>
            </w:pPr>
            <w:r w:rsidRPr="00CD54D7">
              <w:rPr>
                <w:rFonts w:ascii="Calibri" w:hAnsi="Calibri" w:cs="Calibri"/>
                <w:color w:val="000000"/>
              </w:rPr>
              <w:t>0.632</w:t>
            </w:r>
          </w:p>
        </w:tc>
        <w:tc>
          <w:tcPr>
            <w:tcW w:w="856" w:type="dxa"/>
            <w:tcBorders>
              <w:top w:val="nil"/>
              <w:left w:val="nil"/>
              <w:right w:val="nil"/>
            </w:tcBorders>
            <w:shd w:val="clear" w:color="auto" w:fill="auto"/>
            <w:noWrap/>
            <w:vAlign w:val="bottom"/>
            <w:hideMark/>
          </w:tcPr>
          <w:p w:rsidR="00CD54D7" w:rsidRPr="00CD54D7" w:rsidRDefault="00CD54D7" w:rsidP="00CD54D7">
            <w:pPr>
              <w:jc w:val="right"/>
              <w:rPr>
                <w:rFonts w:ascii="Calibri" w:hAnsi="Calibri" w:cs="Calibri"/>
                <w:color w:val="000000"/>
              </w:rPr>
            </w:pPr>
            <w:r w:rsidRPr="00CD54D7">
              <w:rPr>
                <w:rFonts w:ascii="Calibri" w:hAnsi="Calibri" w:cs="Calibri"/>
                <w:color w:val="000000"/>
              </w:rPr>
              <w:t>0</w:t>
            </w:r>
          </w:p>
        </w:tc>
        <w:tc>
          <w:tcPr>
            <w:tcW w:w="1126" w:type="dxa"/>
            <w:tcBorders>
              <w:top w:val="nil"/>
              <w:left w:val="nil"/>
              <w:right w:val="nil"/>
            </w:tcBorders>
            <w:shd w:val="clear" w:color="auto" w:fill="auto"/>
            <w:noWrap/>
            <w:vAlign w:val="bottom"/>
            <w:hideMark/>
          </w:tcPr>
          <w:p w:rsidR="00CD54D7" w:rsidRPr="00CD54D7" w:rsidRDefault="00CD54D7" w:rsidP="00CD54D7">
            <w:pPr>
              <w:jc w:val="right"/>
              <w:rPr>
                <w:rFonts w:ascii="Calibri" w:hAnsi="Calibri" w:cs="Calibri"/>
                <w:color w:val="000000"/>
              </w:rPr>
            </w:pPr>
            <w:r w:rsidRPr="00CD54D7">
              <w:rPr>
                <w:rFonts w:ascii="Calibri" w:hAnsi="Calibri" w:cs="Calibri"/>
                <w:color w:val="000000"/>
              </w:rPr>
              <w:t>1</w:t>
            </w:r>
          </w:p>
        </w:tc>
        <w:tc>
          <w:tcPr>
            <w:tcW w:w="1305" w:type="dxa"/>
            <w:tcBorders>
              <w:top w:val="nil"/>
              <w:left w:val="nil"/>
              <w:right w:val="nil"/>
            </w:tcBorders>
            <w:shd w:val="clear" w:color="auto" w:fill="auto"/>
            <w:noWrap/>
            <w:vAlign w:val="bottom"/>
            <w:hideMark/>
          </w:tcPr>
          <w:p w:rsidR="00CD54D7" w:rsidRPr="00CD54D7" w:rsidRDefault="00CD54D7" w:rsidP="00CD54D7">
            <w:pPr>
              <w:jc w:val="right"/>
              <w:rPr>
                <w:rFonts w:ascii="Calibri" w:hAnsi="Calibri" w:cs="Calibri"/>
                <w:color w:val="000000"/>
              </w:rPr>
            </w:pPr>
            <w:r w:rsidRPr="00CD54D7">
              <w:rPr>
                <w:rFonts w:ascii="Calibri" w:hAnsi="Calibri" w:cs="Calibri"/>
                <w:color w:val="000000"/>
              </w:rPr>
              <w:t>5597891</w:t>
            </w:r>
          </w:p>
        </w:tc>
      </w:tr>
      <w:tr w:rsidR="00CD54D7" w:rsidRPr="00CD54D7" w:rsidTr="009D350E">
        <w:trPr>
          <w:trHeight w:val="290"/>
        </w:trPr>
        <w:tc>
          <w:tcPr>
            <w:tcW w:w="4159" w:type="dxa"/>
            <w:tcBorders>
              <w:top w:val="nil"/>
              <w:left w:val="nil"/>
              <w:bottom w:val="single" w:sz="4" w:space="0" w:color="auto"/>
              <w:right w:val="nil"/>
            </w:tcBorders>
            <w:shd w:val="clear" w:color="auto" w:fill="auto"/>
            <w:noWrap/>
            <w:vAlign w:val="bottom"/>
            <w:hideMark/>
          </w:tcPr>
          <w:p w:rsidR="00CD54D7" w:rsidRPr="00CD54D7" w:rsidRDefault="00CD54D7" w:rsidP="00CD54D7">
            <w:pPr>
              <w:rPr>
                <w:rFonts w:ascii="Calibri" w:hAnsi="Calibri" w:cs="Calibri"/>
                <w:color w:val="000000"/>
              </w:rPr>
            </w:pPr>
            <w:proofErr w:type="gramStart"/>
            <w:r w:rsidRPr="00CD54D7">
              <w:rPr>
                <w:rFonts w:ascii="Calibri" w:hAnsi="Calibri" w:cs="Calibri"/>
                <w:color w:val="000000"/>
              </w:rPr>
              <w:t>Oth</w:t>
            </w:r>
            <w:r w:rsidR="0074061D">
              <w:rPr>
                <w:rFonts w:ascii="Calibri" w:hAnsi="Calibri" w:cs="Calibri"/>
                <w:color w:val="000000"/>
              </w:rPr>
              <w:t>er</w:t>
            </w:r>
            <w:proofErr w:type="gramEnd"/>
            <w:r w:rsidR="0074061D">
              <w:rPr>
                <w:rFonts w:ascii="Calibri" w:hAnsi="Calibri" w:cs="Calibri"/>
                <w:color w:val="000000"/>
              </w:rPr>
              <w:t xml:space="preserve"> R</w:t>
            </w:r>
            <w:r w:rsidRPr="00CD54D7">
              <w:rPr>
                <w:rFonts w:ascii="Calibri" w:hAnsi="Calibri" w:cs="Calibri"/>
                <w:color w:val="000000"/>
              </w:rPr>
              <w:t>ace</w:t>
            </w:r>
          </w:p>
        </w:tc>
        <w:tc>
          <w:tcPr>
            <w:tcW w:w="1395" w:type="dxa"/>
            <w:tcBorders>
              <w:top w:val="nil"/>
              <w:left w:val="nil"/>
              <w:bottom w:val="single" w:sz="4" w:space="0" w:color="auto"/>
              <w:right w:val="nil"/>
            </w:tcBorders>
            <w:shd w:val="clear" w:color="auto" w:fill="auto"/>
            <w:noWrap/>
            <w:vAlign w:val="bottom"/>
            <w:hideMark/>
          </w:tcPr>
          <w:p w:rsidR="00CD54D7" w:rsidRPr="00CD54D7" w:rsidRDefault="00CD54D7" w:rsidP="00CD54D7">
            <w:pPr>
              <w:jc w:val="right"/>
              <w:rPr>
                <w:rFonts w:ascii="Calibri" w:hAnsi="Calibri" w:cs="Calibri"/>
                <w:color w:val="000000"/>
              </w:rPr>
            </w:pPr>
            <w:r w:rsidRPr="00CD54D7">
              <w:rPr>
                <w:rFonts w:ascii="Calibri" w:hAnsi="Calibri" w:cs="Calibri"/>
                <w:color w:val="000000"/>
              </w:rPr>
              <w:t>0.030</w:t>
            </w:r>
          </w:p>
        </w:tc>
        <w:tc>
          <w:tcPr>
            <w:tcW w:w="856" w:type="dxa"/>
            <w:tcBorders>
              <w:top w:val="nil"/>
              <w:left w:val="nil"/>
              <w:bottom w:val="single" w:sz="4" w:space="0" w:color="auto"/>
              <w:right w:val="nil"/>
            </w:tcBorders>
            <w:shd w:val="clear" w:color="auto" w:fill="auto"/>
            <w:noWrap/>
            <w:vAlign w:val="bottom"/>
            <w:hideMark/>
          </w:tcPr>
          <w:p w:rsidR="00CD54D7" w:rsidRPr="00CD54D7" w:rsidRDefault="00CD54D7" w:rsidP="00CD54D7">
            <w:pPr>
              <w:jc w:val="right"/>
              <w:rPr>
                <w:rFonts w:ascii="Calibri" w:hAnsi="Calibri" w:cs="Calibri"/>
                <w:color w:val="000000"/>
              </w:rPr>
            </w:pPr>
            <w:r w:rsidRPr="00CD54D7">
              <w:rPr>
                <w:rFonts w:ascii="Calibri" w:hAnsi="Calibri" w:cs="Calibri"/>
                <w:color w:val="000000"/>
              </w:rPr>
              <w:t>0</w:t>
            </w:r>
          </w:p>
        </w:tc>
        <w:tc>
          <w:tcPr>
            <w:tcW w:w="1126" w:type="dxa"/>
            <w:tcBorders>
              <w:top w:val="nil"/>
              <w:left w:val="nil"/>
              <w:bottom w:val="single" w:sz="4" w:space="0" w:color="auto"/>
              <w:right w:val="nil"/>
            </w:tcBorders>
            <w:shd w:val="clear" w:color="auto" w:fill="auto"/>
            <w:noWrap/>
            <w:vAlign w:val="bottom"/>
            <w:hideMark/>
          </w:tcPr>
          <w:p w:rsidR="00CD54D7" w:rsidRPr="00CD54D7" w:rsidRDefault="00CD54D7" w:rsidP="00CD54D7">
            <w:pPr>
              <w:jc w:val="right"/>
              <w:rPr>
                <w:rFonts w:ascii="Calibri" w:hAnsi="Calibri" w:cs="Calibri"/>
                <w:color w:val="000000"/>
              </w:rPr>
            </w:pPr>
            <w:r w:rsidRPr="00CD54D7">
              <w:rPr>
                <w:rFonts w:ascii="Calibri" w:hAnsi="Calibri" w:cs="Calibri"/>
                <w:color w:val="000000"/>
              </w:rPr>
              <w:t>1</w:t>
            </w:r>
          </w:p>
        </w:tc>
        <w:tc>
          <w:tcPr>
            <w:tcW w:w="1305" w:type="dxa"/>
            <w:tcBorders>
              <w:top w:val="nil"/>
              <w:left w:val="nil"/>
              <w:bottom w:val="single" w:sz="4" w:space="0" w:color="auto"/>
              <w:right w:val="nil"/>
            </w:tcBorders>
            <w:shd w:val="clear" w:color="auto" w:fill="auto"/>
            <w:noWrap/>
            <w:vAlign w:val="bottom"/>
            <w:hideMark/>
          </w:tcPr>
          <w:p w:rsidR="00CD54D7" w:rsidRPr="00CD54D7" w:rsidRDefault="00CD54D7" w:rsidP="00CD54D7">
            <w:pPr>
              <w:jc w:val="right"/>
              <w:rPr>
                <w:rFonts w:ascii="Calibri" w:hAnsi="Calibri" w:cs="Calibri"/>
                <w:color w:val="000000"/>
              </w:rPr>
            </w:pPr>
            <w:r w:rsidRPr="00CD54D7">
              <w:rPr>
                <w:rFonts w:ascii="Calibri" w:hAnsi="Calibri" w:cs="Calibri"/>
                <w:color w:val="000000"/>
              </w:rPr>
              <w:t>5597891</w:t>
            </w:r>
          </w:p>
        </w:tc>
      </w:tr>
    </w:tbl>
    <w:p w:rsidR="00066578" w:rsidRDefault="00066578" w:rsidP="00482A31">
      <w:pPr>
        <w:spacing w:line="276" w:lineRule="auto"/>
        <w:rPr>
          <w:b/>
          <w:u w:val="single"/>
        </w:rPr>
      </w:pPr>
    </w:p>
    <w:p w:rsidR="00AF691C" w:rsidRPr="00AF691C" w:rsidRDefault="00AF691C" w:rsidP="00AF691C">
      <w:pPr>
        <w:spacing w:line="480" w:lineRule="auto"/>
        <w:rPr>
          <w:b/>
          <w:u w:val="single"/>
        </w:rPr>
      </w:pPr>
    </w:p>
    <w:p w:rsidR="002C716F" w:rsidRPr="007E0CC0" w:rsidRDefault="00A60F34" w:rsidP="007A67E2">
      <w:pPr>
        <w:pStyle w:val="ListParagraph"/>
        <w:numPr>
          <w:ilvl w:val="0"/>
          <w:numId w:val="4"/>
        </w:numPr>
        <w:spacing w:line="480" w:lineRule="auto"/>
        <w:rPr>
          <w:b/>
          <w:u w:val="single"/>
        </w:rPr>
      </w:pPr>
      <w:r w:rsidRPr="007E0CC0">
        <w:rPr>
          <w:b/>
          <w:u w:val="single"/>
        </w:rPr>
        <w:t>Methodology</w:t>
      </w:r>
      <w:r w:rsidR="00760553" w:rsidRPr="007E0CC0">
        <w:rPr>
          <w:b/>
          <w:u w:val="single"/>
        </w:rPr>
        <w:t>/Empirical Strategy</w:t>
      </w:r>
    </w:p>
    <w:p w:rsidR="00A60F34" w:rsidRDefault="00DA38A8" w:rsidP="007A67E2">
      <w:pPr>
        <w:spacing w:line="480" w:lineRule="auto"/>
        <w:ind w:firstLine="720"/>
      </w:pPr>
      <w:r w:rsidRPr="00676663">
        <w:t>In order to investigate the effect of the Medicaid expansion on labor supply</w:t>
      </w:r>
      <w:r>
        <w:t xml:space="preserve">, </w:t>
      </w:r>
      <w:r w:rsidR="00554B3A">
        <w:t xml:space="preserve">I start by estimating </w:t>
      </w:r>
      <w:r w:rsidR="006D1FF7">
        <w:t>the standard</w:t>
      </w:r>
      <w:r w:rsidR="00554B3A">
        <w:t xml:space="preserve"> </w:t>
      </w:r>
      <w:r w:rsidR="00E73750">
        <w:t>d</w:t>
      </w:r>
      <w:r w:rsidR="00182864">
        <w:t>ifference-in-</w:t>
      </w:r>
      <w:r w:rsidR="00E73750">
        <w:t>d</w:t>
      </w:r>
      <w:r w:rsidR="00182864">
        <w:t>ifferences model</w:t>
      </w:r>
      <w:r w:rsidR="006D1FF7">
        <w:t xml:space="preserve"> from</w:t>
      </w:r>
      <w:r w:rsidR="00554B3A">
        <w:t xml:space="preserve"> the literature</w:t>
      </w:r>
      <w:r w:rsidR="00182864">
        <w:t xml:space="preserve">, </w:t>
      </w:r>
      <w:r w:rsidR="00E73750">
        <w:t>to e</w:t>
      </w:r>
      <w:r w:rsidR="00034670">
        <w:t>stablish a baseline</w:t>
      </w:r>
      <w:r w:rsidR="00E73750">
        <w:t xml:space="preserve"> which I will compare </w:t>
      </w:r>
      <w:r w:rsidR="00A41448">
        <w:t>to findings from previous literature</w:t>
      </w:r>
      <w:r w:rsidR="00B85096">
        <w:t>:</w:t>
      </w:r>
      <w:r w:rsidR="00CF1A5D">
        <w:t xml:space="preserve"> </w:t>
      </w:r>
    </w:p>
    <w:p w:rsidR="00182864" w:rsidRPr="00182864" w:rsidRDefault="00040A4F" w:rsidP="007A67E2">
      <w:pPr>
        <w:pStyle w:val="ListParagraph"/>
        <w:numPr>
          <w:ilvl w:val="0"/>
          <w:numId w:val="1"/>
        </w:numPr>
        <w:spacing w:line="480" w:lineRule="auto"/>
      </w:pPr>
      <m:oMath>
        <m:sSub>
          <m:sSubPr>
            <m:ctrlPr>
              <w:rPr>
                <w:rFonts w:ascii="Cambria Math" w:hAnsi="Cambria Math"/>
                <w:i/>
                <w:iCs/>
              </w:rPr>
            </m:ctrlPr>
          </m:sSubPr>
          <m:e>
            <m:r>
              <w:rPr>
                <w:rFonts w:ascii="Cambria Math" w:hAnsi="Cambria Math"/>
              </w:rPr>
              <m:t>y</m:t>
            </m:r>
          </m:e>
          <m:sub>
            <m:r>
              <w:rPr>
                <w:rFonts w:ascii="Cambria Math" w:hAnsi="Cambria Math"/>
              </w:rPr>
              <m:t>ast</m:t>
            </m:r>
          </m:sub>
        </m:sSub>
        <m:r>
          <w:rPr>
            <w:rFonts w:ascii="Cambria Math" w:hAnsi="Cambria Math"/>
          </w:rPr>
          <m:t>=</m:t>
        </m:r>
        <m:sSub>
          <m:sSubPr>
            <m:ctrlPr>
              <w:rPr>
                <w:rFonts w:ascii="Cambria Math" w:hAnsi="Cambria Math"/>
                <w:i/>
                <w:iCs/>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α</m:t>
            </m:r>
          </m:e>
          <m:sub>
            <m:r>
              <w:rPr>
                <w:rFonts w:ascii="Cambria Math" w:hAnsi="Cambria Math"/>
              </w:rPr>
              <m:t>1</m:t>
            </m:r>
          </m:sub>
        </m:sSub>
        <m:d>
          <m:dPr>
            <m:ctrlPr>
              <w:rPr>
                <w:rFonts w:ascii="Cambria Math" w:hAnsi="Cambria Math"/>
                <w:i/>
                <w:iCs/>
              </w:rPr>
            </m:ctrlPr>
          </m:dPr>
          <m:e>
            <m:r>
              <w:rPr>
                <w:rFonts w:ascii="Cambria Math" w:hAnsi="Cambria Math"/>
              </w:rPr>
              <m:t>Pos</m:t>
            </m:r>
            <m:sSub>
              <m:sSubPr>
                <m:ctrlPr>
                  <w:rPr>
                    <w:rFonts w:ascii="Cambria Math" w:hAnsi="Cambria Math"/>
                    <w:i/>
                    <w:iCs/>
                  </w:rPr>
                </m:ctrlPr>
              </m:sSubPr>
              <m:e>
                <m:r>
                  <w:rPr>
                    <w:rFonts w:ascii="Cambria Math" w:hAnsi="Cambria Math"/>
                  </w:rPr>
                  <m:t>t</m:t>
                </m:r>
              </m:e>
              <m:sub>
                <m:r>
                  <w:rPr>
                    <w:rFonts w:ascii="Cambria Math" w:hAnsi="Cambria Math"/>
                  </w:rPr>
                  <m:t>t</m:t>
                </m:r>
              </m:sub>
            </m:sSub>
            <m:r>
              <w:rPr>
                <w:rFonts w:ascii="Cambria Math" w:hAnsi="Cambria Math"/>
              </w:rPr>
              <m:t>*Medicai</m:t>
            </m:r>
            <m:sSub>
              <m:sSubPr>
                <m:ctrlPr>
                  <w:rPr>
                    <w:rFonts w:ascii="Cambria Math" w:hAnsi="Cambria Math"/>
                    <w:i/>
                    <w:iCs/>
                  </w:rPr>
                </m:ctrlPr>
              </m:sSubPr>
              <m:e>
                <m:r>
                  <w:rPr>
                    <w:rFonts w:ascii="Cambria Math" w:hAnsi="Cambria Math"/>
                  </w:rPr>
                  <m:t>d</m:t>
                </m:r>
              </m:e>
              <m:sub>
                <m:r>
                  <w:rPr>
                    <w:rFonts w:ascii="Cambria Math" w:hAnsi="Cambria Math"/>
                  </w:rPr>
                  <m:t>s</m:t>
                </m:r>
              </m:sub>
            </m:sSub>
          </m:e>
        </m:d>
        <m:r>
          <w:rPr>
            <w:rFonts w:ascii="Cambria Math" w:hAnsi="Cambria Math"/>
          </w:rPr>
          <m:t>+</m:t>
        </m:r>
        <m:sSub>
          <m:sSubPr>
            <m:ctrlPr>
              <w:rPr>
                <w:rFonts w:ascii="Cambria Math" w:hAnsi="Cambria Math"/>
                <w:b/>
                <w:bCs/>
                <w:i/>
                <w:iCs/>
              </w:rPr>
            </m:ctrlPr>
          </m:sSubPr>
          <m:e>
            <m:r>
              <m:rPr>
                <m:sty m:val="bi"/>
              </m:rPr>
              <w:rPr>
                <w:rFonts w:ascii="Cambria Math" w:hAnsi="Cambria Math"/>
              </w:rPr>
              <m:t>α</m:t>
            </m:r>
          </m:e>
          <m:sub>
            <m:r>
              <m:rPr>
                <m:sty m:val="bi"/>
              </m:rPr>
              <w:rPr>
                <w:rFonts w:ascii="Cambria Math" w:hAnsi="Cambria Math"/>
              </w:rPr>
              <m:t>2</m:t>
            </m:r>
          </m:sub>
        </m:sSub>
        <m:sSub>
          <m:sSubPr>
            <m:ctrlPr>
              <w:rPr>
                <w:rFonts w:ascii="Cambria Math" w:hAnsi="Cambria Math"/>
                <w:b/>
                <w:bCs/>
                <w:i/>
                <w:iCs/>
              </w:rPr>
            </m:ctrlPr>
          </m:sSubPr>
          <m:e>
            <m:r>
              <m:rPr>
                <m:sty m:val="bi"/>
              </m:rPr>
              <w:rPr>
                <w:rFonts w:ascii="Cambria Math" w:hAnsi="Cambria Math"/>
              </w:rPr>
              <m:t>X</m:t>
            </m:r>
          </m:e>
          <m:sub>
            <m:r>
              <m:rPr>
                <m:sty m:val="bi"/>
              </m:rPr>
              <w:rPr>
                <w:rFonts w:ascii="Cambria Math" w:hAnsi="Cambria Math"/>
              </w:rPr>
              <m:t>ast</m:t>
            </m:r>
          </m:sub>
        </m:sSub>
        <m:r>
          <w:rPr>
            <w:rFonts w:ascii="Cambria Math" w:hAnsi="Cambria Math"/>
          </w:rPr>
          <m:t>+ </m:t>
        </m:r>
        <m:sSub>
          <m:sSubPr>
            <m:ctrlPr>
              <w:rPr>
                <w:rFonts w:ascii="Cambria Math" w:hAnsi="Cambria Math"/>
                <w:i/>
                <w:iCs/>
              </w:rPr>
            </m:ctrlPr>
          </m:sSubPr>
          <m:e>
            <m:r>
              <w:rPr>
                <w:rFonts w:ascii="Cambria Math" w:hAnsi="Cambria Math"/>
              </w:rPr>
              <m:t>δ</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γ</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ast</m:t>
            </m:r>
          </m:sub>
        </m:sSub>
      </m:oMath>
    </w:p>
    <w:p w:rsidR="00182864" w:rsidRDefault="00182864" w:rsidP="007A67E2">
      <w:pPr>
        <w:spacing w:line="480" w:lineRule="auto"/>
      </w:pPr>
      <w:r w:rsidRPr="00182864">
        <w:t xml:space="preserve">where </w:t>
      </w:r>
      <m:oMath>
        <m:sSub>
          <m:sSubPr>
            <m:ctrlPr>
              <w:rPr>
                <w:rFonts w:ascii="Cambria Math" w:hAnsi="Cambria Math"/>
                <w:i/>
                <w:iCs/>
              </w:rPr>
            </m:ctrlPr>
          </m:sSubPr>
          <m:e>
            <m:r>
              <w:rPr>
                <w:rFonts w:ascii="Cambria Math" w:hAnsi="Cambria Math"/>
              </w:rPr>
              <m:t>y</m:t>
            </m:r>
          </m:e>
          <m:sub>
            <m:r>
              <w:rPr>
                <w:rFonts w:ascii="Cambria Math" w:hAnsi="Cambria Math"/>
              </w:rPr>
              <m:t>ast</m:t>
            </m:r>
          </m:sub>
        </m:sSub>
      </m:oMath>
      <w:r w:rsidRPr="00182864">
        <w:t xml:space="preserve"> is</w:t>
      </w:r>
      <w:r w:rsidR="008775ED">
        <w:t xml:space="preserve"> </w:t>
      </w:r>
      <w:r w:rsidR="00464ABE">
        <w:t xml:space="preserve">average </w:t>
      </w:r>
      <w:r w:rsidR="008775ED">
        <w:t>wage income, usual hours worked per week,</w:t>
      </w:r>
      <w:r w:rsidRPr="00182864">
        <w:t xml:space="preserve"> </w:t>
      </w:r>
      <w:r w:rsidR="008775ED">
        <w:t>labor force participation, or employment for PUMA</w:t>
      </w:r>
      <w:r w:rsidRPr="00182864">
        <w:t xml:space="preserve"> </w:t>
      </w:r>
      <w:r w:rsidR="008775ED" w:rsidRPr="008775ED">
        <w:rPr>
          <w:i/>
        </w:rPr>
        <w:t>a</w:t>
      </w:r>
      <w:r w:rsidRPr="00182864">
        <w:t xml:space="preserve"> in state </w:t>
      </w:r>
      <w:r w:rsidRPr="008775ED">
        <w:rPr>
          <w:i/>
        </w:rPr>
        <w:t>s</w:t>
      </w:r>
      <w:r w:rsidRPr="00182864">
        <w:t xml:space="preserve"> in year </w:t>
      </w:r>
      <w:r w:rsidRPr="008775ED">
        <w:rPr>
          <w:i/>
        </w:rPr>
        <w:t>t</w:t>
      </w:r>
      <w:r w:rsidRPr="00182864">
        <w:t xml:space="preserve">, </w:t>
      </w:r>
      <m:oMath>
        <m:r>
          <w:rPr>
            <w:rFonts w:ascii="Cambria Math" w:hAnsi="Cambria Math" w:cs="Cambria Math"/>
          </w:rPr>
          <m:t>Medicai</m:t>
        </m:r>
        <m:sSub>
          <m:sSubPr>
            <m:ctrlPr>
              <w:rPr>
                <w:rFonts w:ascii="Cambria Math" w:hAnsi="Cambria Math" w:cs="Cambria Math"/>
                <w:i/>
              </w:rPr>
            </m:ctrlPr>
          </m:sSubPr>
          <m:e>
            <m:r>
              <w:rPr>
                <w:rFonts w:ascii="Cambria Math" w:hAnsi="Cambria Math" w:cs="Cambria Math"/>
              </w:rPr>
              <m:t>d</m:t>
            </m:r>
          </m:e>
          <m:sub>
            <m:r>
              <w:rPr>
                <w:rFonts w:ascii="Cambria Math" w:hAnsi="Cambria Math" w:cs="Cambria Math"/>
              </w:rPr>
              <m:t>s</m:t>
            </m:r>
          </m:sub>
        </m:sSub>
      </m:oMath>
      <w:r w:rsidRPr="00182864">
        <w:t xml:space="preserve"> is an indicator equal to 1 if state </w:t>
      </w:r>
      <w:r w:rsidRPr="008775ED">
        <w:rPr>
          <w:i/>
        </w:rPr>
        <w:t>s</w:t>
      </w:r>
      <w:r w:rsidRPr="00182864">
        <w:t xml:space="preserve"> expanded Medicaid during the 2014 expansion, </w:t>
      </w:r>
      <m:oMath>
        <m:r>
          <w:rPr>
            <w:rFonts w:ascii="Cambria Math" w:hAnsi="Cambria Math" w:cs="Cambria Math"/>
          </w:rPr>
          <m:t>Pos</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t</m:t>
            </m:r>
          </m:sub>
        </m:sSub>
      </m:oMath>
      <w:r w:rsidRPr="00182864">
        <w:t xml:space="preserve"> is an indicator equal to 1 </w:t>
      </w:r>
      <w:r w:rsidR="00DB4159">
        <w:t>for the post-</w:t>
      </w:r>
      <w:r w:rsidR="00DB4159">
        <w:lastRenderedPageBreak/>
        <w:t>expansion years</w:t>
      </w:r>
      <w:r w:rsidR="00133E9B">
        <w:t xml:space="preserve"> (2014-2016</w:t>
      </w:r>
      <w:r w:rsidRPr="00182864">
        <w:t xml:space="preserve">), </w:t>
      </w:r>
      <m:oMath>
        <m:sSub>
          <m:sSubPr>
            <m:ctrlPr>
              <w:rPr>
                <w:rFonts w:ascii="Cambria Math" w:hAnsi="Cambria Math"/>
                <w:b/>
                <w:bCs/>
                <w:i/>
                <w:iCs/>
              </w:rPr>
            </m:ctrlPr>
          </m:sSubPr>
          <m:e>
            <m:r>
              <m:rPr>
                <m:sty m:val="bi"/>
              </m:rPr>
              <w:rPr>
                <w:rFonts w:ascii="Cambria Math" w:hAnsi="Cambria Math"/>
              </w:rPr>
              <m:t>X</m:t>
            </m:r>
          </m:e>
          <m:sub>
            <m:r>
              <m:rPr>
                <m:sty m:val="bi"/>
              </m:rPr>
              <w:rPr>
                <w:rFonts w:ascii="Cambria Math" w:hAnsi="Cambria Math"/>
              </w:rPr>
              <m:t>ast</m:t>
            </m:r>
          </m:sub>
        </m:sSub>
      </m:oMath>
      <w:r w:rsidR="00FA0245">
        <w:rPr>
          <w:rFonts w:eastAsiaTheme="minorEastAsia"/>
          <w:b/>
          <w:bCs/>
          <w:iCs/>
        </w:rPr>
        <w:t xml:space="preserve"> </w:t>
      </w:r>
      <w:r w:rsidR="00FA0245">
        <w:rPr>
          <w:rFonts w:eastAsiaTheme="minorEastAsia"/>
          <w:bCs/>
          <w:iCs/>
        </w:rPr>
        <w:t xml:space="preserve">is a vector of PUMA level </w:t>
      </w:r>
      <w:r w:rsidR="00CB259B">
        <w:rPr>
          <w:rFonts w:eastAsiaTheme="minorEastAsia"/>
          <w:bCs/>
          <w:iCs/>
        </w:rPr>
        <w:t xml:space="preserve">demographic </w:t>
      </w:r>
      <w:r w:rsidR="00B30DE5">
        <w:rPr>
          <w:rFonts w:eastAsiaTheme="minorEastAsia"/>
          <w:bCs/>
          <w:iCs/>
        </w:rPr>
        <w:t>controls</w:t>
      </w:r>
      <w:r w:rsidR="00FA0245">
        <w:rPr>
          <w:rFonts w:eastAsiaTheme="minorEastAsia"/>
        </w:rPr>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a</m:t>
            </m:r>
          </m:sub>
        </m:sSub>
      </m:oMath>
      <w:r w:rsidRPr="00182864">
        <w:t xml:space="preserve"> denotes </w:t>
      </w:r>
      <w:r w:rsidR="008775ED">
        <w:t>PUMA</w:t>
      </w:r>
      <w:r w:rsidRPr="00182864">
        <w:t xml:space="preserve"> fixed effects, and </w:t>
      </w:r>
      <m:oMath>
        <m:sSub>
          <m:sSubPr>
            <m:ctrlPr>
              <w:rPr>
                <w:rFonts w:ascii="Cambria Math" w:hAnsi="Cambria Math" w:cs="Cambria Math"/>
                <w:i/>
              </w:rPr>
            </m:ctrlPr>
          </m:sSubPr>
          <m:e>
            <m:r>
              <w:rPr>
                <w:rFonts w:ascii="Cambria Math" w:hAnsi="Cambria Math" w:cs="Cambria Math"/>
              </w:rPr>
              <m:t>γ</m:t>
            </m:r>
          </m:e>
          <m:sub>
            <m:r>
              <w:rPr>
                <w:rFonts w:ascii="Cambria Math" w:hAnsi="Cambria Math" w:cs="Cambria Math"/>
              </w:rPr>
              <m:t>t</m:t>
            </m:r>
          </m:sub>
        </m:sSub>
      </m:oMath>
      <w:r w:rsidRPr="00182864">
        <w:t xml:space="preserve"> denotes year fixed effects. Note that </w:t>
      </w:r>
      <m:oMath>
        <m:r>
          <w:rPr>
            <w:rFonts w:ascii="Cambria Math" w:hAnsi="Cambria Math" w:cs="Cambria Math"/>
          </w:rPr>
          <m:t>Medicai</m:t>
        </m:r>
        <m:sSub>
          <m:sSubPr>
            <m:ctrlPr>
              <w:rPr>
                <w:rFonts w:ascii="Cambria Math" w:hAnsi="Cambria Math" w:cs="Cambria Math"/>
                <w:i/>
              </w:rPr>
            </m:ctrlPr>
          </m:sSubPr>
          <m:e>
            <m:r>
              <w:rPr>
                <w:rFonts w:ascii="Cambria Math" w:hAnsi="Cambria Math" w:cs="Cambria Math"/>
              </w:rPr>
              <m:t>d</m:t>
            </m:r>
          </m:e>
          <m:sub>
            <m:r>
              <w:rPr>
                <w:rFonts w:ascii="Cambria Math" w:hAnsi="Cambria Math" w:cs="Cambria Math"/>
              </w:rPr>
              <m:t>s</m:t>
            </m:r>
          </m:sub>
        </m:sSub>
      </m:oMath>
      <w:r w:rsidR="008775ED" w:rsidRPr="00182864">
        <w:t xml:space="preserve"> </w:t>
      </w:r>
      <w:r w:rsidRPr="00182864">
        <w:t xml:space="preserve">and </w:t>
      </w:r>
      <m:oMath>
        <m:r>
          <w:rPr>
            <w:rFonts w:ascii="Cambria Math" w:hAnsi="Cambria Math" w:cs="Cambria Math"/>
          </w:rPr>
          <m:t>Pos</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t</m:t>
            </m:r>
          </m:sub>
        </m:sSub>
      </m:oMath>
      <w:r w:rsidR="008775ED" w:rsidRPr="00182864">
        <w:t xml:space="preserve"> </w:t>
      </w:r>
      <w:r w:rsidRPr="00182864">
        <w:t xml:space="preserve">have not been included in the model individually, as they will be absorbed by the </w:t>
      </w:r>
      <w:r w:rsidR="008775ED">
        <w:t>PUMA</w:t>
      </w:r>
      <w:r w:rsidRPr="00182864">
        <w:t xml:space="preserve"> fixed effects and year fixed effects, respectively. Standard errors will be heteroskedasticity-robust and clustered at the state level. In order to obtain causal identification, this model relies on the assumption that Medicaid expanding states and no</w:t>
      </w:r>
      <w:r w:rsidR="005F7C56">
        <w:t>n</w:t>
      </w:r>
      <w:r w:rsidRPr="00182864">
        <w:t xml:space="preserve">-expanding states are on the same trends </w:t>
      </w:r>
      <w:r w:rsidR="00E221C5">
        <w:t xml:space="preserve">in outcomes </w:t>
      </w:r>
      <w:r w:rsidRPr="00182864">
        <w:t>over time (parallel trends assumption). One benefit of this model is its ease of interpretation: assuming internal validity, the treatment effect of expanding Medicaid is given, simply, by</w:t>
      </w: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1</m:t>
            </m:r>
          </m:sub>
        </m:sSub>
      </m:oMath>
      <w:r w:rsidRPr="00182864">
        <w:t>.</w:t>
      </w:r>
      <w:r w:rsidR="00E73750">
        <w:t xml:space="preserve"> </w:t>
      </w:r>
    </w:p>
    <w:p w:rsidR="00482A31" w:rsidRDefault="002C716F" w:rsidP="007A67E2">
      <w:pPr>
        <w:spacing w:line="480" w:lineRule="auto"/>
        <w:ind w:firstLine="720"/>
        <w:rPr>
          <w:rFonts w:eastAsiaTheme="minorEastAsia"/>
        </w:rPr>
      </w:pPr>
      <w:r>
        <w:rPr>
          <w:rFonts w:eastAsiaTheme="minorEastAsia"/>
        </w:rPr>
        <w:t>Unfortunately, as previously mentioned, this D</w:t>
      </w:r>
      <w:r w:rsidR="00784258">
        <w:rPr>
          <w:rFonts w:eastAsiaTheme="minorEastAsia"/>
        </w:rPr>
        <w:t>i</w:t>
      </w:r>
      <w:r>
        <w:rPr>
          <w:rFonts w:eastAsiaTheme="minorEastAsia"/>
        </w:rPr>
        <w:t xml:space="preserve">D model is far from ideal. </w:t>
      </w:r>
      <w:r w:rsidR="00131291">
        <w:rPr>
          <w:rFonts w:eastAsiaTheme="minorEastAsia"/>
        </w:rPr>
        <w:t>To improve on the DiD specification</w:t>
      </w:r>
      <w:r w:rsidR="00B7133C">
        <w:rPr>
          <w:rFonts w:eastAsiaTheme="minorEastAsia"/>
        </w:rPr>
        <w:t>, and to examine the effect of the non-Medicaid ACA provisions</w:t>
      </w:r>
      <w:r w:rsidR="00131291">
        <w:rPr>
          <w:rFonts w:eastAsiaTheme="minorEastAsia"/>
        </w:rPr>
        <w:t xml:space="preserve">, I estimate a </w:t>
      </w:r>
      <w:r w:rsidR="00482A31">
        <w:rPr>
          <w:rFonts w:eastAsiaTheme="minorEastAsia"/>
        </w:rPr>
        <w:t xml:space="preserve">difference-in-difference-differences /dose response </w:t>
      </w:r>
      <w:r w:rsidR="000F0C28">
        <w:rPr>
          <w:rFonts w:eastAsiaTheme="minorEastAsia"/>
        </w:rPr>
        <w:t xml:space="preserve">(DiDiD) </w:t>
      </w:r>
      <w:r w:rsidR="00482A31">
        <w:rPr>
          <w:rFonts w:eastAsiaTheme="minorEastAsia"/>
        </w:rPr>
        <w:t>specification</w:t>
      </w:r>
      <w:r w:rsidR="008323E7">
        <w:rPr>
          <w:rFonts w:eastAsiaTheme="minorEastAsia"/>
        </w:rPr>
        <w:t xml:space="preserve">, </w:t>
      </w:r>
      <w:r w:rsidR="00482A31">
        <w:rPr>
          <w:rFonts w:eastAsiaTheme="minorEastAsia"/>
        </w:rPr>
        <w:t xml:space="preserve">of the </w:t>
      </w:r>
      <w:r w:rsidR="00F9324E">
        <w:rPr>
          <w:rFonts w:eastAsiaTheme="minorEastAsia"/>
        </w:rPr>
        <w:t xml:space="preserve">following </w:t>
      </w:r>
      <w:r w:rsidR="00482A31">
        <w:rPr>
          <w:rFonts w:eastAsiaTheme="minorEastAsia"/>
        </w:rPr>
        <w:t>form:</w:t>
      </w:r>
    </w:p>
    <w:p w:rsidR="00482A31" w:rsidRPr="00900E4D" w:rsidRDefault="00040A4F" w:rsidP="007A67E2">
      <w:pPr>
        <w:spacing w:line="480" w:lineRule="auto"/>
        <w:ind w:left="720" w:firstLine="720"/>
        <w:rPr>
          <w:rFonts w:ascii="Cambria Math" w:eastAsiaTheme="minorEastAsia" w:hAnsi="Cambria Math"/>
          <w:i/>
        </w:rPr>
      </w:pPr>
      <m:oMathPara>
        <m:oMath>
          <m:d>
            <m:dPr>
              <m:ctrlPr>
                <w:rPr>
                  <w:rFonts w:ascii="Cambria Math" w:hAnsi="Cambria Math"/>
                  <w:i/>
                </w:rPr>
              </m:ctrlPr>
            </m:dPr>
            <m:e>
              <m:r>
                <w:rPr>
                  <w:rFonts w:ascii="Cambria Math" w:hAnsi="Cambria Math"/>
                </w:rPr>
                <m:t>2</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ast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Pos</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*Uninsure</m:t>
              </m:r>
              <m:sSub>
                <m:sSubPr>
                  <m:ctrlPr>
                    <w:rPr>
                      <w:rFonts w:ascii="Cambria Math" w:hAnsi="Cambria Math"/>
                      <w:i/>
                    </w:rPr>
                  </m:ctrlPr>
                </m:sSubPr>
                <m:e>
                  <m:r>
                    <w:rPr>
                      <w:rFonts w:ascii="Cambria Math" w:hAnsi="Cambria Math"/>
                    </w:rPr>
                    <m:t>d</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Pos</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*Medicai</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*Uninsure</m:t>
              </m:r>
              <m:sSub>
                <m:sSubPr>
                  <m:ctrlPr>
                    <w:rPr>
                      <w:rFonts w:ascii="Cambria Math" w:hAnsi="Cambria Math"/>
                      <w:i/>
                    </w:rPr>
                  </m:ctrlPr>
                </m:sSubPr>
                <m:e>
                  <m:r>
                    <w:rPr>
                      <w:rFonts w:ascii="Cambria Math" w:hAnsi="Cambria Math"/>
                    </w:rPr>
                    <m:t>d</m:t>
                  </m:r>
                </m:e>
                <m:sub>
                  <m:r>
                    <w:rPr>
                      <w:rFonts w:ascii="Cambria Math" w:hAnsi="Cambria Math"/>
                    </w:rPr>
                    <m:t>a</m:t>
                  </m:r>
                </m:sub>
              </m:sSub>
            </m:e>
          </m:d>
          <m:r>
            <w:rPr>
              <w:rFonts w:ascii="Cambria Math" w:hAnsi="Cambria Math"/>
            </w:rPr>
            <m:t>+</m:t>
          </m:r>
          <m:sSub>
            <m:sSubPr>
              <m:ctrlPr>
                <w:rPr>
                  <w:rFonts w:ascii="Cambria Math" w:hAnsi="Cambria Math"/>
                  <w:b/>
                  <w:bCs/>
                  <w:i/>
                  <w:iCs/>
                </w:rPr>
              </m:ctrlPr>
            </m:sSubPr>
            <m:e>
              <m:r>
                <m:rPr>
                  <m:sty m:val="bi"/>
                </m:rPr>
                <w:rPr>
                  <w:rFonts w:ascii="Cambria Math" w:hAnsi="Cambria Math"/>
                </w:rPr>
                <m:t>β</m:t>
              </m:r>
            </m:e>
            <m:sub>
              <m:r>
                <m:rPr>
                  <m:sty m:val="bi"/>
                </m:rPr>
                <w:rPr>
                  <w:rFonts w:ascii="Cambria Math" w:hAnsi="Cambria Math"/>
                </w:rPr>
                <m:t>3</m:t>
              </m:r>
            </m:sub>
          </m:sSub>
          <m:sSub>
            <m:sSubPr>
              <m:ctrlPr>
                <w:rPr>
                  <w:rFonts w:ascii="Cambria Math" w:hAnsi="Cambria Math"/>
                  <w:b/>
                  <w:bCs/>
                  <w:i/>
                  <w:iCs/>
                </w:rPr>
              </m:ctrlPr>
            </m:sSubPr>
            <m:e>
              <m:r>
                <m:rPr>
                  <m:sty m:val="bi"/>
                </m:rPr>
                <w:rPr>
                  <w:rFonts w:ascii="Cambria Math" w:hAnsi="Cambria Math"/>
                </w:rPr>
                <m:t>X</m:t>
              </m:r>
            </m:e>
            <m:sub>
              <m:r>
                <m:rPr>
                  <m:sty m:val="bi"/>
                </m:rPr>
                <w:rPr>
                  <w:rFonts w:ascii="Cambria Math" w:hAnsi="Cambria Math"/>
                </w:rPr>
                <m:t>ast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ast</m:t>
              </m:r>
            </m:sub>
          </m:sSub>
        </m:oMath>
      </m:oMathPara>
    </w:p>
    <w:p w:rsidR="004C6507" w:rsidRDefault="00482A31" w:rsidP="007A67E2">
      <w:pPr>
        <w:spacing w:line="480" w:lineRule="auto"/>
        <w:rPr>
          <w:rFonts w:eastAsiaTheme="minorEastAsia"/>
        </w:rPr>
      </w:pPr>
      <w:r>
        <w:rPr>
          <w:rFonts w:eastAsiaTheme="minorEastAsia"/>
        </w:rPr>
        <w:t xml:space="preserve">where </w:t>
      </w:r>
      <m:oMath>
        <m:r>
          <w:rPr>
            <w:rFonts w:ascii="Cambria Math" w:hAnsi="Cambria Math"/>
          </w:rPr>
          <m:t>Uninsure</m:t>
        </m:r>
        <m:sSub>
          <m:sSubPr>
            <m:ctrlPr>
              <w:rPr>
                <w:rFonts w:ascii="Cambria Math" w:hAnsi="Cambria Math"/>
                <w:i/>
              </w:rPr>
            </m:ctrlPr>
          </m:sSubPr>
          <m:e>
            <m:r>
              <w:rPr>
                <w:rFonts w:ascii="Cambria Math" w:hAnsi="Cambria Math"/>
              </w:rPr>
              <m:t>d</m:t>
            </m:r>
          </m:e>
          <m:sub>
            <m:r>
              <w:rPr>
                <w:rFonts w:ascii="Cambria Math" w:hAnsi="Cambria Math"/>
              </w:rPr>
              <m:t>a</m:t>
            </m:r>
          </m:sub>
        </m:sSub>
      </m:oMath>
      <w:r>
        <w:rPr>
          <w:rFonts w:eastAsiaTheme="minorEastAsia"/>
        </w:rPr>
        <w:t xml:space="preserve"> is the </w:t>
      </w:r>
      <w:r w:rsidR="00EF51D9">
        <w:rPr>
          <w:rFonts w:eastAsiaTheme="minorEastAsia"/>
        </w:rPr>
        <w:t xml:space="preserve">2013 </w:t>
      </w:r>
      <w:r>
        <w:rPr>
          <w:rFonts w:eastAsiaTheme="minorEastAsia"/>
        </w:rPr>
        <w:t xml:space="preserve">uninsured rate </w:t>
      </w:r>
      <w:r w:rsidR="00EF51D9">
        <w:rPr>
          <w:rFonts w:eastAsiaTheme="minorEastAsia"/>
        </w:rPr>
        <w:t xml:space="preserve">for PUMA </w:t>
      </w:r>
      <w:r w:rsidR="00EF51D9" w:rsidRPr="00EF51D9">
        <w:rPr>
          <w:rFonts w:eastAsiaTheme="minorEastAsia"/>
          <w:i/>
        </w:rPr>
        <w:t>a</w:t>
      </w:r>
      <w:r>
        <w:rPr>
          <w:rFonts w:eastAsiaTheme="minorEastAsia"/>
        </w:rPr>
        <w:t xml:space="preserve">, and </w:t>
      </w:r>
      <m:oMath>
        <m:sSub>
          <m:sSubPr>
            <m:ctrlPr>
              <w:rPr>
                <w:rFonts w:ascii="Cambria Math" w:hAnsi="Cambria Math"/>
                <w:i/>
              </w:rPr>
            </m:ctrlPr>
          </m:sSubPr>
          <m:e>
            <m:r>
              <w:rPr>
                <w:rFonts w:ascii="Cambria Math" w:hAnsi="Cambria Math"/>
              </w:rPr>
              <m:t>η</m:t>
            </m:r>
          </m:e>
          <m:sub>
            <m:r>
              <w:rPr>
                <w:rFonts w:ascii="Cambria Math" w:hAnsi="Cambria Math"/>
              </w:rPr>
              <m:t>st</m:t>
            </m:r>
          </m:sub>
        </m:sSub>
      </m:oMath>
      <w:r>
        <w:rPr>
          <w:rFonts w:eastAsiaTheme="minorEastAsia"/>
        </w:rPr>
        <w:t xml:space="preserve"> denotes state-by-year fixed </w:t>
      </w:r>
      <w:proofErr w:type="gramStart"/>
      <w:r>
        <w:rPr>
          <w:rFonts w:eastAsiaTheme="minorEastAsia"/>
        </w:rPr>
        <w:t>effects.</w:t>
      </w:r>
      <w:proofErr w:type="gramEnd"/>
      <w:r>
        <w:rPr>
          <w:rFonts w:eastAsiaTheme="minorEastAsia"/>
        </w:rPr>
        <w:t xml:space="preserve"> As in the D</w:t>
      </w:r>
      <w:r w:rsidR="00FE3BB0">
        <w:rPr>
          <w:rFonts w:eastAsiaTheme="minorEastAsia"/>
        </w:rPr>
        <w:t>i</w:t>
      </w:r>
      <w:r>
        <w:rPr>
          <w:rFonts w:eastAsiaTheme="minorEastAsia"/>
        </w:rPr>
        <w:t xml:space="preserve">D model, some terms have been absorbed by the fixed effects and have not been included in the model individually: the </w:t>
      </w:r>
      <w:r w:rsidR="00FE3BB0">
        <w:rPr>
          <w:rFonts w:eastAsiaTheme="minorEastAsia"/>
        </w:rPr>
        <w:t>PUMA</w:t>
      </w:r>
      <w:r>
        <w:rPr>
          <w:rFonts w:eastAsiaTheme="minorEastAsia"/>
        </w:rPr>
        <w:t xml:space="preserve"> fixed effects </w:t>
      </w:r>
      <w:r w:rsidR="00FE3BB0">
        <w:rPr>
          <w:rFonts w:eastAsiaTheme="minorEastAsia"/>
        </w:rPr>
        <w:t>(</w:t>
      </w:r>
      <m:oMath>
        <m:sSub>
          <m:sSubPr>
            <m:ctrlPr>
              <w:rPr>
                <w:rFonts w:ascii="Cambria Math" w:hAnsi="Cambria Math"/>
                <w:i/>
              </w:rPr>
            </m:ctrlPr>
          </m:sSubPr>
          <m:e>
            <m:r>
              <w:rPr>
                <w:rFonts w:ascii="Cambria Math" w:hAnsi="Cambria Math"/>
              </w:rPr>
              <m:t>δ</m:t>
            </m:r>
          </m:e>
          <m:sub>
            <m:r>
              <w:rPr>
                <w:rFonts w:ascii="Cambria Math" w:hAnsi="Cambria Math"/>
              </w:rPr>
              <m:t>a</m:t>
            </m:r>
          </m:sub>
        </m:sSub>
      </m:oMath>
      <w:r w:rsidR="00FE3BB0">
        <w:rPr>
          <w:rFonts w:eastAsiaTheme="minorEastAsia"/>
        </w:rPr>
        <w:t>)</w:t>
      </w:r>
      <w:r>
        <w:rPr>
          <w:rFonts w:eastAsiaTheme="minorEastAsia"/>
        </w:rPr>
        <w:t xml:space="preserve"> have absorbed </w:t>
      </w:r>
      <m:oMath>
        <m:r>
          <w:rPr>
            <w:rFonts w:ascii="Cambria Math" w:eastAsiaTheme="minorEastAsia" w:hAnsi="Cambria Math"/>
          </w:rPr>
          <m:t>Uninsure</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m:t>
            </m:r>
          </m:sub>
        </m:sSub>
      </m:oMath>
      <w:r>
        <w:rPr>
          <w:rFonts w:eastAsiaTheme="minorEastAsia"/>
        </w:rPr>
        <w:t xml:space="preserve">, </w:t>
      </w:r>
      <m:oMath>
        <m:r>
          <w:rPr>
            <w:rFonts w:ascii="Cambria Math" w:eastAsiaTheme="minorEastAsia" w:hAnsi="Cambria Math"/>
          </w:rPr>
          <m:t>Medicai</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oMath>
      <w:r>
        <w:rPr>
          <w:rFonts w:eastAsiaTheme="minorEastAsia"/>
        </w:rPr>
        <w:t xml:space="preserve">, and </w:t>
      </w:r>
      <m:oMath>
        <m:r>
          <w:rPr>
            <w:rFonts w:ascii="Cambria Math" w:eastAsiaTheme="minorEastAsia" w:hAnsi="Cambria Math"/>
          </w:rPr>
          <m:t>Medicai</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*Uninsure</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m:t>
            </m:r>
          </m:sub>
        </m:sSub>
      </m:oMath>
      <w:r>
        <w:rPr>
          <w:rFonts w:eastAsiaTheme="minorEastAsia"/>
        </w:rPr>
        <w:t xml:space="preserve">, while the state-by-year fixed effects have absorbed </w:t>
      </w:r>
      <m:oMath>
        <m:r>
          <w:rPr>
            <w:rFonts w:ascii="Cambria Math" w:eastAsiaTheme="minorEastAsia" w:hAnsi="Cambria Math"/>
          </w:rPr>
          <m:t>Pos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oMath>
      <w:r>
        <w:rPr>
          <w:rFonts w:eastAsiaTheme="minorEastAsia"/>
        </w:rPr>
        <w:t xml:space="preserve"> and </w:t>
      </w:r>
      <m:oMath>
        <m:r>
          <w:rPr>
            <w:rFonts w:ascii="Cambria Math" w:eastAsiaTheme="minorEastAsia" w:hAnsi="Cambria Math"/>
          </w:rPr>
          <m:t>Pos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r>
          <w:rPr>
            <w:rFonts w:ascii="Cambria Math" w:eastAsiaTheme="minorEastAsia" w:hAnsi="Cambria Math"/>
          </w:rPr>
          <m:t>*Medicai</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oMath>
      <w:r>
        <w:rPr>
          <w:rFonts w:eastAsiaTheme="minorEastAsia"/>
        </w:rPr>
        <w:t xml:space="preserve">. Standard errors, again, will be heteroskedasticity-robust and clustered at the state level. The dose response moniker refers to the fact that </w:t>
      </w:r>
      <w:r w:rsidR="004C6507">
        <w:rPr>
          <w:rFonts w:eastAsiaTheme="minorEastAsia"/>
        </w:rPr>
        <w:t>areas</w:t>
      </w:r>
      <w:r>
        <w:rPr>
          <w:rFonts w:eastAsiaTheme="minorEastAsia"/>
        </w:rPr>
        <w:t xml:space="preserve"> are differentially affected by the </w:t>
      </w:r>
      <w:r w:rsidR="00562373">
        <w:rPr>
          <w:rFonts w:eastAsiaTheme="minorEastAsia"/>
        </w:rPr>
        <w:t>Medicaid expansion</w:t>
      </w:r>
      <w:r>
        <w:rPr>
          <w:rFonts w:eastAsiaTheme="minorEastAsia"/>
        </w:rPr>
        <w:t xml:space="preserve"> due to different pre-treatment uninsured rates, meaning that </w:t>
      </w:r>
      <w:r w:rsidR="004C6507">
        <w:rPr>
          <w:rFonts w:eastAsiaTheme="minorEastAsia"/>
        </w:rPr>
        <w:t>PUMAs</w:t>
      </w:r>
      <w:r>
        <w:rPr>
          <w:rFonts w:eastAsiaTheme="minorEastAsia"/>
        </w:rPr>
        <w:t xml:space="preserve"> with high</w:t>
      </w:r>
      <w:r w:rsidR="00F11CD8">
        <w:rPr>
          <w:rFonts w:eastAsiaTheme="minorEastAsia"/>
        </w:rPr>
        <w:t>er</w:t>
      </w:r>
      <w:r>
        <w:rPr>
          <w:rFonts w:eastAsiaTheme="minorEastAsia"/>
        </w:rPr>
        <w:t xml:space="preserve"> pre-treatment uninsured rates get a large “dose” of </w:t>
      </w:r>
      <w:r w:rsidR="004C6507">
        <w:rPr>
          <w:rFonts w:eastAsiaTheme="minorEastAsia"/>
        </w:rPr>
        <w:t>Medicaid expansion</w:t>
      </w:r>
      <w:r>
        <w:rPr>
          <w:rFonts w:eastAsiaTheme="minorEastAsia"/>
        </w:rPr>
        <w:t xml:space="preserve">, </w:t>
      </w:r>
      <w:r w:rsidR="00F11CD8">
        <w:rPr>
          <w:rFonts w:eastAsiaTheme="minorEastAsia"/>
        </w:rPr>
        <w:t>than PUMA</w:t>
      </w:r>
      <w:r w:rsidR="004C6507">
        <w:rPr>
          <w:rFonts w:eastAsiaTheme="minorEastAsia"/>
        </w:rPr>
        <w:t>s</w:t>
      </w:r>
      <w:r>
        <w:rPr>
          <w:rFonts w:eastAsiaTheme="minorEastAsia"/>
        </w:rPr>
        <w:t xml:space="preserve"> with low pre-treatment uninsured rates</w:t>
      </w:r>
      <w:r w:rsidR="00F11CD8">
        <w:rPr>
          <w:rFonts w:eastAsiaTheme="minorEastAsia"/>
        </w:rPr>
        <w:t>.</w:t>
      </w:r>
      <w:r>
        <w:rPr>
          <w:rFonts w:eastAsiaTheme="minorEastAsia"/>
        </w:rPr>
        <w:t xml:space="preserve"> </w:t>
      </w:r>
    </w:p>
    <w:p w:rsidR="004D6674" w:rsidRDefault="00482A31" w:rsidP="007A67E2">
      <w:pPr>
        <w:spacing w:line="480" w:lineRule="auto"/>
        <w:ind w:firstLine="720"/>
        <w:rPr>
          <w:rFonts w:eastAsiaTheme="minorEastAsia"/>
        </w:rPr>
      </w:pPr>
      <w:r>
        <w:rPr>
          <w:rFonts w:eastAsiaTheme="minorEastAsia"/>
        </w:rPr>
        <w:lastRenderedPageBreak/>
        <w:t>The identifying assumption of th</w:t>
      </w:r>
      <w:r w:rsidR="00897AB3">
        <w:rPr>
          <w:rFonts w:eastAsiaTheme="minorEastAsia"/>
        </w:rPr>
        <w:t>e DiDiD</w:t>
      </w:r>
      <w:r>
        <w:rPr>
          <w:rFonts w:eastAsiaTheme="minorEastAsia"/>
        </w:rPr>
        <w:t xml:space="preserve"> model</w:t>
      </w:r>
      <w:r w:rsidR="003C6AB1">
        <w:rPr>
          <w:rFonts w:eastAsiaTheme="minorEastAsia"/>
        </w:rPr>
        <w:t xml:space="preserve"> for the </w:t>
      </w:r>
      <w:r w:rsidR="00E1739E">
        <w:rPr>
          <w:rFonts w:eastAsiaTheme="minorEastAsia"/>
        </w:rPr>
        <w:t xml:space="preserve">effect of the </w:t>
      </w:r>
      <w:r w:rsidR="003C6AB1">
        <w:rPr>
          <w:rFonts w:eastAsiaTheme="minorEastAsia"/>
        </w:rPr>
        <w:t>Medicaid expansion</w:t>
      </w:r>
      <w:r>
        <w:rPr>
          <w:rFonts w:eastAsiaTheme="minorEastAsia"/>
        </w:rPr>
        <w:t xml:space="preserve">, </w:t>
      </w:r>
      <w:r w:rsidR="003C3789">
        <w:rPr>
          <w:rFonts w:eastAsiaTheme="minorEastAsia"/>
        </w:rPr>
        <w:t xml:space="preserve">weaker than under the DiD, </w:t>
      </w:r>
      <w:r>
        <w:rPr>
          <w:rFonts w:eastAsiaTheme="minorEastAsia"/>
        </w:rPr>
        <w:t xml:space="preserve">is that any </w:t>
      </w:r>
      <w:r w:rsidR="0076704A">
        <w:rPr>
          <w:rFonts w:eastAsiaTheme="minorEastAsia"/>
        </w:rPr>
        <w:t xml:space="preserve">factors </w:t>
      </w:r>
      <w:r>
        <w:rPr>
          <w:rFonts w:eastAsiaTheme="minorEastAsia"/>
        </w:rPr>
        <w:t>differential</w:t>
      </w:r>
      <w:r w:rsidR="008946B7">
        <w:rPr>
          <w:rFonts w:eastAsiaTheme="minorEastAsia"/>
        </w:rPr>
        <w:t>ly</w:t>
      </w:r>
      <w:r>
        <w:rPr>
          <w:rFonts w:eastAsiaTheme="minorEastAsia"/>
        </w:rPr>
        <w:t xml:space="preserve"> </w:t>
      </w:r>
      <w:r w:rsidR="008946B7">
        <w:rPr>
          <w:rFonts w:eastAsiaTheme="minorEastAsia"/>
        </w:rPr>
        <w:t>affecting labor market</w:t>
      </w:r>
      <w:r>
        <w:rPr>
          <w:rFonts w:eastAsiaTheme="minorEastAsia"/>
        </w:rPr>
        <w:t xml:space="preserve"> </w:t>
      </w:r>
      <w:r w:rsidR="004C6507">
        <w:rPr>
          <w:rFonts w:eastAsiaTheme="minorEastAsia"/>
        </w:rPr>
        <w:t>outcomes</w:t>
      </w:r>
      <w:r>
        <w:rPr>
          <w:rFonts w:eastAsiaTheme="minorEastAsia"/>
        </w:rPr>
        <w:t xml:space="preserve"> </w:t>
      </w:r>
      <w:r w:rsidR="00547194">
        <w:rPr>
          <w:rFonts w:eastAsiaTheme="minorEastAsia"/>
        </w:rPr>
        <w:t>of</w:t>
      </w:r>
      <w:r>
        <w:rPr>
          <w:rFonts w:eastAsiaTheme="minorEastAsia"/>
        </w:rPr>
        <w:t xml:space="preserve"> expansion and non-expansion states </w:t>
      </w:r>
      <w:r w:rsidRPr="00717478">
        <w:rPr>
          <w:rFonts w:eastAsiaTheme="minorEastAsia"/>
        </w:rPr>
        <w:t>are not correlated with pre-treatment uninsured rates</w:t>
      </w:r>
      <w:r w:rsidR="009E0DB6">
        <w:rPr>
          <w:rFonts w:eastAsiaTheme="minorEastAsia"/>
        </w:rPr>
        <w:t xml:space="preserve"> (DiDiD parallel trends)</w:t>
      </w:r>
      <w:r w:rsidRPr="00717478">
        <w:rPr>
          <w:rFonts w:eastAsiaTheme="minorEastAsia"/>
        </w:rPr>
        <w:t xml:space="preserve">. </w:t>
      </w:r>
      <w:r w:rsidR="003C3789" w:rsidRPr="003C3789">
        <w:t>The addition of the state-by year fixed effects which is made possible by the D</w:t>
      </w:r>
      <w:r w:rsidR="003C3789">
        <w:t>i</w:t>
      </w:r>
      <w:r w:rsidR="003C3789" w:rsidRPr="003C3789">
        <w:t>D</w:t>
      </w:r>
      <w:r w:rsidR="003C3789">
        <w:t>i</w:t>
      </w:r>
      <w:r w:rsidR="003C3789" w:rsidRPr="003C3789">
        <w:t xml:space="preserve">D </w:t>
      </w:r>
      <w:r w:rsidR="003C3789">
        <w:t>specification</w:t>
      </w:r>
      <w:r w:rsidR="003C3789" w:rsidRPr="003C3789">
        <w:t xml:space="preserve"> controls for many factors that could plausibly bias the estimate in the D</w:t>
      </w:r>
      <w:r w:rsidR="003C3789">
        <w:t>i</w:t>
      </w:r>
      <w:r w:rsidR="003C3789" w:rsidRPr="003C3789">
        <w:t>D model</w:t>
      </w:r>
      <w:r w:rsidR="00CB6C17" w:rsidRPr="00CB6C17">
        <w:t xml:space="preserve"> such as the aforementioned state-level economic conditions or population growth</w:t>
      </w:r>
      <w:r w:rsidR="003C3789" w:rsidRPr="003C3789">
        <w:t xml:space="preserve">. </w:t>
      </w:r>
      <w:r w:rsidR="00CB6C17" w:rsidRPr="00CB6C17">
        <w:t>Adding the dose response variable (</w:t>
      </w:r>
      <m:oMath>
        <m:r>
          <w:rPr>
            <w:rFonts w:ascii="Cambria Math" w:hAnsi="Cambria Math"/>
          </w:rPr>
          <m:t>Uninsure</m:t>
        </m:r>
        <m:sSub>
          <m:sSubPr>
            <m:ctrlPr>
              <w:rPr>
                <w:rFonts w:ascii="Cambria Math" w:hAnsi="Cambria Math"/>
                <w:i/>
              </w:rPr>
            </m:ctrlPr>
          </m:sSubPr>
          <m:e>
            <m:r>
              <w:rPr>
                <w:rFonts w:ascii="Cambria Math" w:hAnsi="Cambria Math"/>
              </w:rPr>
              <m:t>d</m:t>
            </m:r>
          </m:e>
          <m:sub>
            <m:r>
              <w:rPr>
                <w:rFonts w:ascii="Cambria Math" w:hAnsi="Cambria Math"/>
              </w:rPr>
              <m:t>a</m:t>
            </m:r>
          </m:sub>
        </m:sSub>
      </m:oMath>
      <w:r w:rsidR="00CB6C17" w:rsidRPr="00CB6C17">
        <w:rPr>
          <w:rFonts w:eastAsiaTheme="minorEastAsia"/>
        </w:rPr>
        <w:t>)</w:t>
      </w:r>
      <w:r w:rsidR="00CB6C17" w:rsidRPr="00CB6C17">
        <w:t>, which is continuous and measured at the PUMA level, provides many more observations (</w:t>
      </w:r>
      <w:r w:rsidR="00CB6C17" w:rsidRPr="00E556F2">
        <w:t xml:space="preserve">n = </w:t>
      </w:r>
      <w:r w:rsidR="00E556F2" w:rsidRPr="00E556F2">
        <w:t>762</w:t>
      </w:r>
      <w:r w:rsidR="00702B8F">
        <w:t xml:space="preserve"> PUMAs</w:t>
      </w:r>
      <w:r w:rsidR="00CB6C17" w:rsidRPr="00CB6C17">
        <w:t>), as well as variation in treatment intensity</w:t>
      </w:r>
      <w:r w:rsidR="00EF30A4">
        <w:t xml:space="preserve"> (more identifying variation)</w:t>
      </w:r>
      <w:r w:rsidR="00CB6C17" w:rsidRPr="00CB6C17">
        <w:t>. All of this should lead to a more precise estimate that is closer to the true effect.</w:t>
      </w:r>
      <w:r w:rsidR="00CB6C17" w:rsidRPr="004D6674">
        <w:rPr>
          <w:color w:val="FF0000"/>
        </w:rPr>
        <w:t xml:space="preserve"> </w:t>
      </w:r>
      <w:r w:rsidRPr="00717478">
        <w:rPr>
          <w:rFonts w:eastAsiaTheme="minorEastAsia"/>
        </w:rPr>
        <w:t>Unfortunately, this model is</w:t>
      </w:r>
      <w:r>
        <w:rPr>
          <w:rFonts w:eastAsiaTheme="minorEastAsia"/>
        </w:rPr>
        <w:t xml:space="preserve"> not as easy to interpret as the D</w:t>
      </w:r>
      <w:r w:rsidR="00FE60F3">
        <w:rPr>
          <w:rFonts w:eastAsiaTheme="minorEastAsia"/>
        </w:rPr>
        <w:t>i</w:t>
      </w:r>
      <w:r>
        <w:rPr>
          <w:rFonts w:eastAsiaTheme="minorEastAsia"/>
        </w:rPr>
        <w:t>D</w:t>
      </w:r>
      <w:r w:rsidR="00A26745">
        <w:rPr>
          <w:rFonts w:eastAsiaTheme="minorEastAsia"/>
        </w:rPr>
        <w:t>. The estimates produced by the DiDiD model are for theoretical PUMA with 100% uninsured.</w:t>
      </w:r>
      <w:r>
        <w:rPr>
          <w:rFonts w:eastAsiaTheme="minorEastAsia"/>
        </w:rPr>
        <w:t xml:space="preserve"> </w:t>
      </w:r>
      <w:r w:rsidR="00A26745">
        <w:rPr>
          <w:rFonts w:eastAsiaTheme="minorEastAsia"/>
        </w:rPr>
        <w:t>T</w:t>
      </w:r>
      <w:r>
        <w:rPr>
          <w:rFonts w:eastAsiaTheme="minorEastAsia"/>
        </w:rPr>
        <w:t>he treatment effect must</w:t>
      </w:r>
      <w:r w:rsidR="00A26745">
        <w:rPr>
          <w:rFonts w:eastAsiaTheme="minorEastAsia"/>
        </w:rPr>
        <w:t xml:space="preserve"> therefore</w:t>
      </w:r>
      <w:r>
        <w:rPr>
          <w:rFonts w:eastAsiaTheme="minorEastAsia"/>
        </w:rPr>
        <w:t xml:space="preserve"> be scaled by the pre-treatment uninsured rate</w:t>
      </w:r>
      <w:r w:rsidR="00A26745">
        <w:rPr>
          <w:rFonts w:eastAsiaTheme="minorEastAsia"/>
        </w:rPr>
        <w:t>s. Assuming internal validity, t</w:t>
      </w:r>
      <w:r>
        <w:rPr>
          <w:rFonts w:eastAsiaTheme="minorEastAsia"/>
        </w:rPr>
        <w:t xml:space="preserve">he effect </w:t>
      </w:r>
      <w:r w:rsidR="00A26745">
        <w:rPr>
          <w:rFonts w:eastAsiaTheme="minorEastAsia"/>
        </w:rPr>
        <w:t xml:space="preserve">for the average PUMA </w:t>
      </w:r>
      <w:r>
        <w:rPr>
          <w:rFonts w:eastAsiaTheme="minorEastAsia"/>
        </w:rPr>
        <w:t>in this model (of the ACA Medicaid expa</w:t>
      </w:r>
      <w:r w:rsidR="00A26745">
        <w:rPr>
          <w:rFonts w:eastAsiaTheme="minorEastAsia"/>
        </w:rPr>
        <w:t>nsion</w:t>
      </w:r>
      <w:r>
        <w:rPr>
          <w:rFonts w:eastAsiaTheme="minorEastAsia"/>
        </w:rPr>
        <w:t xml:space="preserve">) is given by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2</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Uninsure</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m:t>
                </m:r>
              </m:sub>
            </m:sSub>
          </m:e>
        </m:acc>
      </m:oMath>
      <w:r>
        <w:rPr>
          <w:rFonts w:eastAsiaTheme="minorEastAsia"/>
        </w:rPr>
        <w:t xml:space="preserve">. </w:t>
      </w:r>
      <w:r w:rsidR="00C64F35">
        <w:rPr>
          <w:rFonts w:eastAsiaTheme="minorEastAsia"/>
        </w:rPr>
        <w:t>This estimate could also be scaled by the minimum or maximum pre-expansion uninsured rate to provide lower and upper bounds on the effect</w:t>
      </w:r>
      <w:r w:rsidR="00407052">
        <w:rPr>
          <w:rFonts w:eastAsiaTheme="minorEastAsia"/>
        </w:rPr>
        <w:t>, respectively</w:t>
      </w:r>
      <w:r w:rsidR="00C64F35">
        <w:rPr>
          <w:rFonts w:eastAsiaTheme="minorEastAsia"/>
        </w:rPr>
        <w:t xml:space="preserve">. </w:t>
      </w:r>
    </w:p>
    <w:p w:rsidR="001C6FA8" w:rsidRPr="00B023A2" w:rsidRDefault="001C6FA8" w:rsidP="007A67E2">
      <w:pPr>
        <w:spacing w:line="480" w:lineRule="auto"/>
        <w:rPr>
          <w:rFonts w:eastAsiaTheme="minorEastAsia"/>
        </w:rPr>
      </w:pPr>
      <w:r w:rsidRPr="00B023A2">
        <w:rPr>
          <w:rFonts w:eastAsiaTheme="minorEastAsia"/>
        </w:rPr>
        <w:tab/>
      </w:r>
      <w:r w:rsidR="00E1739E">
        <w:rPr>
          <w:rFonts w:eastAsiaTheme="minorEastAsia"/>
        </w:rPr>
        <w:t xml:space="preserve">For the </w:t>
      </w:r>
      <w:r w:rsidR="001F51E1">
        <w:rPr>
          <w:rFonts w:eastAsiaTheme="minorEastAsia"/>
        </w:rPr>
        <w:t xml:space="preserve">effect of the </w:t>
      </w:r>
      <w:r w:rsidR="00E1739E">
        <w:rPr>
          <w:rFonts w:eastAsiaTheme="minorEastAsia"/>
        </w:rPr>
        <w:t xml:space="preserve">non-Medicaid </w:t>
      </w:r>
      <w:r w:rsidR="001F51E1">
        <w:rPr>
          <w:rFonts w:eastAsiaTheme="minorEastAsia"/>
        </w:rPr>
        <w:t>ACA provisions</w:t>
      </w:r>
      <w:r w:rsidR="00050968">
        <w:rPr>
          <w:rFonts w:eastAsiaTheme="minorEastAsia"/>
        </w:rPr>
        <w:t xml:space="preserve"> ie. the effect of the 2014 ACA rollout in non-expanding states</w:t>
      </w:r>
      <w:r w:rsidR="001F51E1">
        <w:rPr>
          <w:rFonts w:eastAsiaTheme="minorEastAsia"/>
        </w:rPr>
        <w:t xml:space="preserve">, </w:t>
      </w:r>
      <w:r w:rsidR="00315887">
        <w:rPr>
          <w:rFonts w:eastAsiaTheme="minorEastAsia"/>
        </w:rPr>
        <w:t xml:space="preserve">the </w:t>
      </w:r>
      <w:r w:rsidR="00702B8F" w:rsidRPr="00B023A2">
        <w:rPr>
          <w:rFonts w:eastAsiaTheme="minorEastAsia"/>
        </w:rPr>
        <w:t xml:space="preserve">identifying assumption is that trends in </w:t>
      </w:r>
      <w:r w:rsidR="00A70EAA" w:rsidRPr="00B023A2">
        <w:rPr>
          <w:rFonts w:eastAsiaTheme="minorEastAsia"/>
        </w:rPr>
        <w:t xml:space="preserve">labor market </w:t>
      </w:r>
      <w:r w:rsidR="00730781" w:rsidRPr="00B023A2">
        <w:rPr>
          <w:rFonts w:eastAsiaTheme="minorEastAsia"/>
        </w:rPr>
        <w:t>outcomes</w:t>
      </w:r>
      <w:r w:rsidR="00702B8F" w:rsidRPr="00B023A2">
        <w:rPr>
          <w:rFonts w:eastAsiaTheme="minorEastAsia"/>
        </w:rPr>
        <w:t xml:space="preserve"> would not have varied differentially by pre-treatment </w:t>
      </w:r>
      <w:r w:rsidR="003A2EF3">
        <w:rPr>
          <w:rFonts w:eastAsiaTheme="minorEastAsia"/>
        </w:rPr>
        <w:t>PUMA</w:t>
      </w:r>
      <w:r w:rsidR="00702B8F" w:rsidRPr="00B023A2">
        <w:rPr>
          <w:rFonts w:eastAsiaTheme="minorEastAsia"/>
        </w:rPr>
        <w:t xml:space="preserve"> uninsured rates. Assuming </w:t>
      </w:r>
      <w:proofErr w:type="gramStart"/>
      <w:r w:rsidR="00702B8F" w:rsidRPr="00B023A2">
        <w:rPr>
          <w:rFonts w:eastAsiaTheme="minorEastAsia"/>
        </w:rPr>
        <w:t>this holds</w:t>
      </w:r>
      <w:proofErr w:type="gramEnd"/>
      <w:r w:rsidR="00702B8F" w:rsidRPr="00B023A2">
        <w:rPr>
          <w:rFonts w:eastAsiaTheme="minorEastAsia"/>
        </w:rPr>
        <w:t xml:space="preserve">, the effect </w:t>
      </w:r>
      <w:r w:rsidR="00E45674" w:rsidRPr="00B023A2">
        <w:rPr>
          <w:rFonts w:eastAsiaTheme="minorEastAsia"/>
        </w:rPr>
        <w:t xml:space="preserve">for the average PUMA </w:t>
      </w:r>
      <w:r w:rsidR="00702B8F" w:rsidRPr="00B023A2">
        <w:rPr>
          <w:rFonts w:eastAsiaTheme="minorEastAsia"/>
        </w:rPr>
        <w:t xml:space="preserve">is given </w:t>
      </w:r>
      <w:r w:rsidR="00674600" w:rsidRPr="00B023A2">
        <w:rPr>
          <w:rFonts w:eastAsiaTheme="minorEastAsia"/>
        </w:rPr>
        <w:t xml:space="preserve">by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Uninsure</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m:t>
                </m:r>
              </m:sub>
            </m:sSub>
          </m:e>
        </m:acc>
      </m:oMath>
      <w:r w:rsidR="00702B8F" w:rsidRPr="00B023A2">
        <w:rPr>
          <w:rFonts w:eastAsiaTheme="minorEastAsia"/>
        </w:rPr>
        <w:t xml:space="preserve">. Note that this effect &amp; </w:t>
      </w:r>
      <w:proofErr w:type="gramStart"/>
      <w:r w:rsidR="00702B8F" w:rsidRPr="00B023A2">
        <w:rPr>
          <w:rFonts w:eastAsiaTheme="minorEastAsia"/>
        </w:rPr>
        <w:t>its</w:t>
      </w:r>
      <w:proofErr w:type="gramEnd"/>
      <w:r w:rsidR="00702B8F" w:rsidRPr="00B023A2">
        <w:rPr>
          <w:rFonts w:eastAsiaTheme="minorEastAsia"/>
        </w:rPr>
        <w:t xml:space="preserve"> identifying assumption are akin to a DiD/dose response model where </w:t>
      </w:r>
      <m:oMath>
        <m:r>
          <w:rPr>
            <w:rFonts w:ascii="Cambria Math" w:hAnsi="Cambria Math"/>
          </w:rPr>
          <m:t>Pos</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*Uninsure</m:t>
        </m:r>
        <m:sSub>
          <m:sSubPr>
            <m:ctrlPr>
              <w:rPr>
                <w:rFonts w:ascii="Cambria Math" w:hAnsi="Cambria Math"/>
                <w:i/>
              </w:rPr>
            </m:ctrlPr>
          </m:sSubPr>
          <m:e>
            <m:r>
              <w:rPr>
                <w:rFonts w:ascii="Cambria Math" w:hAnsi="Cambria Math"/>
              </w:rPr>
              <m:t>d</m:t>
            </m:r>
          </m:e>
          <m:sub>
            <m:r>
              <w:rPr>
                <w:rFonts w:ascii="Cambria Math" w:hAnsi="Cambria Math"/>
              </w:rPr>
              <m:t>a</m:t>
            </m:r>
          </m:sub>
        </m:sSub>
      </m:oMath>
      <w:r w:rsidR="00702B8F" w:rsidRPr="00B023A2">
        <w:rPr>
          <w:rFonts w:eastAsiaTheme="minorEastAsia"/>
        </w:rPr>
        <w:t xml:space="preserve"> is the </w:t>
      </w:r>
      <w:r w:rsidR="00525B4E">
        <w:rPr>
          <w:rFonts w:eastAsiaTheme="minorEastAsia"/>
        </w:rPr>
        <w:t xml:space="preserve">independent </w:t>
      </w:r>
      <w:r w:rsidR="00702B8F" w:rsidRPr="00B023A2">
        <w:rPr>
          <w:rFonts w:eastAsiaTheme="minorEastAsia"/>
        </w:rPr>
        <w:t xml:space="preserve">variable of interest. </w:t>
      </w:r>
      <w:r w:rsidR="00702B8F" w:rsidRPr="00B023A2">
        <w:t>After estimating the</w:t>
      </w:r>
      <w:r w:rsidR="00674600" w:rsidRPr="00B023A2">
        <w:t xml:space="preserve"> Medicaid and non-Medicaid effect, </w:t>
      </w:r>
      <w:r w:rsidR="004A4ABF" w:rsidRPr="00B023A2">
        <w:t xml:space="preserve">I </w:t>
      </w:r>
      <w:r w:rsidR="00702B8F" w:rsidRPr="00B023A2">
        <w:t>combine them to estimate the full</w:t>
      </w:r>
      <w:r w:rsidR="00674600" w:rsidRPr="00B023A2">
        <w:t xml:space="preserve"> effect of the 2014 ACA rollout including the </w:t>
      </w:r>
      <w:r w:rsidR="00702B8F" w:rsidRPr="00B023A2">
        <w:t xml:space="preserve">Medicaid </w:t>
      </w:r>
      <w:r w:rsidR="00702B8F" w:rsidRPr="00B023A2">
        <w:lastRenderedPageBreak/>
        <w:t>expansion (</w:t>
      </w:r>
      <w:r w:rsidR="00674600" w:rsidRPr="00B023A2">
        <w:t>the effect of the 2014 ACA rollout in expanding states</w:t>
      </w:r>
      <w:r w:rsidR="00702B8F" w:rsidRPr="00B023A2">
        <w:t>)</w:t>
      </w:r>
      <w:r w:rsidR="00B81A4E" w:rsidRPr="00B023A2">
        <w:t>. T</w:t>
      </w:r>
      <w:r w:rsidR="00702B8F" w:rsidRPr="00B023A2">
        <w:t>his “Full ACA” effect</w:t>
      </w:r>
      <w:r w:rsidR="00B81A4E" w:rsidRPr="00B023A2">
        <w:t>,</w:t>
      </w:r>
      <w:r w:rsidR="00702B8F" w:rsidRPr="00B023A2">
        <w:t xml:space="preserve"> </w:t>
      </w:r>
      <w:r w:rsidR="00B81A4E" w:rsidRPr="00B023A2">
        <w:t>calculated for the average PUMA</w:t>
      </w:r>
      <w:r w:rsidR="00702B8F" w:rsidRPr="00B023A2">
        <w:t xml:space="preserve">, is given by </w:t>
      </w:r>
      <m:oMath>
        <m:sSub>
          <m:sSubPr>
            <m:ctrlPr>
              <w:rPr>
                <w:rFonts w:ascii="Cambria Math" w:eastAsiaTheme="minorEastAsia" w:hAnsi="Cambria Math"/>
                <w:i/>
              </w:rPr>
            </m:ctrlPr>
          </m:sSub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2</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Uninsure</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m:t>
                </m:r>
              </m:sub>
            </m:sSub>
          </m:e>
        </m:acc>
      </m:oMath>
      <w:r w:rsidR="00702B8F" w:rsidRPr="00B023A2">
        <w:rPr>
          <w:rFonts w:eastAsiaTheme="minorEastAsia"/>
        </w:rPr>
        <w:t>.</w:t>
      </w:r>
    </w:p>
    <w:p w:rsidR="00E221C5" w:rsidRDefault="00730781" w:rsidP="007A67E2">
      <w:pPr>
        <w:spacing w:line="480" w:lineRule="auto"/>
        <w:ind w:firstLine="720"/>
        <w:rPr>
          <w:rFonts w:eastAsiaTheme="minorEastAsia"/>
        </w:rPr>
      </w:pPr>
      <w:r>
        <w:rPr>
          <w:rFonts w:eastAsiaTheme="minorEastAsia"/>
        </w:rPr>
        <w:t>To provide evidence for/against</w:t>
      </w:r>
      <w:r w:rsidR="002C716F">
        <w:rPr>
          <w:rFonts w:eastAsiaTheme="minorEastAsia"/>
        </w:rPr>
        <w:t xml:space="preserve"> the parallel trend assumption</w:t>
      </w:r>
      <w:r>
        <w:rPr>
          <w:rFonts w:eastAsiaTheme="minorEastAsia"/>
        </w:rPr>
        <w:t>s</w:t>
      </w:r>
      <w:r w:rsidR="002C716F">
        <w:rPr>
          <w:rFonts w:eastAsiaTheme="minorEastAsia"/>
        </w:rPr>
        <w:t xml:space="preserve">, I </w:t>
      </w:r>
      <w:r w:rsidR="00C863DD">
        <w:rPr>
          <w:rFonts w:eastAsiaTheme="minorEastAsia"/>
        </w:rPr>
        <w:t xml:space="preserve">perform a falsification </w:t>
      </w:r>
      <w:r w:rsidR="00F31281">
        <w:rPr>
          <w:rFonts w:eastAsiaTheme="minorEastAsia"/>
        </w:rPr>
        <w:t>test for differential</w:t>
      </w:r>
      <w:r w:rsidR="00C863DD">
        <w:rPr>
          <w:rFonts w:eastAsiaTheme="minorEastAsia"/>
        </w:rPr>
        <w:t xml:space="preserve"> </w:t>
      </w:r>
      <w:r>
        <w:rPr>
          <w:rFonts w:eastAsiaTheme="minorEastAsia"/>
        </w:rPr>
        <w:t xml:space="preserve">pre-trends </w:t>
      </w:r>
      <w:r w:rsidR="009C74A1">
        <w:rPr>
          <w:rFonts w:eastAsiaTheme="minorEastAsia"/>
        </w:rPr>
        <w:t xml:space="preserve">in labor market outcomes </w:t>
      </w:r>
      <w:r>
        <w:rPr>
          <w:rFonts w:eastAsiaTheme="minorEastAsia"/>
        </w:rPr>
        <w:t xml:space="preserve">by </w:t>
      </w:r>
      <w:r w:rsidR="002C716F">
        <w:rPr>
          <w:rFonts w:eastAsiaTheme="minorEastAsia"/>
        </w:rPr>
        <w:t>estimat</w:t>
      </w:r>
      <w:r>
        <w:rPr>
          <w:rFonts w:eastAsiaTheme="minorEastAsia"/>
        </w:rPr>
        <w:t>ing</w:t>
      </w:r>
      <w:r w:rsidR="002C716F">
        <w:rPr>
          <w:rFonts w:eastAsiaTheme="minorEastAsia"/>
        </w:rPr>
        <w:t xml:space="preserve"> an event study model </w:t>
      </w:r>
      <w:r>
        <w:rPr>
          <w:rFonts w:eastAsiaTheme="minorEastAsia"/>
        </w:rPr>
        <w:t xml:space="preserve">for </w:t>
      </w:r>
      <w:r w:rsidR="001E4853">
        <w:rPr>
          <w:rFonts w:eastAsiaTheme="minorEastAsia"/>
        </w:rPr>
        <w:t>both</w:t>
      </w:r>
      <w:r>
        <w:rPr>
          <w:rFonts w:eastAsiaTheme="minorEastAsia"/>
        </w:rPr>
        <w:t xml:space="preserve"> of my main specifications</w:t>
      </w:r>
      <w:r w:rsidR="00CC5A84">
        <w:rPr>
          <w:rFonts w:eastAsiaTheme="minorEastAsia"/>
        </w:rPr>
        <w:t>.</w:t>
      </w:r>
      <w:r w:rsidR="00E221C5">
        <w:rPr>
          <w:rFonts w:eastAsiaTheme="minorEastAsia"/>
        </w:rPr>
        <w:t xml:space="preserve"> </w:t>
      </w:r>
    </w:p>
    <w:p w:rsidR="002C716F" w:rsidRDefault="00E221C5" w:rsidP="007A67E2">
      <w:pPr>
        <w:spacing w:line="480" w:lineRule="auto"/>
        <w:ind w:firstLine="720"/>
        <w:rPr>
          <w:rFonts w:eastAsiaTheme="minorEastAsia"/>
        </w:rPr>
      </w:pPr>
      <w:r>
        <w:rPr>
          <w:rFonts w:eastAsiaTheme="minorEastAsia"/>
        </w:rPr>
        <w:t>DiD</w:t>
      </w:r>
      <w:r w:rsidR="00D76409">
        <w:rPr>
          <w:rFonts w:eastAsiaTheme="minorEastAsia"/>
        </w:rPr>
        <w:t xml:space="preserve"> (1)</w:t>
      </w:r>
      <w:r>
        <w:rPr>
          <w:rFonts w:eastAsiaTheme="minorEastAsia"/>
        </w:rPr>
        <w:t xml:space="preserve"> event study</w:t>
      </w:r>
      <w:r w:rsidR="002C716F">
        <w:rPr>
          <w:rFonts w:eastAsiaTheme="minorEastAsia"/>
        </w:rPr>
        <w:t>:</w:t>
      </w:r>
    </w:p>
    <w:p w:rsidR="002C716F" w:rsidRPr="000E6D98" w:rsidRDefault="0052346E" w:rsidP="0052346E">
      <w:pPr>
        <w:spacing w:line="276" w:lineRule="auto"/>
        <w:rPr>
          <w:rFonts w:eastAsiaTheme="minorEastAsia"/>
        </w:rPr>
      </w:pPr>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3</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ast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2011</m:t>
              </m:r>
            </m:e>
            <m:sub>
              <m:r>
                <w:rPr>
                  <w:rFonts w:ascii="Cambria Math" w:hAnsi="Cambria Math"/>
                </w:rPr>
                <m:t>t</m:t>
              </m:r>
            </m:sub>
          </m:sSub>
          <m:r>
            <w:rPr>
              <w:rFonts w:ascii="Cambria Math" w:hAnsi="Cambria Math"/>
            </w:rPr>
            <m:t>*Medicai</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2012</m:t>
              </m:r>
            </m:e>
            <m:sub>
              <m:r>
                <w:rPr>
                  <w:rFonts w:ascii="Cambria Math" w:hAnsi="Cambria Math"/>
                </w:rPr>
                <m:t>t</m:t>
              </m:r>
            </m:sub>
          </m:sSub>
          <m:r>
            <w:rPr>
              <w:rFonts w:ascii="Cambria Math" w:hAnsi="Cambria Math"/>
            </w:rPr>
            <m:t>*Medicai</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2014</m:t>
              </m:r>
            </m:e>
            <m:sub>
              <m:r>
                <w:rPr>
                  <w:rFonts w:ascii="Cambria Math" w:hAnsi="Cambria Math"/>
                </w:rPr>
                <m:t>t</m:t>
              </m:r>
            </m:sub>
          </m:sSub>
          <m:r>
            <w:rPr>
              <w:rFonts w:ascii="Cambria Math" w:hAnsi="Cambria Math"/>
            </w:rPr>
            <m:t>*Medicai</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2015</m:t>
              </m:r>
            </m:e>
            <m:sub>
              <m:r>
                <w:rPr>
                  <w:rFonts w:ascii="Cambria Math" w:hAnsi="Cambria Math"/>
                </w:rPr>
                <m:t>t</m:t>
              </m:r>
            </m:sub>
          </m:sSub>
          <m:r>
            <w:rPr>
              <w:rFonts w:ascii="Cambria Math" w:hAnsi="Cambria Math"/>
            </w:rPr>
            <m:t>*Medicai</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2016</m:t>
              </m:r>
            </m:e>
            <m:sub>
              <m:r>
                <w:rPr>
                  <w:rFonts w:ascii="Cambria Math" w:hAnsi="Cambria Math"/>
                </w:rPr>
                <m:t>t</m:t>
              </m:r>
            </m:sub>
          </m:sSub>
          <m:r>
            <w:rPr>
              <w:rFonts w:ascii="Cambria Math" w:hAnsi="Cambria Math"/>
            </w:rPr>
            <m:t>*Medicai</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2017</m:t>
              </m:r>
            </m:e>
            <m:sub>
              <m:r>
                <w:rPr>
                  <w:rFonts w:ascii="Cambria Math" w:hAnsi="Cambria Math"/>
                </w:rPr>
                <m:t>t</m:t>
              </m:r>
            </m:sub>
          </m:sSub>
          <m:r>
            <w:rPr>
              <w:rFonts w:ascii="Cambria Math" w:hAnsi="Cambria Math"/>
            </w:rPr>
            <m:t>*Medicai</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b/>
                  <w:bCs/>
                  <w:i/>
                  <w:iCs/>
                </w:rPr>
              </m:ctrlPr>
            </m:sSubPr>
            <m:e>
              <m:r>
                <m:rPr>
                  <m:sty m:val="bi"/>
                </m:rPr>
                <w:rPr>
                  <w:rFonts w:ascii="Cambria Math" w:hAnsi="Cambria Math"/>
                </w:rPr>
                <m:t>θ</m:t>
              </m:r>
              <m:ctrlPr>
                <w:rPr>
                  <w:rFonts w:ascii="Cambria Math" w:hAnsi="Cambria Math"/>
                  <w:i/>
                  <w:iCs/>
                </w:rPr>
              </m:ctrlPr>
            </m:e>
            <m:sub>
              <m:r>
                <m:rPr>
                  <m:sty m:val="bi"/>
                </m:rPr>
                <w:rPr>
                  <w:rFonts w:ascii="Cambria Math" w:hAnsi="Cambria Math"/>
                </w:rPr>
                <m:t>7</m:t>
              </m:r>
            </m:sub>
          </m:sSub>
          <m:sSub>
            <m:sSubPr>
              <m:ctrlPr>
                <w:rPr>
                  <w:rFonts w:ascii="Cambria Math" w:hAnsi="Cambria Math"/>
                  <w:b/>
                  <w:bCs/>
                  <w:i/>
                  <w:iCs/>
                </w:rPr>
              </m:ctrlPr>
            </m:sSubPr>
            <m:e>
              <m:r>
                <m:rPr>
                  <m:sty m:val="bi"/>
                </m:rPr>
                <w:rPr>
                  <w:rFonts w:ascii="Cambria Math" w:hAnsi="Cambria Math"/>
                </w:rPr>
                <m:t>X</m:t>
              </m:r>
            </m:e>
            <m:sub>
              <m:r>
                <m:rPr>
                  <m:sty m:val="bi"/>
                </m:rPr>
                <w:rPr>
                  <w:rFonts w:ascii="Cambria Math" w:hAnsi="Cambria Math"/>
                </w:rPr>
                <m:t>ast</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ast</m:t>
              </m:r>
            </m:sub>
          </m:sSub>
        </m:oMath>
      </m:oMathPara>
    </w:p>
    <w:p w:rsidR="00AF691C" w:rsidRDefault="00AF691C" w:rsidP="00220F61">
      <w:pPr>
        <w:spacing w:line="360" w:lineRule="auto"/>
        <w:ind w:firstLine="720"/>
      </w:pPr>
    </w:p>
    <w:p w:rsidR="00E221C5" w:rsidRDefault="00E221C5" w:rsidP="00220F61">
      <w:pPr>
        <w:spacing w:line="360" w:lineRule="auto"/>
        <w:ind w:firstLine="720"/>
      </w:pPr>
      <w:r>
        <w:t xml:space="preserve">DiDiD </w:t>
      </w:r>
      <w:r w:rsidR="00D76409">
        <w:t xml:space="preserve">(2) </w:t>
      </w:r>
      <w:r>
        <w:t>event study:</w:t>
      </w:r>
    </w:p>
    <w:p w:rsidR="00E221C5" w:rsidRPr="00B86E95" w:rsidRDefault="00040A4F" w:rsidP="00B86E95">
      <w:pPr>
        <w:spacing w:line="276" w:lineRule="auto"/>
        <w:rPr>
          <w:rFonts w:eastAsiaTheme="minorEastAsia"/>
        </w:rPr>
      </w:pPr>
      <m:oMathPara>
        <m:oMath>
          <m:d>
            <m:dPr>
              <m:ctrlPr>
                <w:rPr>
                  <w:rFonts w:ascii="Cambria Math" w:hAnsi="Cambria Math"/>
                  <w:i/>
                </w:rPr>
              </m:ctrlPr>
            </m:dPr>
            <m:e>
              <m:r>
                <w:rPr>
                  <w:rFonts w:ascii="Cambria Math" w:hAnsi="Cambria Math"/>
                </w:rPr>
                <m:t>4</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ast</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0</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ϕ</m:t>
              </m:r>
              <m:ctrlPr>
                <w:rPr>
                  <w:rFonts w:ascii="Cambria Math" w:hAnsi="Cambria Math"/>
                  <w:i/>
                </w:rPr>
              </m:ctrlP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2011</m:t>
                  </m:r>
                </m:e>
                <m:sub>
                  <m:r>
                    <w:rPr>
                      <w:rFonts w:ascii="Cambria Math" w:eastAsiaTheme="minorEastAsia" w:hAnsi="Cambria Math"/>
                    </w:rPr>
                    <m:t>t</m:t>
                  </m:r>
                </m:sub>
              </m:sSub>
              <m:r>
                <w:rPr>
                  <w:rFonts w:ascii="Cambria Math" w:eastAsiaTheme="minorEastAsia" w:hAnsi="Cambria Math"/>
                </w:rPr>
                <m:t>*Uninsure</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ϕ</m:t>
              </m:r>
              <m:ctrlPr>
                <w:rPr>
                  <w:rFonts w:ascii="Cambria Math" w:hAnsi="Cambria Math"/>
                  <w:i/>
                </w:rPr>
              </m:ctrlP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2012</m:t>
                  </m:r>
                </m:e>
                <m:sub>
                  <m:r>
                    <w:rPr>
                      <w:rFonts w:ascii="Cambria Math" w:eastAsiaTheme="minorEastAsia" w:hAnsi="Cambria Math"/>
                    </w:rPr>
                    <m:t>t</m:t>
                  </m:r>
                </m:sub>
              </m:sSub>
              <m:r>
                <w:rPr>
                  <w:rFonts w:ascii="Cambria Math" w:eastAsiaTheme="minorEastAsia" w:hAnsi="Cambria Math"/>
                </w:rPr>
                <m:t>*Uninsure</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ϕ</m:t>
              </m:r>
              <m:ctrlPr>
                <w:rPr>
                  <w:rFonts w:ascii="Cambria Math" w:hAnsi="Cambria Math"/>
                  <w:i/>
                </w:rPr>
              </m:ctrlP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2014</m:t>
                  </m:r>
                </m:e>
                <m:sub>
                  <m:r>
                    <w:rPr>
                      <w:rFonts w:ascii="Cambria Math" w:eastAsiaTheme="minorEastAsia" w:hAnsi="Cambria Math"/>
                    </w:rPr>
                    <m:t>t</m:t>
                  </m:r>
                </m:sub>
              </m:sSub>
              <m:r>
                <w:rPr>
                  <w:rFonts w:ascii="Cambria Math" w:eastAsiaTheme="minorEastAsia" w:hAnsi="Cambria Math"/>
                </w:rPr>
                <m:t>*Uninsure</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ϕ</m:t>
              </m:r>
              <m:ctrlPr>
                <w:rPr>
                  <w:rFonts w:ascii="Cambria Math" w:hAnsi="Cambria Math"/>
                  <w:i/>
                </w:rPr>
              </m:ctrlPr>
            </m:e>
            <m:sub>
              <m:r>
                <w:rPr>
                  <w:rFonts w:ascii="Cambria Math" w:eastAsiaTheme="minorEastAsia" w:hAnsi="Cambria Math"/>
                </w:rPr>
                <m:t>4</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2015</m:t>
                  </m:r>
                </m:e>
                <m:sub>
                  <m:r>
                    <w:rPr>
                      <w:rFonts w:ascii="Cambria Math" w:eastAsiaTheme="minorEastAsia" w:hAnsi="Cambria Math"/>
                    </w:rPr>
                    <m:t>t</m:t>
                  </m:r>
                </m:sub>
              </m:sSub>
              <m:r>
                <w:rPr>
                  <w:rFonts w:ascii="Cambria Math" w:eastAsiaTheme="minorEastAsia" w:hAnsi="Cambria Math"/>
                </w:rPr>
                <m:t>*Uninsure</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ϕ</m:t>
              </m:r>
              <m:ctrlPr>
                <w:rPr>
                  <w:rFonts w:ascii="Cambria Math" w:hAnsi="Cambria Math"/>
                  <w:i/>
                </w:rPr>
              </m:ctrlPr>
            </m:e>
            <m:sub>
              <m:r>
                <w:rPr>
                  <w:rFonts w:ascii="Cambria Math" w:eastAsiaTheme="minorEastAsia" w:hAnsi="Cambria Math"/>
                </w:rPr>
                <m:t>5</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2016</m:t>
                  </m:r>
                </m:e>
                <m:sub>
                  <m:r>
                    <w:rPr>
                      <w:rFonts w:ascii="Cambria Math" w:eastAsiaTheme="minorEastAsia" w:hAnsi="Cambria Math"/>
                    </w:rPr>
                    <m:t>t</m:t>
                  </m:r>
                </m:sub>
              </m:sSub>
              <m:r>
                <w:rPr>
                  <w:rFonts w:ascii="Cambria Math" w:eastAsiaTheme="minorEastAsia" w:hAnsi="Cambria Math"/>
                </w:rPr>
                <m:t>*Uninsure</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ϕ</m:t>
              </m:r>
              <m:ctrlPr>
                <w:rPr>
                  <w:rFonts w:ascii="Cambria Math" w:hAnsi="Cambria Math"/>
                  <w:i/>
                </w:rPr>
              </m:ctrlPr>
            </m:e>
            <m:sub>
              <m:r>
                <w:rPr>
                  <w:rFonts w:ascii="Cambria Math" w:eastAsiaTheme="minorEastAsia" w:hAnsi="Cambria Math"/>
                </w:rPr>
                <m:t>6</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2017</m:t>
                  </m:r>
                </m:e>
                <m:sub>
                  <m:r>
                    <w:rPr>
                      <w:rFonts w:ascii="Cambria Math" w:eastAsiaTheme="minorEastAsia" w:hAnsi="Cambria Math"/>
                    </w:rPr>
                    <m:t>t</m:t>
                  </m:r>
                </m:sub>
              </m:sSub>
              <m:r>
                <w:rPr>
                  <w:rFonts w:ascii="Cambria Math" w:eastAsiaTheme="minorEastAsia" w:hAnsi="Cambria Math"/>
                </w:rPr>
                <m:t>*Uninsure</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7</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2011</m:t>
                  </m:r>
                </m:e>
                <m:sub>
                  <m:r>
                    <w:rPr>
                      <w:rFonts w:ascii="Cambria Math" w:eastAsiaTheme="minorEastAsia" w:hAnsi="Cambria Math"/>
                    </w:rPr>
                    <m:t>t</m:t>
                  </m:r>
                </m:sub>
              </m:sSub>
              <m:r>
                <w:rPr>
                  <w:rFonts w:ascii="Cambria Math" w:eastAsiaTheme="minorEastAsia" w:hAnsi="Cambria Math"/>
                </w:rPr>
                <m:t>*Uninsure</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m:t>
                  </m:r>
                </m:sub>
              </m:sSub>
              <m:r>
                <w:rPr>
                  <w:rFonts w:ascii="Cambria Math" w:eastAsiaTheme="minorEastAsia" w:hAnsi="Cambria Math"/>
                </w:rPr>
                <m:t>*Medicai</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8</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2012</m:t>
                  </m:r>
                </m:e>
                <m:sub>
                  <m:r>
                    <w:rPr>
                      <w:rFonts w:ascii="Cambria Math" w:eastAsiaTheme="minorEastAsia" w:hAnsi="Cambria Math"/>
                    </w:rPr>
                    <m:t>t</m:t>
                  </m:r>
                </m:sub>
              </m:sSub>
              <m:r>
                <w:rPr>
                  <w:rFonts w:ascii="Cambria Math" w:eastAsiaTheme="minorEastAsia" w:hAnsi="Cambria Math"/>
                </w:rPr>
                <m:t>*Uninsure</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m:t>
                  </m:r>
                </m:sub>
              </m:sSub>
              <m:r>
                <w:rPr>
                  <w:rFonts w:ascii="Cambria Math" w:eastAsiaTheme="minorEastAsia" w:hAnsi="Cambria Math"/>
                </w:rPr>
                <m:t>*Medicai</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9</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2014</m:t>
                  </m:r>
                </m:e>
                <m:sub>
                  <m:r>
                    <w:rPr>
                      <w:rFonts w:ascii="Cambria Math" w:eastAsiaTheme="minorEastAsia" w:hAnsi="Cambria Math"/>
                    </w:rPr>
                    <m:t>t</m:t>
                  </m:r>
                </m:sub>
              </m:sSub>
              <m:r>
                <w:rPr>
                  <w:rFonts w:ascii="Cambria Math" w:eastAsiaTheme="minorEastAsia" w:hAnsi="Cambria Math"/>
                </w:rPr>
                <m:t>*Uninsure</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m:t>
                  </m:r>
                </m:sub>
              </m:sSub>
              <m:r>
                <w:rPr>
                  <w:rFonts w:ascii="Cambria Math" w:eastAsiaTheme="minorEastAsia" w:hAnsi="Cambria Math"/>
                </w:rPr>
                <m:t>*Medicai</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2015</m:t>
                  </m:r>
                </m:e>
                <m:sub>
                  <m:r>
                    <w:rPr>
                      <w:rFonts w:ascii="Cambria Math" w:eastAsiaTheme="minorEastAsia" w:hAnsi="Cambria Math"/>
                    </w:rPr>
                    <m:t>t</m:t>
                  </m:r>
                </m:sub>
              </m:sSub>
              <m:r>
                <w:rPr>
                  <w:rFonts w:ascii="Cambria Math" w:eastAsiaTheme="minorEastAsia" w:hAnsi="Cambria Math"/>
                </w:rPr>
                <m:t>*Uninsure</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m:t>
                  </m:r>
                </m:sub>
              </m:sSub>
              <m:r>
                <w:rPr>
                  <w:rFonts w:ascii="Cambria Math" w:eastAsiaTheme="minorEastAsia" w:hAnsi="Cambria Math"/>
                </w:rPr>
                <m:t>*Medicai</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2016</m:t>
                  </m:r>
                </m:e>
                <m:sub>
                  <m:r>
                    <w:rPr>
                      <w:rFonts w:ascii="Cambria Math" w:eastAsiaTheme="minorEastAsia" w:hAnsi="Cambria Math"/>
                    </w:rPr>
                    <m:t>t</m:t>
                  </m:r>
                </m:sub>
              </m:sSub>
              <m:r>
                <w:rPr>
                  <w:rFonts w:ascii="Cambria Math" w:eastAsiaTheme="minorEastAsia" w:hAnsi="Cambria Math"/>
                </w:rPr>
                <m:t>*Uninsure</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m:t>
                  </m:r>
                </m:sub>
              </m:sSub>
              <m:r>
                <w:rPr>
                  <w:rFonts w:ascii="Cambria Math" w:eastAsiaTheme="minorEastAsia" w:hAnsi="Cambria Math"/>
                </w:rPr>
                <m:t>*Medicai</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2017</m:t>
                  </m:r>
                </m:e>
                <m:sub>
                  <m:r>
                    <w:rPr>
                      <w:rFonts w:ascii="Cambria Math" w:eastAsiaTheme="minorEastAsia" w:hAnsi="Cambria Math"/>
                    </w:rPr>
                    <m:t>t</m:t>
                  </m:r>
                </m:sub>
              </m:sSub>
              <m:r>
                <w:rPr>
                  <w:rFonts w:ascii="Cambria Math" w:eastAsiaTheme="minorEastAsia" w:hAnsi="Cambria Math"/>
                </w:rPr>
                <m:t>*Uninsure</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m:t>
                  </m:r>
                </m:sub>
              </m:sSub>
              <m:r>
                <w:rPr>
                  <w:rFonts w:ascii="Cambria Math" w:eastAsiaTheme="minorEastAsia" w:hAnsi="Cambria Math"/>
                </w:rPr>
                <m:t>*Medicai</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e>
          </m:d>
          <m:r>
            <w:rPr>
              <w:rFonts w:ascii="Cambria Math" w:hAnsi="Cambria Math"/>
            </w:rPr>
            <m:t>+</m:t>
          </m:r>
          <m:sSub>
            <m:sSubPr>
              <m:ctrlPr>
                <w:rPr>
                  <w:rFonts w:ascii="Cambria Math" w:hAnsi="Cambria Math"/>
                  <w:b/>
                  <w:bCs/>
                  <w:i/>
                  <w:iCs/>
                </w:rPr>
              </m:ctrlPr>
            </m:sSubPr>
            <m:e>
              <m:r>
                <m:rPr>
                  <m:sty m:val="bi"/>
                </m:rPr>
                <w:rPr>
                  <w:rFonts w:ascii="Cambria Math" w:hAnsi="Cambria Math"/>
                </w:rPr>
                <m:t>ϕ</m:t>
              </m:r>
            </m:e>
            <m:sub>
              <m:r>
                <m:rPr>
                  <m:sty m:val="bi"/>
                </m:rPr>
                <w:rPr>
                  <w:rFonts w:ascii="Cambria Math" w:hAnsi="Cambria Math"/>
                </w:rPr>
                <m:t>13</m:t>
              </m:r>
            </m:sub>
          </m:sSub>
          <m:sSub>
            <m:sSubPr>
              <m:ctrlPr>
                <w:rPr>
                  <w:rFonts w:ascii="Cambria Math" w:hAnsi="Cambria Math"/>
                  <w:b/>
                  <w:bCs/>
                  <w:i/>
                  <w:iCs/>
                </w:rPr>
              </m:ctrlPr>
            </m:sSubPr>
            <m:e>
              <m:r>
                <m:rPr>
                  <m:sty m:val="bi"/>
                </m:rPr>
                <w:rPr>
                  <w:rFonts w:ascii="Cambria Math" w:hAnsi="Cambria Math"/>
                </w:rPr>
                <m:t>X</m:t>
              </m:r>
            </m:e>
            <m:sub>
              <m:r>
                <m:rPr>
                  <m:sty m:val="bi"/>
                </m:rPr>
                <w:rPr>
                  <w:rFonts w:ascii="Cambria Math" w:hAnsi="Cambria Math"/>
                </w:rPr>
                <m:t>ast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ast</m:t>
              </m:r>
            </m:sub>
          </m:sSub>
        </m:oMath>
      </m:oMathPara>
    </w:p>
    <w:p w:rsidR="00B86E95" w:rsidRPr="00220F61" w:rsidRDefault="00B86E95" w:rsidP="00B86E95">
      <w:pPr>
        <w:spacing w:line="276" w:lineRule="auto"/>
        <w:rPr>
          <w:rFonts w:eastAsiaTheme="minorEastAsia"/>
        </w:rPr>
      </w:pPr>
    </w:p>
    <w:p w:rsidR="00E4788E" w:rsidRDefault="00220F61" w:rsidP="007A67E2">
      <w:pPr>
        <w:spacing w:line="480" w:lineRule="auto"/>
      </w:pPr>
      <w:r>
        <w:rPr>
          <w:rFonts w:eastAsiaTheme="minorEastAsia"/>
        </w:rPr>
        <w:t xml:space="preserve">where </w:t>
      </w:r>
      <m:oMath>
        <m:sSub>
          <m:sSubPr>
            <m:ctrlPr>
              <w:rPr>
                <w:rFonts w:ascii="Cambria Math" w:hAnsi="Cambria Math"/>
                <w:i/>
              </w:rPr>
            </m:ctrlPr>
          </m:sSubPr>
          <m:e>
            <m:r>
              <w:rPr>
                <w:rFonts w:ascii="Cambria Math" w:hAnsi="Cambria Math"/>
              </w:rPr>
              <m:t>2011</m:t>
            </m:r>
          </m:e>
          <m:sub>
            <m:r>
              <w:rPr>
                <w:rFonts w:ascii="Cambria Math" w:hAnsi="Cambria Math"/>
              </w:rPr>
              <m:t>t</m:t>
            </m:r>
          </m:sub>
        </m:sSub>
      </m:oMath>
      <w:r>
        <w:rPr>
          <w:rFonts w:eastAsiaTheme="minorEastAsia"/>
        </w:rPr>
        <w:t xml:space="preserve">, </w:t>
      </w:r>
      <m:oMath>
        <m:sSub>
          <m:sSubPr>
            <m:ctrlPr>
              <w:rPr>
                <w:rFonts w:ascii="Cambria Math" w:hAnsi="Cambria Math"/>
                <w:i/>
              </w:rPr>
            </m:ctrlPr>
          </m:sSubPr>
          <m:e>
            <m:r>
              <w:rPr>
                <w:rFonts w:ascii="Cambria Math" w:hAnsi="Cambria Math"/>
              </w:rPr>
              <m:t>2012</m:t>
            </m:r>
          </m:e>
          <m:sub>
            <m:r>
              <w:rPr>
                <w:rFonts w:ascii="Cambria Math" w:hAnsi="Cambria Math"/>
              </w:rPr>
              <m:t>t</m:t>
            </m:r>
          </m:sub>
        </m:sSub>
      </m:oMath>
      <w:r>
        <w:rPr>
          <w:rFonts w:eastAsiaTheme="minorEastAsia"/>
        </w:rPr>
        <w:t xml:space="preserve">, </w:t>
      </w:r>
      <m:oMath>
        <m:sSub>
          <m:sSubPr>
            <m:ctrlPr>
              <w:rPr>
                <w:rFonts w:ascii="Cambria Math" w:hAnsi="Cambria Math"/>
                <w:i/>
              </w:rPr>
            </m:ctrlPr>
          </m:sSubPr>
          <m:e>
            <m:r>
              <w:rPr>
                <w:rFonts w:ascii="Cambria Math" w:hAnsi="Cambria Math"/>
              </w:rPr>
              <m:t>2014</m:t>
            </m:r>
          </m:e>
          <m:sub>
            <m:r>
              <w:rPr>
                <w:rFonts w:ascii="Cambria Math" w:hAnsi="Cambria Math"/>
              </w:rPr>
              <m:t>t</m:t>
            </m:r>
          </m:sub>
        </m:sSub>
      </m:oMath>
      <w:r>
        <w:rPr>
          <w:rFonts w:eastAsiaTheme="minorEastAsia"/>
        </w:rPr>
        <w:t xml:space="preserve">, </w:t>
      </w:r>
      <m:oMath>
        <m:sSub>
          <m:sSubPr>
            <m:ctrlPr>
              <w:rPr>
                <w:rFonts w:ascii="Cambria Math" w:hAnsi="Cambria Math"/>
                <w:i/>
              </w:rPr>
            </m:ctrlPr>
          </m:sSubPr>
          <m:e>
            <m:r>
              <w:rPr>
                <w:rFonts w:ascii="Cambria Math" w:hAnsi="Cambria Math"/>
              </w:rPr>
              <m:t>2015</m:t>
            </m:r>
          </m:e>
          <m:sub>
            <m:r>
              <w:rPr>
                <w:rFonts w:ascii="Cambria Math" w:hAnsi="Cambria Math"/>
              </w:rPr>
              <m:t>t</m:t>
            </m:r>
          </m:sub>
        </m:sSub>
      </m:oMath>
      <w:r>
        <w:rPr>
          <w:rFonts w:eastAsiaTheme="minorEastAsia"/>
        </w:rPr>
        <w:t xml:space="preserve">, and </w:t>
      </w:r>
      <m:oMath>
        <m:sSub>
          <m:sSubPr>
            <m:ctrlPr>
              <w:rPr>
                <w:rFonts w:ascii="Cambria Math" w:hAnsi="Cambria Math"/>
                <w:i/>
              </w:rPr>
            </m:ctrlPr>
          </m:sSubPr>
          <m:e>
            <m:r>
              <w:rPr>
                <w:rFonts w:ascii="Cambria Math" w:hAnsi="Cambria Math"/>
              </w:rPr>
              <m:t>2016</m:t>
            </m:r>
          </m:e>
          <m:sub>
            <m:r>
              <w:rPr>
                <w:rFonts w:ascii="Cambria Math" w:hAnsi="Cambria Math"/>
              </w:rPr>
              <m:t>t</m:t>
            </m:r>
          </m:sub>
        </m:sSub>
      </m:oMath>
      <w:r>
        <w:rPr>
          <w:rFonts w:eastAsiaTheme="minorEastAsia"/>
        </w:rPr>
        <w:t xml:space="preserve"> are indicators for each year, and 2013 </w:t>
      </w:r>
      <w:r w:rsidR="00B055A3">
        <w:rPr>
          <w:rFonts w:eastAsiaTheme="minorEastAsia"/>
        </w:rPr>
        <w:t xml:space="preserve">(the year prior to the policy rollout) </w:t>
      </w:r>
      <w:r>
        <w:rPr>
          <w:rFonts w:eastAsiaTheme="minorEastAsia"/>
        </w:rPr>
        <w:t>serves as the reference year. The falsification test for different</w:t>
      </w:r>
      <w:r w:rsidR="00995531">
        <w:rPr>
          <w:rFonts w:eastAsiaTheme="minorEastAsia"/>
        </w:rPr>
        <w:t>ial</w:t>
      </w:r>
      <w:r>
        <w:rPr>
          <w:rFonts w:eastAsiaTheme="minorEastAsia"/>
        </w:rPr>
        <w:t xml:space="preserve"> pre-trends</w:t>
      </w:r>
      <w:r w:rsidR="0098209F">
        <w:rPr>
          <w:rFonts w:eastAsiaTheme="minorEastAsia"/>
        </w:rPr>
        <w:t>, informally, is a test of whether the “treatment” effect is non-zero in the pre-expansion years</w:t>
      </w:r>
      <w:r w:rsidR="00441572">
        <w:rPr>
          <w:rFonts w:eastAsiaTheme="minorEastAsia"/>
        </w:rPr>
        <w:t xml:space="preserve"> ie</w:t>
      </w:r>
      <w:r w:rsidR="0098209F">
        <w:rPr>
          <w:rFonts w:eastAsiaTheme="minorEastAsia"/>
        </w:rPr>
        <w:t>.</w:t>
      </w:r>
      <w:r w:rsidR="00750961">
        <w:rPr>
          <w:rFonts w:eastAsiaTheme="minorEastAsia"/>
        </w:rPr>
        <w:t xml:space="preserve"> i</w:t>
      </w:r>
      <w:r w:rsidR="001C156A">
        <w:rPr>
          <w:rFonts w:eastAsiaTheme="minorEastAsia"/>
        </w:rPr>
        <w:t>f the “treatment” effect is non-</w:t>
      </w:r>
      <w:r w:rsidR="00750961">
        <w:rPr>
          <w:rFonts w:eastAsiaTheme="minorEastAsia"/>
        </w:rPr>
        <w:t>zero before the treatment has happened, something strange is happening, and parallel trends is violated.</w:t>
      </w:r>
      <w:r w:rsidR="0098209F">
        <w:rPr>
          <w:rFonts w:eastAsiaTheme="minorEastAsia"/>
        </w:rPr>
        <w:t xml:space="preserve"> </w:t>
      </w:r>
      <w:r w:rsidR="007A3140">
        <w:rPr>
          <w:rFonts w:eastAsiaTheme="minorEastAsia"/>
        </w:rPr>
        <w:t xml:space="preserve">More formally, the test </w:t>
      </w:r>
      <w:r>
        <w:rPr>
          <w:rFonts w:eastAsiaTheme="minorEastAsia"/>
        </w:rPr>
        <w:t xml:space="preserve">is whether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oMath>
      <w:r>
        <w:rPr>
          <w:rFonts w:eastAsiaTheme="minorEastAsia"/>
        </w:rPr>
        <w:t xml:space="preserve"> are significantly different from zero</w:t>
      </w:r>
      <w:r w:rsidR="007A3140">
        <w:rPr>
          <w:rFonts w:eastAsiaTheme="minorEastAsia"/>
        </w:rPr>
        <w:t xml:space="preserve"> for the DiD specification</w:t>
      </w:r>
      <w:r w:rsidR="000408B3">
        <w:rPr>
          <w:rFonts w:eastAsiaTheme="minorEastAsia"/>
        </w:rPr>
        <w:t>. For the DiDiD specification, the test is</w:t>
      </w:r>
      <w:r w:rsidR="007A3140">
        <w:rPr>
          <w:rFonts w:eastAsiaTheme="minorEastAsia"/>
        </w:rPr>
        <w:t xml:space="preserve"> </w:t>
      </w:r>
      <w:r w:rsidR="000408B3">
        <w:t>whether</w:t>
      </w:r>
      <w:r w:rsidR="00092FCE">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1</m:t>
            </m:r>
          </m:sub>
        </m:sSub>
      </m:oMath>
      <w:r w:rsidR="00092FCE">
        <w:rPr>
          <w:rFonts w:eastAsiaTheme="minorEastAsia"/>
        </w:rP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2</m:t>
            </m:r>
          </m:sub>
        </m:sSub>
      </m:oMath>
      <w:r w:rsidR="00092FCE">
        <w:rPr>
          <w:rFonts w:eastAsiaTheme="minorEastAsia"/>
        </w:rPr>
        <w:t xml:space="preserve"> </w:t>
      </w:r>
      <w:r w:rsidR="00092FCE">
        <w:t xml:space="preserve">are significant (for the non-Medicaid effect), and </w:t>
      </w:r>
      <w:r w:rsidR="00334414">
        <w:t>whether</w:t>
      </w:r>
      <w:r w:rsidR="00092FCE">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7</m:t>
            </m:r>
          </m:sub>
        </m:sSub>
      </m:oMath>
      <w:r w:rsidR="00092FCE">
        <w:rPr>
          <w:rFonts w:eastAsiaTheme="minorEastAsia"/>
        </w:rP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8</m:t>
            </m:r>
          </m:sub>
        </m:sSub>
      </m:oMath>
      <w:r w:rsidR="00092FCE">
        <w:rPr>
          <w:rFonts w:eastAsiaTheme="minorEastAsia"/>
        </w:rPr>
        <w:t xml:space="preserve"> are significant (for the Medicaid expansion effect). If any of these coefficient</w:t>
      </w:r>
      <w:r w:rsidR="000578F3">
        <w:rPr>
          <w:rFonts w:eastAsiaTheme="minorEastAsia"/>
        </w:rPr>
        <w:t xml:space="preserve"> estimates</w:t>
      </w:r>
      <w:r w:rsidR="00092FCE">
        <w:rPr>
          <w:rFonts w:eastAsiaTheme="minorEastAsia"/>
        </w:rPr>
        <w:t xml:space="preserve"> come up </w:t>
      </w:r>
      <w:r w:rsidR="00092FCE">
        <w:rPr>
          <w:rFonts w:eastAsiaTheme="minorEastAsia"/>
        </w:rPr>
        <w:lastRenderedPageBreak/>
        <w:t xml:space="preserve">significant, </w:t>
      </w:r>
      <w:r w:rsidR="00DA3763">
        <w:rPr>
          <w:rFonts w:eastAsiaTheme="minorEastAsia"/>
        </w:rPr>
        <w:t>the</w:t>
      </w:r>
      <w:r w:rsidR="00092FCE">
        <w:rPr>
          <w:rFonts w:eastAsiaTheme="minorEastAsia"/>
        </w:rPr>
        <w:t xml:space="preserve"> respective parallel trends assumption is violated</w:t>
      </w:r>
      <w:r w:rsidR="000F0C28">
        <w:rPr>
          <w:rFonts w:eastAsiaTheme="minorEastAsia"/>
        </w:rPr>
        <w:t xml:space="preserve">. </w:t>
      </w:r>
      <w:r w:rsidR="00FC25D2">
        <w:rPr>
          <w:rFonts w:eastAsiaTheme="minorEastAsia"/>
        </w:rPr>
        <w:t xml:space="preserve">As these are falsification tests, note that a null result does not </w:t>
      </w:r>
      <w:r w:rsidR="00FC25D2" w:rsidRPr="00FC25D2">
        <w:rPr>
          <w:rFonts w:eastAsiaTheme="minorEastAsia"/>
          <w:i/>
        </w:rPr>
        <w:t>prove</w:t>
      </w:r>
      <w:r w:rsidR="00FC25D2">
        <w:rPr>
          <w:rFonts w:eastAsiaTheme="minorEastAsia"/>
        </w:rPr>
        <w:t xml:space="preserve"> that the identifying assumptions </w:t>
      </w:r>
      <w:r w:rsidR="00CE526A">
        <w:rPr>
          <w:rFonts w:eastAsiaTheme="minorEastAsia"/>
        </w:rPr>
        <w:t>hold, but rather there is insufficient evidence to conclude that they are violated</w:t>
      </w:r>
      <w:r w:rsidR="00FC25D2">
        <w:rPr>
          <w:rFonts w:eastAsiaTheme="minorEastAsia"/>
        </w:rPr>
        <w:t xml:space="preserve">. </w:t>
      </w:r>
      <w:r w:rsidR="000F0C28" w:rsidRPr="007C1E75">
        <w:rPr>
          <w:rFonts w:eastAsiaTheme="minorEastAsia"/>
        </w:rPr>
        <w:t>One additional useful characteristic of the event study models, is that they estimate treatment effect</w:t>
      </w:r>
      <w:r w:rsidR="00243254" w:rsidRPr="007C1E75">
        <w:rPr>
          <w:rFonts w:eastAsiaTheme="minorEastAsia"/>
        </w:rPr>
        <w:t>s</w:t>
      </w:r>
      <w:r w:rsidR="000F0C28" w:rsidRPr="007C1E75">
        <w:rPr>
          <w:rFonts w:eastAsiaTheme="minorEastAsia"/>
        </w:rPr>
        <w:t xml:space="preserve"> by year</w:t>
      </w:r>
      <w:r w:rsidR="00243254" w:rsidRPr="007C1E75">
        <w:rPr>
          <w:rFonts w:eastAsiaTheme="minorEastAsia"/>
        </w:rPr>
        <w:t xml:space="preserve">. This </w:t>
      </w:r>
      <w:r w:rsidR="00752315" w:rsidRPr="007C1E75">
        <w:rPr>
          <w:rFonts w:eastAsiaTheme="minorEastAsia"/>
        </w:rPr>
        <w:t xml:space="preserve">aspect </w:t>
      </w:r>
      <w:r w:rsidR="00243254" w:rsidRPr="007C1E75">
        <w:rPr>
          <w:rFonts w:eastAsiaTheme="minorEastAsia"/>
        </w:rPr>
        <w:t>allows a more nuanced analysis</w:t>
      </w:r>
      <w:r w:rsidR="00752315" w:rsidRPr="007C1E75">
        <w:rPr>
          <w:rFonts w:eastAsiaTheme="minorEastAsia"/>
        </w:rPr>
        <w:t>,</w:t>
      </w:r>
      <w:r w:rsidR="00336B46" w:rsidRPr="007C1E75">
        <w:rPr>
          <w:rFonts w:eastAsiaTheme="minorEastAsia"/>
        </w:rPr>
        <w:t xml:space="preserve"> ie.</w:t>
      </w:r>
      <w:r w:rsidR="00243254" w:rsidRPr="007C1E75">
        <w:rPr>
          <w:rFonts w:eastAsiaTheme="minorEastAsia"/>
        </w:rPr>
        <w:t xml:space="preserve"> how </w:t>
      </w:r>
      <w:r w:rsidR="00336B46" w:rsidRPr="007C1E75">
        <w:rPr>
          <w:rFonts w:eastAsiaTheme="minorEastAsia"/>
        </w:rPr>
        <w:t xml:space="preserve">the </w:t>
      </w:r>
      <w:r w:rsidR="00243254" w:rsidRPr="007C1E75">
        <w:rPr>
          <w:rFonts w:eastAsiaTheme="minorEastAsia"/>
        </w:rPr>
        <w:t>treatment effects evolve over time</w:t>
      </w:r>
      <w:r w:rsidR="00336B46" w:rsidRPr="007C1E75">
        <w:rPr>
          <w:rFonts w:eastAsiaTheme="minorEastAsia"/>
        </w:rPr>
        <w:t>.</w:t>
      </w:r>
      <w:r w:rsidR="00243254" w:rsidRPr="007C1E75">
        <w:rPr>
          <w:rFonts w:eastAsiaTheme="minorEastAsia"/>
        </w:rPr>
        <w:t xml:space="preserve"> This would allow the detection of a transitory effect in the first year, as was found by Peng et al. (</w:t>
      </w:r>
      <w:r w:rsidR="00732827" w:rsidRPr="007C1E75">
        <w:rPr>
          <w:rFonts w:eastAsiaTheme="minorEastAsia"/>
        </w:rPr>
        <w:t>2018</w:t>
      </w:r>
      <w:r w:rsidR="00243254" w:rsidRPr="007C1E75">
        <w:rPr>
          <w:rFonts w:eastAsiaTheme="minorEastAsia"/>
        </w:rPr>
        <w:t xml:space="preserve">). </w:t>
      </w:r>
      <w:r w:rsidR="00CC7FF3" w:rsidRPr="007C1E75">
        <w:rPr>
          <w:rFonts w:eastAsiaTheme="minorEastAsia"/>
        </w:rPr>
        <w:t>I examine event study estimates and determine if they tell a more complex story than the main specifications.</w:t>
      </w:r>
    </w:p>
    <w:p w:rsidR="00344AFD" w:rsidRDefault="003C6C51" w:rsidP="007A67E2">
      <w:pPr>
        <w:spacing w:line="480" w:lineRule="auto"/>
        <w:ind w:firstLine="720"/>
      </w:pPr>
      <w:r>
        <w:t xml:space="preserve">Recall that </w:t>
      </w:r>
      <w:r w:rsidR="00777CC7">
        <w:t xml:space="preserve">health insurance coverage gains were especially pronounced among certain demographic groups. </w:t>
      </w:r>
      <w:r w:rsidR="006003DD">
        <w:t xml:space="preserve">I </w:t>
      </w:r>
      <w:r w:rsidR="00777CC7">
        <w:t xml:space="preserve">therefore </w:t>
      </w:r>
      <w:r w:rsidR="006003DD">
        <w:t xml:space="preserve">perform heterogeneity analysis by re-estimating equation (2) for </w:t>
      </w:r>
      <w:r w:rsidR="00E92049">
        <w:t>several</w:t>
      </w:r>
      <w:r w:rsidR="006003DD">
        <w:t xml:space="preserve"> demographic groups</w:t>
      </w:r>
      <w:r w:rsidR="009F6D20">
        <w:t xml:space="preserve">. </w:t>
      </w:r>
      <w:r w:rsidR="00443640">
        <w:t>I calculate DiDiD estimates by gender, co</w:t>
      </w:r>
      <w:r w:rsidR="00CC34FE">
        <w:t xml:space="preserve">llege education, age, and race in order to see if </w:t>
      </w:r>
      <w:r w:rsidR="00777CC7">
        <w:t>labor supply of these groups is</w:t>
      </w:r>
      <w:r w:rsidR="00CC34FE">
        <w:t xml:space="preserve"> differentially affected by the ACA, as well as to </w:t>
      </w:r>
      <w:r w:rsidR="00F84EDF">
        <w:t>preliminar</w:t>
      </w:r>
      <w:r w:rsidR="00163D30">
        <w:t xml:space="preserve">ily explore the </w:t>
      </w:r>
      <w:r w:rsidR="00CC34FE">
        <w:t xml:space="preserve">robustness of my full sample estimates. </w:t>
      </w:r>
    </w:p>
    <w:p w:rsidR="00196B66" w:rsidRPr="00691BF7" w:rsidRDefault="00196B66" w:rsidP="007A67E2">
      <w:pPr>
        <w:spacing w:line="480" w:lineRule="auto"/>
        <w:ind w:firstLine="720"/>
      </w:pPr>
    </w:p>
    <w:p w:rsidR="00246925" w:rsidRPr="007E0CC0" w:rsidRDefault="00CA4955" w:rsidP="007A67E2">
      <w:pPr>
        <w:pStyle w:val="ListParagraph"/>
        <w:numPr>
          <w:ilvl w:val="0"/>
          <w:numId w:val="4"/>
        </w:numPr>
        <w:spacing w:line="480" w:lineRule="auto"/>
        <w:rPr>
          <w:b/>
          <w:u w:val="single"/>
        </w:rPr>
      </w:pPr>
      <w:r w:rsidRPr="007E0CC0">
        <w:rPr>
          <w:b/>
          <w:u w:val="single"/>
        </w:rPr>
        <w:t>Results</w:t>
      </w:r>
    </w:p>
    <w:p w:rsidR="00EA4AAB" w:rsidRDefault="00500276" w:rsidP="007A67E2">
      <w:pPr>
        <w:spacing w:line="480" w:lineRule="auto"/>
      </w:pPr>
      <w:bookmarkStart w:id="2" w:name="_Hlk529967228"/>
      <w:r>
        <w:tab/>
      </w:r>
      <w:r w:rsidR="00DE77DF" w:rsidRPr="007F369B">
        <w:t>Table 2 presents the results of estimating</w:t>
      </w:r>
      <w:r w:rsidR="00080EF3">
        <w:t xml:space="preserve"> my main specifications, </w:t>
      </w:r>
      <w:r w:rsidR="00C7421F">
        <w:t>(1) &amp; (2)</w:t>
      </w:r>
      <w:r w:rsidR="00080EF3">
        <w:t>,</w:t>
      </w:r>
      <w:r w:rsidR="00C7421F">
        <w:t xml:space="preserve"> </w:t>
      </w:r>
      <w:r w:rsidR="00DE77DF" w:rsidRPr="007F369B">
        <w:t>on my full sample. Estimates for the DiD model are all ve</w:t>
      </w:r>
      <w:r w:rsidR="00EC164A">
        <w:t>ry small</w:t>
      </w:r>
      <w:r w:rsidR="00FD0C6F">
        <w:t xml:space="preserve"> (near zero)</w:t>
      </w:r>
      <w:r w:rsidR="00141D3B">
        <w:t>,</w:t>
      </w:r>
      <w:r w:rsidR="00EC164A">
        <w:t xml:space="preserve"> insignificant</w:t>
      </w:r>
      <w:r w:rsidR="00141D3B">
        <w:t xml:space="preserve"> and positive</w:t>
      </w:r>
      <w:r w:rsidR="00DE77DF" w:rsidRPr="007F369B">
        <w:t>. These results are</w:t>
      </w:r>
      <w:r w:rsidR="00EC164A">
        <w:t xml:space="preserve"> consistent</w:t>
      </w:r>
      <w:r w:rsidR="00DE77DF" w:rsidRPr="007F369B">
        <w:t xml:space="preserve"> with previous </w:t>
      </w:r>
      <w:r w:rsidR="00E66E67">
        <w:t>studies</w:t>
      </w:r>
      <w:r w:rsidR="00DE77DF" w:rsidRPr="007F369B">
        <w:t xml:space="preserve"> outlined above. Indeed, Kaestner et al. (2017) no</w:t>
      </w:r>
      <w:r w:rsidR="001763D5">
        <w:t>te that most of their estimates</w:t>
      </w:r>
      <w:r w:rsidR="00DE77DF" w:rsidRPr="007F369B">
        <w:t xml:space="preserve"> </w:t>
      </w:r>
      <w:r w:rsidR="001763D5">
        <w:t xml:space="preserve">were small, insignificant and </w:t>
      </w:r>
      <w:r w:rsidR="00DE77DF" w:rsidRPr="007F369B">
        <w:t xml:space="preserve">positive. </w:t>
      </w:r>
      <w:r w:rsidR="00A045EC" w:rsidRPr="005814BC">
        <w:t xml:space="preserve">Table </w:t>
      </w:r>
      <w:r w:rsidR="0002678E" w:rsidRPr="005814BC">
        <w:t xml:space="preserve">A1 </w:t>
      </w:r>
      <w:r w:rsidR="005814BC">
        <w:t>(appendix)</w:t>
      </w:r>
      <w:r w:rsidR="00A045EC" w:rsidRPr="005814BC">
        <w:t xml:space="preserve"> </w:t>
      </w:r>
      <w:r w:rsidR="00A045EC">
        <w:t xml:space="preserve">presents the results of estimating the DiD event study model. </w:t>
      </w:r>
      <w:r w:rsidR="00305103">
        <w:t>A</w:t>
      </w:r>
      <w:r w:rsidR="00616DF5">
        <w:t xml:space="preserve">ll pre-treatment year coefficient estimates are statistically insignificant, meaning that this model has “passed” the falsification test for differential pre-trends, although this doesn’t necessarily mean the </w:t>
      </w:r>
      <w:r w:rsidR="00AA21E6">
        <w:t>estimates are internally valid</w:t>
      </w:r>
      <w:r w:rsidR="00616DF5">
        <w:t xml:space="preserve">. </w:t>
      </w:r>
      <w:r w:rsidR="003C582C">
        <w:t xml:space="preserve">In general, estimates of the Medicaid expansion by year from this event study model do not tell a different story than the DiD estimates: all are near zero, and insignificant. </w:t>
      </w:r>
      <w:r w:rsidR="008B1E4E">
        <w:t xml:space="preserve">Now that I </w:t>
      </w:r>
      <w:r w:rsidR="008B1E4E">
        <w:lastRenderedPageBreak/>
        <w:t>have established a baseline</w:t>
      </w:r>
      <w:r w:rsidR="006A521B">
        <w:t xml:space="preserve"> of results</w:t>
      </w:r>
      <w:r w:rsidR="008B1E4E">
        <w:t xml:space="preserve"> consistent with </w:t>
      </w:r>
      <w:r w:rsidR="005029DA">
        <w:t>prior literature</w:t>
      </w:r>
      <w:r w:rsidR="008B1E4E">
        <w:t xml:space="preserve">, I am ready to move on to the DiDiD estimates. </w:t>
      </w:r>
    </w:p>
    <w:p w:rsidR="00DD16EB" w:rsidRDefault="00DE77DF" w:rsidP="007A67E2">
      <w:pPr>
        <w:spacing w:line="480" w:lineRule="auto"/>
        <w:ind w:firstLine="720"/>
      </w:pPr>
      <w:r w:rsidRPr="007F369B">
        <w:t xml:space="preserve">As the estimates from the DiDiD are more difficult to interpret that the simple DiD estimates, I include the </w:t>
      </w:r>
      <w:r w:rsidR="00F13D05">
        <w:t xml:space="preserve">implied </w:t>
      </w:r>
      <w:r w:rsidR="00030350">
        <w:t>effects for the average PUMA</w:t>
      </w:r>
      <w:r w:rsidR="008D772F">
        <w:t xml:space="preserve"> in table 2</w:t>
      </w:r>
      <w:r w:rsidR="00850FDD">
        <w:t xml:space="preserve">. I do this for </w:t>
      </w:r>
      <w:r w:rsidRPr="007F369B">
        <w:t>the Medicaid expansion</w:t>
      </w:r>
      <w:r w:rsidR="00850FDD">
        <w:t xml:space="preserve"> effect</w:t>
      </w:r>
      <w:r w:rsidRPr="007F369B">
        <w:t xml:space="preserve">, the </w:t>
      </w:r>
      <w:r w:rsidR="00850FDD">
        <w:t>non-Medicaid effect</w:t>
      </w:r>
      <w:r w:rsidRPr="007F369B">
        <w:t xml:space="preserve">, and </w:t>
      </w:r>
      <w:r w:rsidR="00850FDD">
        <w:t>the “</w:t>
      </w:r>
      <w:r w:rsidRPr="007F369B">
        <w:t>Full ACA</w:t>
      </w:r>
      <w:r w:rsidR="00850FDD">
        <w:t>”</w:t>
      </w:r>
      <w:r w:rsidRPr="007F369B">
        <w:t xml:space="preserve"> </w:t>
      </w:r>
      <w:r w:rsidR="00850FDD">
        <w:t>effect</w:t>
      </w:r>
      <w:r w:rsidR="00D50FAC">
        <w:t xml:space="preserve">. </w:t>
      </w:r>
      <w:r w:rsidR="00DD16EB">
        <w:t>Most DiDiD estimates are small and insignificant</w:t>
      </w:r>
      <w:r w:rsidR="00FE1D15">
        <w:t xml:space="preserve">, with a key exception: the estimate of the non-Medicaid ACA effect on employment </w:t>
      </w:r>
      <w:r w:rsidR="000E788F">
        <w:t xml:space="preserve">of 0.05 </w:t>
      </w:r>
      <w:r w:rsidR="00FE1D15">
        <w:t xml:space="preserve">is sizable, significant and positive. </w:t>
      </w:r>
      <w:r w:rsidR="000E788F">
        <w:t xml:space="preserve">This implies that the 2014 rollout of the non-Medicaid ACA provisions is associated with an increase in employment </w:t>
      </w:r>
      <w:r w:rsidR="00CB013E">
        <w:t xml:space="preserve">of </w:t>
      </w:r>
      <w:r w:rsidR="00E70AE4">
        <w:t>1.1 percentage points for the average PUMA. Additionally, this effect ranges from 0.2 percentage points (for the minimum uninsured PUMA) to 2.6 percentage points (for the maximum uninsured PUMA</w:t>
      </w:r>
      <w:r w:rsidR="00845B27">
        <w:t xml:space="preserve">). </w:t>
      </w:r>
    </w:p>
    <w:bookmarkEnd w:id="2"/>
    <w:p w:rsidR="003F389E" w:rsidRDefault="00E63E54" w:rsidP="007A67E2">
      <w:pPr>
        <w:spacing w:line="480" w:lineRule="auto"/>
      </w:pPr>
      <w:r>
        <w:tab/>
        <w:t>Table</w:t>
      </w:r>
      <w:r w:rsidR="00E909A8">
        <w:t xml:space="preserve"> </w:t>
      </w:r>
      <w:r w:rsidR="00D73F61">
        <w:t>3</w:t>
      </w:r>
      <w:r>
        <w:t xml:space="preserve"> present</w:t>
      </w:r>
      <w:r w:rsidR="00497985">
        <w:t>s</w:t>
      </w:r>
      <w:r>
        <w:t xml:space="preserve"> the results of estimating the </w:t>
      </w:r>
      <w:r w:rsidR="00A34CB9">
        <w:t>DiDiD event study model</w:t>
      </w:r>
      <w:r w:rsidR="008B2388">
        <w:t xml:space="preserve"> on my main sample</w:t>
      </w:r>
      <w:r>
        <w:t>.</w:t>
      </w:r>
      <w:r w:rsidR="007352D1">
        <w:t xml:space="preserve"> </w:t>
      </w:r>
      <w:r w:rsidR="00D7357B">
        <w:t>Note that none of the pre-expansion year estimates</w:t>
      </w:r>
      <w:r w:rsidR="00A73CD0">
        <w:t xml:space="preserve"> are </w:t>
      </w:r>
      <w:r w:rsidR="00311209">
        <w:t xml:space="preserve">statistically </w:t>
      </w:r>
      <w:r w:rsidR="00A73CD0">
        <w:t>significant</w:t>
      </w:r>
      <w:r w:rsidR="00311209">
        <w:t xml:space="preserve"> at conventional levels</w:t>
      </w:r>
      <w:r w:rsidR="00A73CD0">
        <w:t>, meaning that neither the Medicaid effect nor the non-Medicaid effect failed the falsification test for parallel trends</w:t>
      </w:r>
      <w:r w:rsidR="006E405A">
        <w:t xml:space="preserve"> for any of my four outcome variables</w:t>
      </w:r>
      <w:r w:rsidR="00A73CD0">
        <w:t xml:space="preserve">. </w:t>
      </w:r>
      <w:r w:rsidR="001C7216">
        <w:t xml:space="preserve">Upon examining treatment effects by year for the non-Medicaid employment effect, my prior </w:t>
      </w:r>
      <w:r w:rsidR="00AD3A78">
        <w:t>is more or less</w:t>
      </w:r>
      <w:r w:rsidR="001C7216">
        <w:t xml:space="preserve"> confirmed. </w:t>
      </w:r>
      <w:r w:rsidR="00645D52">
        <w:t xml:space="preserve">It can be seen in the table, that the coefficient estimate </w:t>
      </w:r>
      <w:r w:rsidR="007C04B1">
        <w:t>for</w:t>
      </w:r>
      <w:r w:rsidR="00645D52">
        <w:t xml:space="preserve"> the non-Medicaid ACA </w:t>
      </w:r>
      <w:r w:rsidR="007C04B1">
        <w:t xml:space="preserve">effect on employment </w:t>
      </w:r>
      <w:r w:rsidR="00645D52">
        <w:t>is essentially zero in the pre-treatment years, jumps to nearly 5 percentage points in 2014 (one year after rollout), and is about 6 percentage points in 2015 &amp; 2016</w:t>
      </w:r>
      <w:r w:rsidR="00641DFA">
        <w:t xml:space="preserve">. </w:t>
      </w:r>
      <w:r w:rsidR="005E4FD5">
        <w:t xml:space="preserve">Estimates for 2014-2016 are all statistically significant at the 5% level. </w:t>
      </w:r>
    </w:p>
    <w:p w:rsidR="00CC7080" w:rsidRPr="00CC7080" w:rsidRDefault="00C6489B" w:rsidP="007A67E2">
      <w:pPr>
        <w:spacing w:line="480" w:lineRule="auto"/>
        <w:ind w:firstLine="720"/>
      </w:pPr>
      <w:r>
        <w:t xml:space="preserve">Also, note that there is a positive estimate of the effect of the Medicaid expansion on hours worked in 2014 significant at the 10% level. However, this estimate, at 1.28, is not very large in magnitude: this implies only a 0.27 hour (~ 16 minutes) increase in hours worked for the </w:t>
      </w:r>
      <w:r>
        <w:lastRenderedPageBreak/>
        <w:t xml:space="preserve">average PUMA, or </w:t>
      </w:r>
      <w:r w:rsidR="00A77A88">
        <w:t xml:space="preserve">0.66 (~ 40 minutes) for the maximum uninsured rate. It seems possible that this significant estimate is the result of mere chance. This estimate is the only one in the table </w:t>
      </w:r>
      <w:r w:rsidR="00A77A88" w:rsidRPr="00CC7080">
        <w:t xml:space="preserve">besides the non-Medicaid employment effect that is significant. Out of these 30 estimates, three of them </w:t>
      </w:r>
      <w:r w:rsidR="00095380">
        <w:t>should</w:t>
      </w:r>
      <w:r w:rsidR="00A77A88" w:rsidRPr="00CC7080">
        <w:t xml:space="preserve"> be significant at the 10% level</w:t>
      </w:r>
      <w:r w:rsidR="007E6258">
        <w:t xml:space="preserve"> due to </w:t>
      </w:r>
      <w:r w:rsidR="00095380">
        <w:t xml:space="preserve">mere </w:t>
      </w:r>
      <w:r w:rsidR="007E6258">
        <w:t>chance</w:t>
      </w:r>
      <w:r w:rsidR="00A77A88" w:rsidRPr="00CC7080">
        <w:t xml:space="preserve">. In addition, the estimate for 2012 is already ~ 1, and the coefficients for 2015 &amp; 2016 are insignificant and negative.  </w:t>
      </w:r>
    </w:p>
    <w:p w:rsidR="00805849" w:rsidRPr="0066307C" w:rsidRDefault="00CC7080" w:rsidP="007A67E2">
      <w:pPr>
        <w:spacing w:line="480" w:lineRule="auto"/>
        <w:ind w:firstLine="720"/>
      </w:pPr>
      <w:r w:rsidRPr="00CC7080">
        <w:t>Finally</w:t>
      </w:r>
      <w:r>
        <w:t>, the estimate for the Medicaid effect on wages in 2016 is sizable and nearing conventional significance levels. However, given that the estimates of this effect in other years are all over the place</w:t>
      </w:r>
      <w:r w:rsidR="00FB7413">
        <w:t xml:space="preserve">, and have large standard errors, I have a difficult time believing this estimate. </w:t>
      </w:r>
    </w:p>
    <w:tbl>
      <w:tblPr>
        <w:tblW w:w="0" w:type="auto"/>
        <w:tblLook w:val="04A0" w:firstRow="1" w:lastRow="0" w:firstColumn="1" w:lastColumn="0" w:noHBand="0" w:noVBand="1"/>
      </w:tblPr>
      <w:tblGrid>
        <w:gridCol w:w="3060"/>
        <w:gridCol w:w="1710"/>
        <w:gridCol w:w="1657"/>
        <w:gridCol w:w="1187"/>
        <w:gridCol w:w="1746"/>
      </w:tblGrid>
      <w:tr w:rsidR="00805849" w:rsidRPr="00805849" w:rsidTr="001A2FDB">
        <w:trPr>
          <w:trHeight w:val="290"/>
        </w:trPr>
        <w:tc>
          <w:tcPr>
            <w:tcW w:w="0" w:type="auto"/>
            <w:gridSpan w:val="5"/>
            <w:tcBorders>
              <w:top w:val="nil"/>
              <w:left w:val="nil"/>
              <w:bottom w:val="single" w:sz="4" w:space="0" w:color="auto"/>
              <w:right w:val="nil"/>
            </w:tcBorders>
            <w:shd w:val="clear" w:color="auto" w:fill="auto"/>
            <w:vAlign w:val="bottom"/>
            <w:hideMark/>
          </w:tcPr>
          <w:p w:rsidR="00805849" w:rsidRPr="00805849" w:rsidRDefault="00805849" w:rsidP="00805849">
            <w:pPr>
              <w:jc w:val="center"/>
              <w:rPr>
                <w:rFonts w:ascii="Calibri" w:hAnsi="Calibri" w:cs="Calibri"/>
                <w:b/>
                <w:bCs/>
                <w:color w:val="000000"/>
                <w:u w:val="single"/>
              </w:rPr>
            </w:pPr>
            <w:r w:rsidRPr="00805849">
              <w:rPr>
                <w:rFonts w:ascii="Calibri" w:hAnsi="Calibri" w:cs="Calibri"/>
                <w:b/>
                <w:bCs/>
                <w:color w:val="000000"/>
                <w:u w:val="single"/>
              </w:rPr>
              <w:t>Table 2: Full Sample Estimates</w:t>
            </w:r>
          </w:p>
        </w:tc>
      </w:tr>
      <w:tr w:rsidR="00805849" w:rsidRPr="00805849" w:rsidTr="001A2FDB">
        <w:trPr>
          <w:trHeight w:val="580"/>
        </w:trPr>
        <w:tc>
          <w:tcPr>
            <w:tcW w:w="3060" w:type="dxa"/>
            <w:tcBorders>
              <w:top w:val="nil"/>
              <w:left w:val="nil"/>
              <w:bottom w:val="nil"/>
              <w:right w:val="nil"/>
            </w:tcBorders>
            <w:shd w:val="clear" w:color="auto" w:fill="auto"/>
            <w:vAlign w:val="bottom"/>
            <w:hideMark/>
          </w:tcPr>
          <w:p w:rsidR="00805849" w:rsidRPr="00805849" w:rsidRDefault="00805849" w:rsidP="00805849">
            <w:pPr>
              <w:jc w:val="center"/>
              <w:rPr>
                <w:rFonts w:ascii="Calibri" w:hAnsi="Calibri" w:cs="Calibri"/>
                <w:b/>
                <w:bCs/>
                <w:color w:val="000000"/>
                <w:u w:val="single"/>
              </w:rPr>
            </w:pPr>
          </w:p>
        </w:tc>
        <w:tc>
          <w:tcPr>
            <w:tcW w:w="1710" w:type="dxa"/>
            <w:tcBorders>
              <w:top w:val="nil"/>
              <w:left w:val="nil"/>
              <w:bottom w:val="single" w:sz="4" w:space="0" w:color="auto"/>
              <w:right w:val="nil"/>
            </w:tcBorders>
            <w:shd w:val="clear" w:color="auto" w:fill="auto"/>
            <w:vAlign w:val="bottom"/>
            <w:hideMark/>
          </w:tcPr>
          <w:p w:rsidR="00805849" w:rsidRPr="00805849" w:rsidRDefault="00805849" w:rsidP="00805849">
            <w:pPr>
              <w:jc w:val="center"/>
              <w:rPr>
                <w:rFonts w:ascii="Calibri" w:hAnsi="Calibri" w:cs="Calibri"/>
                <w:color w:val="000000"/>
              </w:rPr>
            </w:pPr>
            <w:proofErr w:type="gramStart"/>
            <w:r w:rsidRPr="00805849">
              <w:rPr>
                <w:rFonts w:ascii="Calibri" w:hAnsi="Calibri" w:cs="Calibri"/>
                <w:color w:val="000000"/>
              </w:rPr>
              <w:t>ln(</w:t>
            </w:r>
            <w:proofErr w:type="gramEnd"/>
            <w:r w:rsidRPr="00805849">
              <w:rPr>
                <w:rFonts w:ascii="Calibri" w:hAnsi="Calibri" w:cs="Calibri"/>
                <w:color w:val="000000"/>
              </w:rPr>
              <w:t>Wage)</w:t>
            </w:r>
          </w:p>
        </w:tc>
        <w:tc>
          <w:tcPr>
            <w:tcW w:w="1657" w:type="dxa"/>
            <w:tcBorders>
              <w:top w:val="nil"/>
              <w:left w:val="nil"/>
              <w:bottom w:val="single" w:sz="4" w:space="0" w:color="auto"/>
              <w:right w:val="nil"/>
            </w:tcBorders>
            <w:shd w:val="clear" w:color="auto" w:fill="auto"/>
            <w:vAlign w:val="bottom"/>
            <w:hideMark/>
          </w:tcPr>
          <w:p w:rsidR="00805849" w:rsidRPr="00805849" w:rsidRDefault="00805849" w:rsidP="00805849">
            <w:pPr>
              <w:jc w:val="center"/>
              <w:rPr>
                <w:rFonts w:ascii="Calibri" w:hAnsi="Calibri" w:cs="Calibri"/>
                <w:color w:val="000000"/>
              </w:rPr>
            </w:pPr>
            <w:r w:rsidRPr="00805849">
              <w:rPr>
                <w:rFonts w:ascii="Calibri" w:hAnsi="Calibri" w:cs="Calibri"/>
                <w:color w:val="000000"/>
              </w:rPr>
              <w:t>Labor Force Participation</w:t>
            </w:r>
          </w:p>
        </w:tc>
        <w:tc>
          <w:tcPr>
            <w:tcW w:w="0" w:type="auto"/>
            <w:tcBorders>
              <w:top w:val="nil"/>
              <w:left w:val="nil"/>
              <w:bottom w:val="single" w:sz="4" w:space="0" w:color="auto"/>
              <w:right w:val="nil"/>
            </w:tcBorders>
            <w:shd w:val="clear" w:color="auto" w:fill="auto"/>
            <w:vAlign w:val="bottom"/>
            <w:hideMark/>
          </w:tcPr>
          <w:p w:rsidR="00805849" w:rsidRPr="00805849" w:rsidRDefault="00805849" w:rsidP="00805849">
            <w:pPr>
              <w:jc w:val="center"/>
              <w:rPr>
                <w:rFonts w:ascii="Calibri" w:hAnsi="Calibri" w:cs="Calibri"/>
                <w:color w:val="000000"/>
              </w:rPr>
            </w:pPr>
            <w:r w:rsidRPr="00805849">
              <w:rPr>
                <w:rFonts w:ascii="Calibri" w:hAnsi="Calibri" w:cs="Calibri"/>
                <w:color w:val="000000"/>
              </w:rPr>
              <w:t>Employed</w:t>
            </w:r>
          </w:p>
        </w:tc>
        <w:tc>
          <w:tcPr>
            <w:tcW w:w="0" w:type="auto"/>
            <w:tcBorders>
              <w:top w:val="nil"/>
              <w:left w:val="nil"/>
              <w:bottom w:val="single" w:sz="4" w:space="0" w:color="auto"/>
              <w:right w:val="nil"/>
            </w:tcBorders>
            <w:shd w:val="clear" w:color="auto" w:fill="auto"/>
            <w:vAlign w:val="bottom"/>
            <w:hideMark/>
          </w:tcPr>
          <w:p w:rsidR="00805849" w:rsidRPr="00805849" w:rsidRDefault="00805849" w:rsidP="00805849">
            <w:pPr>
              <w:jc w:val="center"/>
              <w:rPr>
                <w:rFonts w:ascii="Calibri" w:hAnsi="Calibri" w:cs="Calibri"/>
                <w:color w:val="000000"/>
              </w:rPr>
            </w:pPr>
            <w:r w:rsidRPr="00805849">
              <w:rPr>
                <w:rFonts w:ascii="Calibri" w:hAnsi="Calibri" w:cs="Calibri"/>
                <w:color w:val="000000"/>
              </w:rPr>
              <w:t>Usual Hours Worked</w:t>
            </w:r>
          </w:p>
        </w:tc>
      </w:tr>
      <w:tr w:rsidR="00805849" w:rsidRPr="00805849" w:rsidTr="001A2FDB">
        <w:trPr>
          <w:trHeight w:val="290"/>
        </w:trPr>
        <w:tc>
          <w:tcPr>
            <w:tcW w:w="3060" w:type="dxa"/>
            <w:tcBorders>
              <w:top w:val="nil"/>
              <w:left w:val="nil"/>
              <w:bottom w:val="nil"/>
              <w:right w:val="nil"/>
            </w:tcBorders>
            <w:shd w:val="clear" w:color="auto" w:fill="auto"/>
            <w:vAlign w:val="bottom"/>
            <w:hideMark/>
          </w:tcPr>
          <w:p w:rsidR="00805849" w:rsidRPr="00805849" w:rsidRDefault="00805849" w:rsidP="00805849">
            <w:pPr>
              <w:jc w:val="center"/>
              <w:rPr>
                <w:rFonts w:ascii="Calibri" w:hAnsi="Calibri" w:cs="Calibri"/>
                <w:b/>
                <w:bCs/>
                <w:color w:val="000000"/>
                <w:u w:val="single"/>
              </w:rPr>
            </w:pPr>
            <w:r w:rsidRPr="00805849">
              <w:rPr>
                <w:rFonts w:ascii="Calibri" w:hAnsi="Calibri" w:cs="Calibri"/>
                <w:b/>
                <w:bCs/>
                <w:color w:val="000000"/>
                <w:u w:val="single"/>
              </w:rPr>
              <w:t>DiD</w:t>
            </w:r>
          </w:p>
        </w:tc>
        <w:tc>
          <w:tcPr>
            <w:tcW w:w="1710" w:type="dxa"/>
            <w:tcBorders>
              <w:top w:val="nil"/>
              <w:left w:val="nil"/>
              <w:bottom w:val="nil"/>
              <w:right w:val="nil"/>
            </w:tcBorders>
            <w:shd w:val="clear" w:color="auto" w:fill="auto"/>
            <w:vAlign w:val="bottom"/>
            <w:hideMark/>
          </w:tcPr>
          <w:p w:rsidR="00805849" w:rsidRPr="00805849" w:rsidRDefault="00805849" w:rsidP="00805849">
            <w:pPr>
              <w:jc w:val="center"/>
              <w:rPr>
                <w:rFonts w:ascii="Calibri" w:hAnsi="Calibri" w:cs="Calibri"/>
                <w:b/>
                <w:bCs/>
                <w:color w:val="000000"/>
                <w:u w:val="single"/>
              </w:rPr>
            </w:pPr>
          </w:p>
        </w:tc>
        <w:tc>
          <w:tcPr>
            <w:tcW w:w="1657" w:type="dxa"/>
            <w:tcBorders>
              <w:top w:val="nil"/>
              <w:left w:val="nil"/>
              <w:bottom w:val="nil"/>
              <w:right w:val="nil"/>
            </w:tcBorders>
            <w:shd w:val="clear" w:color="auto" w:fill="auto"/>
            <w:vAlign w:val="bottom"/>
            <w:hideMark/>
          </w:tcPr>
          <w:p w:rsidR="00805849" w:rsidRPr="00805849" w:rsidRDefault="00805849" w:rsidP="00805849">
            <w:pPr>
              <w:jc w:val="center"/>
              <w:rPr>
                <w:sz w:val="20"/>
                <w:szCs w:val="20"/>
              </w:rPr>
            </w:pPr>
          </w:p>
        </w:tc>
        <w:tc>
          <w:tcPr>
            <w:tcW w:w="0" w:type="auto"/>
            <w:tcBorders>
              <w:top w:val="nil"/>
              <w:left w:val="nil"/>
              <w:bottom w:val="nil"/>
              <w:right w:val="nil"/>
            </w:tcBorders>
            <w:shd w:val="clear" w:color="auto" w:fill="auto"/>
            <w:vAlign w:val="bottom"/>
            <w:hideMark/>
          </w:tcPr>
          <w:p w:rsidR="00805849" w:rsidRPr="00805849" w:rsidRDefault="00805849" w:rsidP="00805849">
            <w:pPr>
              <w:jc w:val="center"/>
              <w:rPr>
                <w:sz w:val="20"/>
                <w:szCs w:val="20"/>
              </w:rPr>
            </w:pPr>
          </w:p>
        </w:tc>
        <w:tc>
          <w:tcPr>
            <w:tcW w:w="0" w:type="auto"/>
            <w:tcBorders>
              <w:top w:val="nil"/>
              <w:left w:val="nil"/>
              <w:bottom w:val="nil"/>
              <w:right w:val="nil"/>
            </w:tcBorders>
            <w:shd w:val="clear" w:color="auto" w:fill="auto"/>
            <w:vAlign w:val="bottom"/>
            <w:hideMark/>
          </w:tcPr>
          <w:p w:rsidR="00805849" w:rsidRPr="00805849" w:rsidRDefault="00805849" w:rsidP="00805849">
            <w:pPr>
              <w:jc w:val="center"/>
              <w:rPr>
                <w:sz w:val="20"/>
                <w:szCs w:val="20"/>
              </w:rPr>
            </w:pPr>
          </w:p>
        </w:tc>
      </w:tr>
      <w:tr w:rsidR="00805849" w:rsidRPr="00805849" w:rsidTr="001A2FDB">
        <w:trPr>
          <w:trHeight w:val="290"/>
        </w:trPr>
        <w:tc>
          <w:tcPr>
            <w:tcW w:w="3060" w:type="dxa"/>
            <w:tcBorders>
              <w:top w:val="nil"/>
              <w:left w:val="nil"/>
              <w:bottom w:val="nil"/>
              <w:right w:val="nil"/>
            </w:tcBorders>
            <w:shd w:val="clear" w:color="auto" w:fill="auto"/>
            <w:vAlign w:val="bottom"/>
            <w:hideMark/>
          </w:tcPr>
          <w:p w:rsidR="00805849" w:rsidRPr="00805849" w:rsidRDefault="00805849" w:rsidP="00805849">
            <w:pPr>
              <w:rPr>
                <w:rFonts w:ascii="Calibri" w:hAnsi="Calibri" w:cs="Calibri"/>
                <w:color w:val="000000"/>
              </w:rPr>
            </w:pPr>
            <w:r w:rsidRPr="00805849">
              <w:rPr>
                <w:rFonts w:ascii="Calibri" w:hAnsi="Calibri" w:cs="Calibri"/>
                <w:color w:val="000000"/>
              </w:rPr>
              <w:t>Medicaid</w:t>
            </w:r>
            <w:r w:rsidR="008B18F7">
              <w:rPr>
                <w:rFonts w:ascii="Calibri" w:hAnsi="Calibri" w:cs="Calibri"/>
                <w:color w:val="000000"/>
              </w:rPr>
              <w:t xml:space="preserve"> x Post</w:t>
            </w:r>
          </w:p>
        </w:tc>
        <w:tc>
          <w:tcPr>
            <w:tcW w:w="1710" w:type="dxa"/>
            <w:tcBorders>
              <w:top w:val="nil"/>
              <w:left w:val="nil"/>
              <w:bottom w:val="nil"/>
              <w:right w:val="nil"/>
            </w:tcBorders>
            <w:shd w:val="clear" w:color="auto" w:fill="auto"/>
            <w:vAlign w:val="bottom"/>
            <w:hideMark/>
          </w:tcPr>
          <w:p w:rsidR="00805849" w:rsidRPr="00805849" w:rsidRDefault="00805849" w:rsidP="00805849">
            <w:pPr>
              <w:jc w:val="center"/>
              <w:rPr>
                <w:rFonts w:ascii="Calibri" w:hAnsi="Calibri" w:cs="Calibri"/>
                <w:color w:val="000000"/>
              </w:rPr>
            </w:pPr>
            <w:r w:rsidRPr="00805849">
              <w:rPr>
                <w:rFonts w:ascii="Calibri" w:hAnsi="Calibri" w:cs="Calibri"/>
                <w:color w:val="000000"/>
              </w:rPr>
              <w:t>0.000441</w:t>
            </w:r>
          </w:p>
        </w:tc>
        <w:tc>
          <w:tcPr>
            <w:tcW w:w="1657" w:type="dxa"/>
            <w:tcBorders>
              <w:top w:val="nil"/>
              <w:left w:val="nil"/>
              <w:bottom w:val="nil"/>
              <w:right w:val="nil"/>
            </w:tcBorders>
            <w:shd w:val="clear" w:color="auto" w:fill="auto"/>
            <w:vAlign w:val="bottom"/>
            <w:hideMark/>
          </w:tcPr>
          <w:p w:rsidR="00805849" w:rsidRPr="00805849" w:rsidRDefault="00805849" w:rsidP="00805849">
            <w:pPr>
              <w:jc w:val="center"/>
              <w:rPr>
                <w:rFonts w:ascii="Calibri" w:hAnsi="Calibri" w:cs="Calibri"/>
                <w:color w:val="000000"/>
              </w:rPr>
            </w:pPr>
            <w:r w:rsidRPr="00805849">
              <w:rPr>
                <w:rFonts w:ascii="Calibri" w:hAnsi="Calibri" w:cs="Calibri"/>
                <w:color w:val="000000"/>
              </w:rPr>
              <w:t>0.00101</w:t>
            </w:r>
          </w:p>
        </w:tc>
        <w:tc>
          <w:tcPr>
            <w:tcW w:w="0" w:type="auto"/>
            <w:tcBorders>
              <w:top w:val="nil"/>
              <w:left w:val="nil"/>
              <w:bottom w:val="nil"/>
              <w:right w:val="nil"/>
            </w:tcBorders>
            <w:shd w:val="clear" w:color="auto" w:fill="auto"/>
            <w:vAlign w:val="bottom"/>
            <w:hideMark/>
          </w:tcPr>
          <w:p w:rsidR="00805849" w:rsidRPr="00805849" w:rsidRDefault="00805849" w:rsidP="00805849">
            <w:pPr>
              <w:jc w:val="center"/>
              <w:rPr>
                <w:rFonts w:ascii="Calibri" w:hAnsi="Calibri" w:cs="Calibri"/>
                <w:color w:val="000000"/>
              </w:rPr>
            </w:pPr>
            <w:r w:rsidRPr="00805849">
              <w:rPr>
                <w:rFonts w:ascii="Calibri" w:hAnsi="Calibri" w:cs="Calibri"/>
                <w:color w:val="000000"/>
              </w:rPr>
              <w:t>0.00145</w:t>
            </w:r>
          </w:p>
        </w:tc>
        <w:tc>
          <w:tcPr>
            <w:tcW w:w="0" w:type="auto"/>
            <w:tcBorders>
              <w:top w:val="nil"/>
              <w:left w:val="nil"/>
              <w:bottom w:val="nil"/>
              <w:right w:val="nil"/>
            </w:tcBorders>
            <w:shd w:val="clear" w:color="auto" w:fill="auto"/>
            <w:vAlign w:val="bottom"/>
            <w:hideMark/>
          </w:tcPr>
          <w:p w:rsidR="00805849" w:rsidRPr="00805849" w:rsidRDefault="00805849" w:rsidP="00805849">
            <w:pPr>
              <w:jc w:val="center"/>
              <w:rPr>
                <w:rFonts w:ascii="Calibri" w:hAnsi="Calibri" w:cs="Calibri"/>
                <w:color w:val="000000"/>
              </w:rPr>
            </w:pPr>
            <w:r w:rsidRPr="00805849">
              <w:rPr>
                <w:rFonts w:ascii="Calibri" w:hAnsi="Calibri" w:cs="Calibri"/>
                <w:color w:val="000000"/>
              </w:rPr>
              <w:t>0.00236</w:t>
            </w:r>
          </w:p>
        </w:tc>
      </w:tr>
      <w:tr w:rsidR="00805849" w:rsidRPr="00805849" w:rsidTr="001A2FDB">
        <w:trPr>
          <w:trHeight w:val="290"/>
        </w:trPr>
        <w:tc>
          <w:tcPr>
            <w:tcW w:w="3060" w:type="dxa"/>
            <w:tcBorders>
              <w:top w:val="nil"/>
              <w:left w:val="nil"/>
              <w:bottom w:val="nil"/>
              <w:right w:val="nil"/>
            </w:tcBorders>
            <w:shd w:val="clear" w:color="auto" w:fill="auto"/>
            <w:vAlign w:val="bottom"/>
            <w:hideMark/>
          </w:tcPr>
          <w:p w:rsidR="00805849" w:rsidRPr="00805849" w:rsidRDefault="00805849" w:rsidP="00805849">
            <w:pPr>
              <w:jc w:val="center"/>
              <w:rPr>
                <w:rFonts w:ascii="Calibri" w:hAnsi="Calibri" w:cs="Calibri"/>
                <w:color w:val="000000"/>
              </w:rPr>
            </w:pPr>
          </w:p>
        </w:tc>
        <w:tc>
          <w:tcPr>
            <w:tcW w:w="1710" w:type="dxa"/>
            <w:tcBorders>
              <w:top w:val="nil"/>
              <w:left w:val="nil"/>
              <w:bottom w:val="nil"/>
              <w:right w:val="nil"/>
            </w:tcBorders>
            <w:shd w:val="clear" w:color="auto" w:fill="auto"/>
            <w:vAlign w:val="bottom"/>
            <w:hideMark/>
          </w:tcPr>
          <w:p w:rsidR="00805849" w:rsidRPr="00805849" w:rsidRDefault="00805849" w:rsidP="00805849">
            <w:pPr>
              <w:jc w:val="center"/>
              <w:rPr>
                <w:rFonts w:ascii="Calibri" w:hAnsi="Calibri" w:cs="Calibri"/>
                <w:color w:val="000000"/>
              </w:rPr>
            </w:pPr>
            <w:r w:rsidRPr="00805849">
              <w:rPr>
                <w:rFonts w:ascii="Calibri" w:hAnsi="Calibri" w:cs="Calibri"/>
                <w:color w:val="000000"/>
              </w:rPr>
              <w:t>(0.0050)</w:t>
            </w:r>
          </w:p>
        </w:tc>
        <w:tc>
          <w:tcPr>
            <w:tcW w:w="1657" w:type="dxa"/>
            <w:tcBorders>
              <w:top w:val="nil"/>
              <w:left w:val="nil"/>
              <w:bottom w:val="nil"/>
              <w:right w:val="nil"/>
            </w:tcBorders>
            <w:shd w:val="clear" w:color="auto" w:fill="auto"/>
            <w:vAlign w:val="bottom"/>
            <w:hideMark/>
          </w:tcPr>
          <w:p w:rsidR="00805849" w:rsidRPr="00805849" w:rsidRDefault="00805849" w:rsidP="00805849">
            <w:pPr>
              <w:jc w:val="center"/>
              <w:rPr>
                <w:rFonts w:ascii="Calibri" w:hAnsi="Calibri" w:cs="Calibri"/>
                <w:color w:val="000000"/>
              </w:rPr>
            </w:pPr>
            <w:r w:rsidRPr="00805849">
              <w:rPr>
                <w:rFonts w:ascii="Calibri" w:hAnsi="Calibri" w:cs="Calibri"/>
                <w:color w:val="000000"/>
              </w:rPr>
              <w:t>(0.0012)</w:t>
            </w:r>
          </w:p>
        </w:tc>
        <w:tc>
          <w:tcPr>
            <w:tcW w:w="0" w:type="auto"/>
            <w:tcBorders>
              <w:top w:val="nil"/>
              <w:left w:val="nil"/>
              <w:bottom w:val="nil"/>
              <w:right w:val="nil"/>
            </w:tcBorders>
            <w:shd w:val="clear" w:color="auto" w:fill="auto"/>
            <w:vAlign w:val="bottom"/>
            <w:hideMark/>
          </w:tcPr>
          <w:p w:rsidR="00805849" w:rsidRPr="00805849" w:rsidRDefault="00805849" w:rsidP="00805849">
            <w:pPr>
              <w:jc w:val="center"/>
              <w:rPr>
                <w:rFonts w:ascii="Calibri" w:hAnsi="Calibri" w:cs="Calibri"/>
                <w:color w:val="000000"/>
              </w:rPr>
            </w:pPr>
            <w:r w:rsidRPr="00805849">
              <w:rPr>
                <w:rFonts w:ascii="Calibri" w:hAnsi="Calibri" w:cs="Calibri"/>
                <w:color w:val="000000"/>
              </w:rPr>
              <w:t>(0.0036)</w:t>
            </w:r>
          </w:p>
        </w:tc>
        <w:tc>
          <w:tcPr>
            <w:tcW w:w="0" w:type="auto"/>
            <w:tcBorders>
              <w:top w:val="nil"/>
              <w:left w:val="nil"/>
              <w:bottom w:val="nil"/>
              <w:right w:val="nil"/>
            </w:tcBorders>
            <w:shd w:val="clear" w:color="auto" w:fill="auto"/>
            <w:vAlign w:val="bottom"/>
            <w:hideMark/>
          </w:tcPr>
          <w:p w:rsidR="00805849" w:rsidRPr="00805849" w:rsidRDefault="00805849" w:rsidP="00805849">
            <w:pPr>
              <w:jc w:val="center"/>
              <w:rPr>
                <w:rFonts w:ascii="Calibri" w:hAnsi="Calibri" w:cs="Calibri"/>
                <w:color w:val="000000"/>
              </w:rPr>
            </w:pPr>
            <w:r w:rsidRPr="00805849">
              <w:rPr>
                <w:rFonts w:ascii="Calibri" w:hAnsi="Calibri" w:cs="Calibri"/>
                <w:color w:val="000000"/>
              </w:rPr>
              <w:t>(0.0646)</w:t>
            </w:r>
          </w:p>
        </w:tc>
      </w:tr>
      <w:tr w:rsidR="00805849" w:rsidRPr="00805849" w:rsidTr="001A2FDB">
        <w:trPr>
          <w:trHeight w:val="290"/>
        </w:trPr>
        <w:tc>
          <w:tcPr>
            <w:tcW w:w="3060" w:type="dxa"/>
            <w:tcBorders>
              <w:top w:val="nil"/>
              <w:left w:val="nil"/>
              <w:bottom w:val="nil"/>
              <w:right w:val="nil"/>
            </w:tcBorders>
            <w:shd w:val="clear" w:color="auto" w:fill="auto"/>
            <w:vAlign w:val="bottom"/>
            <w:hideMark/>
          </w:tcPr>
          <w:p w:rsidR="00805849" w:rsidRPr="00805849" w:rsidRDefault="00805849" w:rsidP="00805849">
            <w:pPr>
              <w:jc w:val="center"/>
              <w:rPr>
                <w:rFonts w:ascii="Calibri" w:hAnsi="Calibri" w:cs="Calibri"/>
                <w:b/>
                <w:bCs/>
                <w:color w:val="000000"/>
                <w:u w:val="single"/>
              </w:rPr>
            </w:pPr>
            <w:r w:rsidRPr="00805849">
              <w:rPr>
                <w:rFonts w:ascii="Calibri" w:hAnsi="Calibri" w:cs="Calibri"/>
                <w:b/>
                <w:bCs/>
                <w:color w:val="000000"/>
                <w:u w:val="single"/>
              </w:rPr>
              <w:t>DiDiD</w:t>
            </w:r>
          </w:p>
        </w:tc>
        <w:tc>
          <w:tcPr>
            <w:tcW w:w="1710" w:type="dxa"/>
            <w:tcBorders>
              <w:top w:val="nil"/>
              <w:left w:val="nil"/>
              <w:bottom w:val="nil"/>
              <w:right w:val="nil"/>
            </w:tcBorders>
            <w:shd w:val="clear" w:color="auto" w:fill="auto"/>
            <w:vAlign w:val="bottom"/>
            <w:hideMark/>
          </w:tcPr>
          <w:p w:rsidR="00805849" w:rsidRPr="00805849" w:rsidRDefault="00805849" w:rsidP="00805849">
            <w:pPr>
              <w:jc w:val="center"/>
              <w:rPr>
                <w:rFonts w:ascii="Calibri" w:hAnsi="Calibri" w:cs="Calibri"/>
                <w:b/>
                <w:bCs/>
                <w:color w:val="000000"/>
                <w:u w:val="single"/>
              </w:rPr>
            </w:pPr>
          </w:p>
        </w:tc>
        <w:tc>
          <w:tcPr>
            <w:tcW w:w="1657" w:type="dxa"/>
            <w:tcBorders>
              <w:top w:val="nil"/>
              <w:left w:val="nil"/>
              <w:bottom w:val="nil"/>
              <w:right w:val="nil"/>
            </w:tcBorders>
            <w:shd w:val="clear" w:color="auto" w:fill="auto"/>
            <w:vAlign w:val="bottom"/>
            <w:hideMark/>
          </w:tcPr>
          <w:p w:rsidR="00805849" w:rsidRPr="00805849" w:rsidRDefault="00805849" w:rsidP="00805849">
            <w:pPr>
              <w:jc w:val="center"/>
              <w:rPr>
                <w:sz w:val="20"/>
                <w:szCs w:val="20"/>
              </w:rPr>
            </w:pPr>
          </w:p>
        </w:tc>
        <w:tc>
          <w:tcPr>
            <w:tcW w:w="0" w:type="auto"/>
            <w:tcBorders>
              <w:top w:val="nil"/>
              <w:left w:val="nil"/>
              <w:bottom w:val="nil"/>
              <w:right w:val="nil"/>
            </w:tcBorders>
            <w:shd w:val="clear" w:color="auto" w:fill="auto"/>
            <w:vAlign w:val="bottom"/>
            <w:hideMark/>
          </w:tcPr>
          <w:p w:rsidR="00805849" w:rsidRPr="00805849" w:rsidRDefault="00805849" w:rsidP="00805849">
            <w:pPr>
              <w:jc w:val="center"/>
              <w:rPr>
                <w:sz w:val="20"/>
                <w:szCs w:val="20"/>
              </w:rPr>
            </w:pPr>
          </w:p>
        </w:tc>
        <w:tc>
          <w:tcPr>
            <w:tcW w:w="0" w:type="auto"/>
            <w:tcBorders>
              <w:top w:val="nil"/>
              <w:left w:val="nil"/>
              <w:bottom w:val="nil"/>
              <w:right w:val="nil"/>
            </w:tcBorders>
            <w:shd w:val="clear" w:color="auto" w:fill="auto"/>
            <w:vAlign w:val="bottom"/>
            <w:hideMark/>
          </w:tcPr>
          <w:p w:rsidR="00805849" w:rsidRPr="00805849" w:rsidRDefault="00805849" w:rsidP="00805849">
            <w:pPr>
              <w:jc w:val="center"/>
              <w:rPr>
                <w:sz w:val="20"/>
                <w:szCs w:val="20"/>
              </w:rPr>
            </w:pPr>
          </w:p>
        </w:tc>
      </w:tr>
      <w:tr w:rsidR="00805849" w:rsidRPr="00805849" w:rsidTr="001A2FDB">
        <w:trPr>
          <w:trHeight w:val="290"/>
        </w:trPr>
        <w:tc>
          <w:tcPr>
            <w:tcW w:w="3060" w:type="dxa"/>
            <w:tcBorders>
              <w:top w:val="nil"/>
              <w:left w:val="nil"/>
              <w:bottom w:val="nil"/>
              <w:right w:val="nil"/>
            </w:tcBorders>
            <w:shd w:val="clear" w:color="auto" w:fill="auto"/>
            <w:vAlign w:val="bottom"/>
            <w:hideMark/>
          </w:tcPr>
          <w:p w:rsidR="00805849" w:rsidRPr="00805849" w:rsidRDefault="00805849" w:rsidP="00805849">
            <w:pPr>
              <w:rPr>
                <w:rFonts w:ascii="Calibri" w:hAnsi="Calibri" w:cs="Calibri"/>
                <w:color w:val="000000"/>
              </w:rPr>
            </w:pPr>
            <w:r w:rsidRPr="00805849">
              <w:rPr>
                <w:rFonts w:ascii="Calibri" w:hAnsi="Calibri" w:cs="Calibri"/>
                <w:color w:val="000000"/>
              </w:rPr>
              <w:t>Uninsured x Post</w:t>
            </w:r>
          </w:p>
        </w:tc>
        <w:tc>
          <w:tcPr>
            <w:tcW w:w="1710" w:type="dxa"/>
            <w:tcBorders>
              <w:top w:val="nil"/>
              <w:left w:val="nil"/>
              <w:bottom w:val="nil"/>
              <w:right w:val="nil"/>
            </w:tcBorders>
            <w:shd w:val="clear" w:color="auto" w:fill="auto"/>
            <w:vAlign w:val="bottom"/>
            <w:hideMark/>
          </w:tcPr>
          <w:p w:rsidR="00805849" w:rsidRPr="00805849" w:rsidRDefault="00805849" w:rsidP="00805849">
            <w:pPr>
              <w:jc w:val="center"/>
              <w:rPr>
                <w:rFonts w:ascii="Calibri" w:hAnsi="Calibri" w:cs="Calibri"/>
                <w:color w:val="000000"/>
              </w:rPr>
            </w:pPr>
            <w:r w:rsidRPr="00805849">
              <w:rPr>
                <w:rFonts w:ascii="Calibri" w:hAnsi="Calibri" w:cs="Calibri"/>
                <w:color w:val="000000"/>
              </w:rPr>
              <w:t>-0.00789</w:t>
            </w:r>
          </w:p>
        </w:tc>
        <w:tc>
          <w:tcPr>
            <w:tcW w:w="1657" w:type="dxa"/>
            <w:tcBorders>
              <w:top w:val="nil"/>
              <w:left w:val="nil"/>
              <w:bottom w:val="nil"/>
              <w:right w:val="nil"/>
            </w:tcBorders>
            <w:shd w:val="clear" w:color="auto" w:fill="auto"/>
            <w:vAlign w:val="bottom"/>
            <w:hideMark/>
          </w:tcPr>
          <w:p w:rsidR="00805849" w:rsidRPr="00805849" w:rsidRDefault="00805849" w:rsidP="00805849">
            <w:pPr>
              <w:jc w:val="center"/>
              <w:rPr>
                <w:rFonts w:ascii="Calibri" w:hAnsi="Calibri" w:cs="Calibri"/>
                <w:color w:val="000000"/>
              </w:rPr>
            </w:pPr>
            <w:r w:rsidRPr="00805849">
              <w:rPr>
                <w:rFonts w:ascii="Calibri" w:hAnsi="Calibri" w:cs="Calibri"/>
                <w:color w:val="000000"/>
              </w:rPr>
              <w:t>-0.0108</w:t>
            </w:r>
          </w:p>
        </w:tc>
        <w:tc>
          <w:tcPr>
            <w:tcW w:w="0" w:type="auto"/>
            <w:tcBorders>
              <w:top w:val="nil"/>
              <w:left w:val="nil"/>
              <w:bottom w:val="nil"/>
              <w:right w:val="nil"/>
            </w:tcBorders>
            <w:shd w:val="clear" w:color="auto" w:fill="auto"/>
            <w:vAlign w:val="bottom"/>
            <w:hideMark/>
          </w:tcPr>
          <w:p w:rsidR="00805849" w:rsidRPr="00805849" w:rsidRDefault="00805849" w:rsidP="00805849">
            <w:pPr>
              <w:jc w:val="center"/>
              <w:rPr>
                <w:rFonts w:ascii="Calibri" w:hAnsi="Calibri" w:cs="Calibri"/>
                <w:color w:val="000000"/>
              </w:rPr>
            </w:pPr>
            <w:r w:rsidRPr="00805849">
              <w:rPr>
                <w:rFonts w:ascii="Calibri" w:hAnsi="Calibri" w:cs="Calibri"/>
                <w:color w:val="000000"/>
              </w:rPr>
              <w:t>0.0501**</w:t>
            </w:r>
          </w:p>
        </w:tc>
        <w:tc>
          <w:tcPr>
            <w:tcW w:w="0" w:type="auto"/>
            <w:tcBorders>
              <w:top w:val="nil"/>
              <w:left w:val="nil"/>
              <w:bottom w:val="nil"/>
              <w:right w:val="nil"/>
            </w:tcBorders>
            <w:shd w:val="clear" w:color="auto" w:fill="auto"/>
            <w:vAlign w:val="bottom"/>
            <w:hideMark/>
          </w:tcPr>
          <w:p w:rsidR="00805849" w:rsidRPr="00805849" w:rsidRDefault="00805849" w:rsidP="00805849">
            <w:pPr>
              <w:jc w:val="center"/>
              <w:rPr>
                <w:rFonts w:ascii="Calibri" w:hAnsi="Calibri" w:cs="Calibri"/>
                <w:color w:val="000000"/>
              </w:rPr>
            </w:pPr>
            <w:r w:rsidRPr="00805849">
              <w:rPr>
                <w:rFonts w:ascii="Calibri" w:hAnsi="Calibri" w:cs="Calibri"/>
                <w:color w:val="000000"/>
              </w:rPr>
              <w:t>0.598</w:t>
            </w:r>
          </w:p>
        </w:tc>
      </w:tr>
      <w:tr w:rsidR="00805849" w:rsidRPr="00805849" w:rsidTr="001A2FDB">
        <w:trPr>
          <w:trHeight w:val="290"/>
        </w:trPr>
        <w:tc>
          <w:tcPr>
            <w:tcW w:w="3060" w:type="dxa"/>
            <w:tcBorders>
              <w:top w:val="nil"/>
              <w:left w:val="nil"/>
              <w:bottom w:val="nil"/>
              <w:right w:val="nil"/>
            </w:tcBorders>
            <w:shd w:val="clear" w:color="auto" w:fill="auto"/>
            <w:vAlign w:val="bottom"/>
            <w:hideMark/>
          </w:tcPr>
          <w:p w:rsidR="00805849" w:rsidRPr="00805849" w:rsidRDefault="00805849" w:rsidP="00805849">
            <w:pPr>
              <w:jc w:val="center"/>
              <w:rPr>
                <w:rFonts w:ascii="Calibri" w:hAnsi="Calibri" w:cs="Calibri"/>
                <w:color w:val="000000"/>
              </w:rPr>
            </w:pPr>
          </w:p>
        </w:tc>
        <w:tc>
          <w:tcPr>
            <w:tcW w:w="1710" w:type="dxa"/>
            <w:tcBorders>
              <w:top w:val="nil"/>
              <w:left w:val="nil"/>
              <w:bottom w:val="nil"/>
              <w:right w:val="nil"/>
            </w:tcBorders>
            <w:shd w:val="clear" w:color="auto" w:fill="auto"/>
            <w:vAlign w:val="bottom"/>
            <w:hideMark/>
          </w:tcPr>
          <w:p w:rsidR="00805849" w:rsidRPr="00805849" w:rsidRDefault="00805849" w:rsidP="00805849">
            <w:pPr>
              <w:jc w:val="center"/>
              <w:rPr>
                <w:rFonts w:ascii="Calibri" w:hAnsi="Calibri" w:cs="Calibri"/>
                <w:color w:val="000000"/>
              </w:rPr>
            </w:pPr>
            <w:r w:rsidRPr="00805849">
              <w:rPr>
                <w:rFonts w:ascii="Calibri" w:hAnsi="Calibri" w:cs="Calibri"/>
                <w:color w:val="000000"/>
              </w:rPr>
              <w:t>(0.0202)</w:t>
            </w:r>
          </w:p>
        </w:tc>
        <w:tc>
          <w:tcPr>
            <w:tcW w:w="1657" w:type="dxa"/>
            <w:tcBorders>
              <w:top w:val="nil"/>
              <w:left w:val="nil"/>
              <w:bottom w:val="nil"/>
              <w:right w:val="nil"/>
            </w:tcBorders>
            <w:shd w:val="clear" w:color="auto" w:fill="auto"/>
            <w:vAlign w:val="bottom"/>
            <w:hideMark/>
          </w:tcPr>
          <w:p w:rsidR="00805849" w:rsidRPr="00805849" w:rsidRDefault="00805849" w:rsidP="00805849">
            <w:pPr>
              <w:jc w:val="center"/>
              <w:rPr>
                <w:rFonts w:ascii="Calibri" w:hAnsi="Calibri" w:cs="Calibri"/>
                <w:color w:val="000000"/>
              </w:rPr>
            </w:pPr>
            <w:r w:rsidRPr="00805849">
              <w:rPr>
                <w:rFonts w:ascii="Calibri" w:hAnsi="Calibri" w:cs="Calibri"/>
                <w:color w:val="000000"/>
              </w:rPr>
              <w:t>(0.0131)</w:t>
            </w:r>
          </w:p>
        </w:tc>
        <w:tc>
          <w:tcPr>
            <w:tcW w:w="0" w:type="auto"/>
            <w:tcBorders>
              <w:top w:val="nil"/>
              <w:left w:val="nil"/>
              <w:bottom w:val="nil"/>
              <w:right w:val="nil"/>
            </w:tcBorders>
            <w:shd w:val="clear" w:color="auto" w:fill="auto"/>
            <w:vAlign w:val="bottom"/>
            <w:hideMark/>
          </w:tcPr>
          <w:p w:rsidR="00805849" w:rsidRPr="00805849" w:rsidRDefault="00805849" w:rsidP="00805849">
            <w:pPr>
              <w:jc w:val="center"/>
              <w:rPr>
                <w:rFonts w:ascii="Calibri" w:hAnsi="Calibri" w:cs="Calibri"/>
                <w:color w:val="000000"/>
              </w:rPr>
            </w:pPr>
            <w:r w:rsidRPr="00805849">
              <w:rPr>
                <w:rFonts w:ascii="Calibri" w:hAnsi="Calibri" w:cs="Calibri"/>
                <w:color w:val="000000"/>
              </w:rPr>
              <w:t>(0.0195)</w:t>
            </w:r>
          </w:p>
        </w:tc>
        <w:tc>
          <w:tcPr>
            <w:tcW w:w="0" w:type="auto"/>
            <w:tcBorders>
              <w:top w:val="nil"/>
              <w:left w:val="nil"/>
              <w:bottom w:val="nil"/>
              <w:right w:val="nil"/>
            </w:tcBorders>
            <w:shd w:val="clear" w:color="auto" w:fill="auto"/>
            <w:vAlign w:val="bottom"/>
            <w:hideMark/>
          </w:tcPr>
          <w:p w:rsidR="00805849" w:rsidRPr="00805849" w:rsidRDefault="00805849" w:rsidP="00805849">
            <w:pPr>
              <w:jc w:val="center"/>
              <w:rPr>
                <w:rFonts w:ascii="Calibri" w:hAnsi="Calibri" w:cs="Calibri"/>
                <w:color w:val="000000"/>
              </w:rPr>
            </w:pPr>
            <w:r w:rsidRPr="00805849">
              <w:rPr>
                <w:rFonts w:ascii="Calibri" w:hAnsi="Calibri" w:cs="Calibri"/>
                <w:color w:val="000000"/>
              </w:rPr>
              <w:t>(0.4769)</w:t>
            </w:r>
          </w:p>
        </w:tc>
      </w:tr>
      <w:tr w:rsidR="00805849" w:rsidRPr="00805849" w:rsidTr="001A2FDB">
        <w:trPr>
          <w:trHeight w:val="290"/>
        </w:trPr>
        <w:tc>
          <w:tcPr>
            <w:tcW w:w="3060" w:type="dxa"/>
            <w:tcBorders>
              <w:top w:val="nil"/>
              <w:left w:val="nil"/>
              <w:bottom w:val="nil"/>
              <w:right w:val="nil"/>
            </w:tcBorders>
            <w:shd w:val="clear" w:color="auto" w:fill="auto"/>
            <w:vAlign w:val="bottom"/>
            <w:hideMark/>
          </w:tcPr>
          <w:p w:rsidR="00805849" w:rsidRPr="00805849" w:rsidRDefault="00805849" w:rsidP="00805849">
            <w:pPr>
              <w:jc w:val="center"/>
              <w:rPr>
                <w:rFonts w:ascii="Calibri" w:hAnsi="Calibri" w:cs="Calibri"/>
                <w:color w:val="000000"/>
              </w:rPr>
            </w:pPr>
          </w:p>
        </w:tc>
        <w:tc>
          <w:tcPr>
            <w:tcW w:w="1710" w:type="dxa"/>
            <w:tcBorders>
              <w:top w:val="nil"/>
              <w:left w:val="nil"/>
              <w:bottom w:val="nil"/>
              <w:right w:val="nil"/>
            </w:tcBorders>
            <w:shd w:val="clear" w:color="auto" w:fill="auto"/>
            <w:vAlign w:val="bottom"/>
            <w:hideMark/>
          </w:tcPr>
          <w:p w:rsidR="00805849" w:rsidRPr="00805849" w:rsidRDefault="00805849" w:rsidP="00805849">
            <w:pPr>
              <w:rPr>
                <w:sz w:val="20"/>
                <w:szCs w:val="20"/>
              </w:rPr>
            </w:pPr>
          </w:p>
        </w:tc>
        <w:tc>
          <w:tcPr>
            <w:tcW w:w="1657" w:type="dxa"/>
            <w:tcBorders>
              <w:top w:val="nil"/>
              <w:left w:val="nil"/>
              <w:bottom w:val="nil"/>
              <w:right w:val="nil"/>
            </w:tcBorders>
            <w:shd w:val="clear" w:color="auto" w:fill="auto"/>
            <w:vAlign w:val="bottom"/>
            <w:hideMark/>
          </w:tcPr>
          <w:p w:rsidR="00805849" w:rsidRPr="00805849" w:rsidRDefault="00805849" w:rsidP="00805849">
            <w:pPr>
              <w:jc w:val="center"/>
              <w:rPr>
                <w:sz w:val="20"/>
                <w:szCs w:val="20"/>
              </w:rPr>
            </w:pPr>
          </w:p>
        </w:tc>
        <w:tc>
          <w:tcPr>
            <w:tcW w:w="0" w:type="auto"/>
            <w:tcBorders>
              <w:top w:val="nil"/>
              <w:left w:val="nil"/>
              <w:bottom w:val="nil"/>
              <w:right w:val="nil"/>
            </w:tcBorders>
            <w:shd w:val="clear" w:color="auto" w:fill="auto"/>
            <w:vAlign w:val="bottom"/>
            <w:hideMark/>
          </w:tcPr>
          <w:p w:rsidR="00805849" w:rsidRPr="00805849" w:rsidRDefault="00805849" w:rsidP="00805849">
            <w:pPr>
              <w:jc w:val="center"/>
              <w:rPr>
                <w:sz w:val="20"/>
                <w:szCs w:val="20"/>
              </w:rPr>
            </w:pPr>
          </w:p>
        </w:tc>
        <w:tc>
          <w:tcPr>
            <w:tcW w:w="0" w:type="auto"/>
            <w:tcBorders>
              <w:top w:val="nil"/>
              <w:left w:val="nil"/>
              <w:bottom w:val="nil"/>
              <w:right w:val="nil"/>
            </w:tcBorders>
            <w:shd w:val="clear" w:color="auto" w:fill="auto"/>
            <w:vAlign w:val="bottom"/>
            <w:hideMark/>
          </w:tcPr>
          <w:p w:rsidR="00805849" w:rsidRPr="00805849" w:rsidRDefault="00805849" w:rsidP="00805849">
            <w:pPr>
              <w:jc w:val="center"/>
              <w:rPr>
                <w:sz w:val="20"/>
                <w:szCs w:val="20"/>
              </w:rPr>
            </w:pPr>
          </w:p>
        </w:tc>
      </w:tr>
      <w:tr w:rsidR="00805849" w:rsidRPr="00805849" w:rsidTr="001A2FDB">
        <w:trPr>
          <w:trHeight w:val="290"/>
        </w:trPr>
        <w:tc>
          <w:tcPr>
            <w:tcW w:w="3060" w:type="dxa"/>
            <w:tcBorders>
              <w:top w:val="nil"/>
              <w:left w:val="nil"/>
              <w:bottom w:val="nil"/>
              <w:right w:val="nil"/>
            </w:tcBorders>
            <w:shd w:val="clear" w:color="auto" w:fill="auto"/>
            <w:vAlign w:val="bottom"/>
            <w:hideMark/>
          </w:tcPr>
          <w:p w:rsidR="00805849" w:rsidRPr="00805849" w:rsidRDefault="00805849" w:rsidP="00805849">
            <w:pPr>
              <w:rPr>
                <w:rFonts w:ascii="Calibri" w:hAnsi="Calibri" w:cs="Calibri"/>
                <w:color w:val="000000"/>
              </w:rPr>
            </w:pPr>
            <w:r w:rsidRPr="00805849">
              <w:rPr>
                <w:rFonts w:ascii="Calibri" w:hAnsi="Calibri" w:cs="Calibri"/>
                <w:color w:val="000000"/>
              </w:rPr>
              <w:t>Medicaid x Uninsured x Post</w:t>
            </w:r>
          </w:p>
        </w:tc>
        <w:tc>
          <w:tcPr>
            <w:tcW w:w="1710" w:type="dxa"/>
            <w:tcBorders>
              <w:top w:val="nil"/>
              <w:left w:val="nil"/>
              <w:bottom w:val="nil"/>
              <w:right w:val="nil"/>
            </w:tcBorders>
            <w:shd w:val="clear" w:color="auto" w:fill="auto"/>
            <w:vAlign w:val="bottom"/>
            <w:hideMark/>
          </w:tcPr>
          <w:p w:rsidR="00805849" w:rsidRPr="00805849" w:rsidRDefault="00805849" w:rsidP="00805849">
            <w:pPr>
              <w:jc w:val="center"/>
              <w:rPr>
                <w:rFonts w:ascii="Calibri" w:hAnsi="Calibri" w:cs="Calibri"/>
                <w:color w:val="000000"/>
              </w:rPr>
            </w:pPr>
            <w:r w:rsidRPr="00805849">
              <w:rPr>
                <w:rFonts w:ascii="Calibri" w:hAnsi="Calibri" w:cs="Calibri"/>
                <w:color w:val="000000"/>
              </w:rPr>
              <w:t>-0.0243</w:t>
            </w:r>
          </w:p>
        </w:tc>
        <w:tc>
          <w:tcPr>
            <w:tcW w:w="1657" w:type="dxa"/>
            <w:tcBorders>
              <w:top w:val="nil"/>
              <w:left w:val="nil"/>
              <w:bottom w:val="nil"/>
              <w:right w:val="nil"/>
            </w:tcBorders>
            <w:shd w:val="clear" w:color="auto" w:fill="auto"/>
            <w:vAlign w:val="bottom"/>
            <w:hideMark/>
          </w:tcPr>
          <w:p w:rsidR="00805849" w:rsidRPr="00805849" w:rsidRDefault="00805849" w:rsidP="00805849">
            <w:pPr>
              <w:jc w:val="center"/>
              <w:rPr>
                <w:rFonts w:ascii="Calibri" w:hAnsi="Calibri" w:cs="Calibri"/>
                <w:color w:val="000000"/>
              </w:rPr>
            </w:pPr>
            <w:r w:rsidRPr="00805849">
              <w:rPr>
                <w:rFonts w:ascii="Calibri" w:hAnsi="Calibri" w:cs="Calibri"/>
                <w:color w:val="000000"/>
              </w:rPr>
              <w:t>-0.0111</w:t>
            </w:r>
          </w:p>
        </w:tc>
        <w:tc>
          <w:tcPr>
            <w:tcW w:w="0" w:type="auto"/>
            <w:tcBorders>
              <w:top w:val="nil"/>
              <w:left w:val="nil"/>
              <w:bottom w:val="nil"/>
              <w:right w:val="nil"/>
            </w:tcBorders>
            <w:shd w:val="clear" w:color="auto" w:fill="auto"/>
            <w:vAlign w:val="bottom"/>
            <w:hideMark/>
          </w:tcPr>
          <w:p w:rsidR="00805849" w:rsidRPr="00805849" w:rsidRDefault="00805849" w:rsidP="00805849">
            <w:pPr>
              <w:jc w:val="center"/>
              <w:rPr>
                <w:rFonts w:ascii="Calibri" w:hAnsi="Calibri" w:cs="Calibri"/>
                <w:color w:val="000000"/>
              </w:rPr>
            </w:pPr>
            <w:r w:rsidRPr="00805849">
              <w:rPr>
                <w:rFonts w:ascii="Calibri" w:hAnsi="Calibri" w:cs="Calibri"/>
                <w:color w:val="000000"/>
              </w:rPr>
              <w:t>-0.00586</w:t>
            </w:r>
          </w:p>
        </w:tc>
        <w:tc>
          <w:tcPr>
            <w:tcW w:w="0" w:type="auto"/>
            <w:tcBorders>
              <w:top w:val="nil"/>
              <w:left w:val="nil"/>
              <w:bottom w:val="nil"/>
              <w:right w:val="nil"/>
            </w:tcBorders>
            <w:shd w:val="clear" w:color="auto" w:fill="auto"/>
            <w:vAlign w:val="bottom"/>
            <w:hideMark/>
          </w:tcPr>
          <w:p w:rsidR="00805849" w:rsidRPr="00805849" w:rsidRDefault="00805849" w:rsidP="00805849">
            <w:pPr>
              <w:jc w:val="center"/>
              <w:rPr>
                <w:rFonts w:ascii="Calibri" w:hAnsi="Calibri" w:cs="Calibri"/>
                <w:color w:val="000000"/>
              </w:rPr>
            </w:pPr>
            <w:r w:rsidRPr="00805849">
              <w:rPr>
                <w:rFonts w:ascii="Calibri" w:hAnsi="Calibri" w:cs="Calibri"/>
                <w:color w:val="000000"/>
              </w:rPr>
              <w:t>-0.452</w:t>
            </w:r>
          </w:p>
        </w:tc>
      </w:tr>
      <w:tr w:rsidR="00805849" w:rsidRPr="00805849" w:rsidTr="001A2FDB">
        <w:trPr>
          <w:trHeight w:val="290"/>
        </w:trPr>
        <w:tc>
          <w:tcPr>
            <w:tcW w:w="3060" w:type="dxa"/>
            <w:tcBorders>
              <w:top w:val="nil"/>
              <w:left w:val="nil"/>
              <w:bottom w:val="nil"/>
              <w:right w:val="nil"/>
            </w:tcBorders>
            <w:shd w:val="clear" w:color="auto" w:fill="auto"/>
            <w:vAlign w:val="bottom"/>
            <w:hideMark/>
          </w:tcPr>
          <w:p w:rsidR="00805849" w:rsidRPr="00805849" w:rsidRDefault="00805849" w:rsidP="00805849">
            <w:pPr>
              <w:jc w:val="center"/>
              <w:rPr>
                <w:rFonts w:ascii="Calibri" w:hAnsi="Calibri" w:cs="Calibri"/>
                <w:color w:val="000000"/>
              </w:rPr>
            </w:pPr>
          </w:p>
        </w:tc>
        <w:tc>
          <w:tcPr>
            <w:tcW w:w="1710" w:type="dxa"/>
            <w:tcBorders>
              <w:top w:val="nil"/>
              <w:left w:val="nil"/>
              <w:bottom w:val="nil"/>
              <w:right w:val="nil"/>
            </w:tcBorders>
            <w:shd w:val="clear" w:color="auto" w:fill="auto"/>
            <w:vAlign w:val="bottom"/>
            <w:hideMark/>
          </w:tcPr>
          <w:p w:rsidR="00805849" w:rsidRPr="00805849" w:rsidRDefault="00805849" w:rsidP="00805849">
            <w:pPr>
              <w:jc w:val="center"/>
              <w:rPr>
                <w:rFonts w:ascii="Calibri" w:hAnsi="Calibri" w:cs="Calibri"/>
                <w:color w:val="000000"/>
              </w:rPr>
            </w:pPr>
            <w:r w:rsidRPr="00805849">
              <w:rPr>
                <w:rFonts w:ascii="Calibri" w:hAnsi="Calibri" w:cs="Calibri"/>
                <w:color w:val="000000"/>
              </w:rPr>
              <w:t>(0.0280)</w:t>
            </w:r>
          </w:p>
        </w:tc>
        <w:tc>
          <w:tcPr>
            <w:tcW w:w="1657" w:type="dxa"/>
            <w:tcBorders>
              <w:top w:val="nil"/>
              <w:left w:val="nil"/>
              <w:bottom w:val="nil"/>
              <w:right w:val="nil"/>
            </w:tcBorders>
            <w:shd w:val="clear" w:color="auto" w:fill="auto"/>
            <w:vAlign w:val="bottom"/>
            <w:hideMark/>
          </w:tcPr>
          <w:p w:rsidR="00805849" w:rsidRPr="00805849" w:rsidRDefault="00805849" w:rsidP="00805849">
            <w:pPr>
              <w:jc w:val="center"/>
              <w:rPr>
                <w:rFonts w:ascii="Calibri" w:hAnsi="Calibri" w:cs="Calibri"/>
                <w:color w:val="000000"/>
              </w:rPr>
            </w:pPr>
            <w:r w:rsidRPr="00805849">
              <w:rPr>
                <w:rFonts w:ascii="Calibri" w:hAnsi="Calibri" w:cs="Calibri"/>
                <w:color w:val="000000"/>
              </w:rPr>
              <w:t>(0.0235)</w:t>
            </w:r>
          </w:p>
        </w:tc>
        <w:tc>
          <w:tcPr>
            <w:tcW w:w="0" w:type="auto"/>
            <w:tcBorders>
              <w:top w:val="nil"/>
              <w:left w:val="nil"/>
              <w:bottom w:val="nil"/>
              <w:right w:val="nil"/>
            </w:tcBorders>
            <w:shd w:val="clear" w:color="auto" w:fill="auto"/>
            <w:vAlign w:val="bottom"/>
            <w:hideMark/>
          </w:tcPr>
          <w:p w:rsidR="00805849" w:rsidRPr="00805849" w:rsidRDefault="00805849" w:rsidP="00805849">
            <w:pPr>
              <w:jc w:val="center"/>
              <w:rPr>
                <w:rFonts w:ascii="Calibri" w:hAnsi="Calibri" w:cs="Calibri"/>
                <w:color w:val="000000"/>
              </w:rPr>
            </w:pPr>
            <w:r w:rsidRPr="00805849">
              <w:rPr>
                <w:rFonts w:ascii="Calibri" w:hAnsi="Calibri" w:cs="Calibri"/>
                <w:color w:val="000000"/>
              </w:rPr>
              <w:t>(0.0236)</w:t>
            </w:r>
          </w:p>
        </w:tc>
        <w:tc>
          <w:tcPr>
            <w:tcW w:w="0" w:type="auto"/>
            <w:tcBorders>
              <w:top w:val="nil"/>
              <w:left w:val="nil"/>
              <w:bottom w:val="nil"/>
              <w:right w:val="nil"/>
            </w:tcBorders>
            <w:shd w:val="clear" w:color="auto" w:fill="auto"/>
            <w:vAlign w:val="bottom"/>
            <w:hideMark/>
          </w:tcPr>
          <w:p w:rsidR="00805849" w:rsidRPr="00805849" w:rsidRDefault="00805849" w:rsidP="00805849">
            <w:pPr>
              <w:jc w:val="center"/>
              <w:rPr>
                <w:rFonts w:ascii="Calibri" w:hAnsi="Calibri" w:cs="Calibri"/>
                <w:color w:val="000000"/>
              </w:rPr>
            </w:pPr>
            <w:r w:rsidRPr="00805849">
              <w:rPr>
                <w:rFonts w:ascii="Calibri" w:hAnsi="Calibri" w:cs="Calibri"/>
                <w:color w:val="000000"/>
              </w:rPr>
              <w:t>(0.6089)</w:t>
            </w:r>
          </w:p>
        </w:tc>
      </w:tr>
      <w:tr w:rsidR="00805849" w:rsidRPr="00805849" w:rsidTr="001A2FDB">
        <w:trPr>
          <w:trHeight w:val="290"/>
        </w:trPr>
        <w:tc>
          <w:tcPr>
            <w:tcW w:w="3060" w:type="dxa"/>
            <w:tcBorders>
              <w:top w:val="nil"/>
              <w:left w:val="nil"/>
              <w:bottom w:val="nil"/>
              <w:right w:val="nil"/>
            </w:tcBorders>
            <w:shd w:val="clear" w:color="auto" w:fill="auto"/>
            <w:vAlign w:val="bottom"/>
            <w:hideMark/>
          </w:tcPr>
          <w:p w:rsidR="00805849" w:rsidRPr="00805849" w:rsidRDefault="00805849" w:rsidP="00805849">
            <w:pPr>
              <w:jc w:val="center"/>
              <w:rPr>
                <w:rFonts w:ascii="Calibri" w:hAnsi="Calibri" w:cs="Calibri"/>
                <w:color w:val="000000"/>
              </w:rPr>
            </w:pPr>
          </w:p>
        </w:tc>
        <w:tc>
          <w:tcPr>
            <w:tcW w:w="1710" w:type="dxa"/>
            <w:tcBorders>
              <w:top w:val="nil"/>
              <w:left w:val="nil"/>
              <w:bottom w:val="nil"/>
              <w:right w:val="nil"/>
            </w:tcBorders>
            <w:shd w:val="clear" w:color="auto" w:fill="auto"/>
            <w:vAlign w:val="bottom"/>
            <w:hideMark/>
          </w:tcPr>
          <w:p w:rsidR="00805849" w:rsidRPr="00805849" w:rsidRDefault="00805849" w:rsidP="00805849">
            <w:pPr>
              <w:rPr>
                <w:sz w:val="20"/>
                <w:szCs w:val="20"/>
              </w:rPr>
            </w:pPr>
          </w:p>
        </w:tc>
        <w:tc>
          <w:tcPr>
            <w:tcW w:w="1657" w:type="dxa"/>
            <w:tcBorders>
              <w:top w:val="nil"/>
              <w:left w:val="nil"/>
              <w:bottom w:val="nil"/>
              <w:right w:val="nil"/>
            </w:tcBorders>
            <w:shd w:val="clear" w:color="auto" w:fill="auto"/>
            <w:vAlign w:val="bottom"/>
            <w:hideMark/>
          </w:tcPr>
          <w:p w:rsidR="00805849" w:rsidRPr="00805849" w:rsidRDefault="00805849" w:rsidP="00805849">
            <w:pPr>
              <w:jc w:val="center"/>
              <w:rPr>
                <w:sz w:val="20"/>
                <w:szCs w:val="20"/>
              </w:rPr>
            </w:pPr>
          </w:p>
        </w:tc>
        <w:tc>
          <w:tcPr>
            <w:tcW w:w="0" w:type="auto"/>
            <w:tcBorders>
              <w:top w:val="nil"/>
              <w:left w:val="nil"/>
              <w:bottom w:val="nil"/>
              <w:right w:val="nil"/>
            </w:tcBorders>
            <w:shd w:val="clear" w:color="auto" w:fill="auto"/>
            <w:vAlign w:val="bottom"/>
            <w:hideMark/>
          </w:tcPr>
          <w:p w:rsidR="00805849" w:rsidRPr="00805849" w:rsidRDefault="00805849" w:rsidP="00805849">
            <w:pPr>
              <w:jc w:val="center"/>
              <w:rPr>
                <w:sz w:val="20"/>
                <w:szCs w:val="20"/>
              </w:rPr>
            </w:pPr>
          </w:p>
        </w:tc>
        <w:tc>
          <w:tcPr>
            <w:tcW w:w="0" w:type="auto"/>
            <w:tcBorders>
              <w:top w:val="nil"/>
              <w:left w:val="nil"/>
              <w:bottom w:val="nil"/>
              <w:right w:val="nil"/>
            </w:tcBorders>
            <w:shd w:val="clear" w:color="auto" w:fill="auto"/>
            <w:vAlign w:val="bottom"/>
            <w:hideMark/>
          </w:tcPr>
          <w:p w:rsidR="00805849" w:rsidRPr="00805849" w:rsidRDefault="00805849" w:rsidP="00805849">
            <w:pPr>
              <w:jc w:val="center"/>
              <w:rPr>
                <w:sz w:val="20"/>
                <w:szCs w:val="20"/>
              </w:rPr>
            </w:pPr>
          </w:p>
        </w:tc>
      </w:tr>
      <w:tr w:rsidR="00805849" w:rsidRPr="00805849" w:rsidTr="001A2FDB">
        <w:trPr>
          <w:trHeight w:val="290"/>
        </w:trPr>
        <w:tc>
          <w:tcPr>
            <w:tcW w:w="3060" w:type="dxa"/>
            <w:tcBorders>
              <w:top w:val="nil"/>
              <w:left w:val="nil"/>
              <w:bottom w:val="nil"/>
              <w:right w:val="nil"/>
            </w:tcBorders>
            <w:shd w:val="clear" w:color="auto" w:fill="auto"/>
            <w:vAlign w:val="bottom"/>
            <w:hideMark/>
          </w:tcPr>
          <w:p w:rsidR="00805849" w:rsidRPr="00805849" w:rsidRDefault="00805849" w:rsidP="00805849">
            <w:pPr>
              <w:rPr>
                <w:rFonts w:ascii="Calibri" w:hAnsi="Calibri" w:cs="Calibri"/>
                <w:color w:val="000000"/>
              </w:rPr>
            </w:pPr>
            <w:r w:rsidRPr="00805849">
              <w:rPr>
                <w:rFonts w:ascii="Calibri" w:hAnsi="Calibri" w:cs="Calibri"/>
                <w:color w:val="000000"/>
              </w:rPr>
              <w:t>N</w:t>
            </w:r>
          </w:p>
        </w:tc>
        <w:tc>
          <w:tcPr>
            <w:tcW w:w="1710" w:type="dxa"/>
            <w:tcBorders>
              <w:top w:val="nil"/>
              <w:left w:val="nil"/>
              <w:bottom w:val="nil"/>
              <w:right w:val="nil"/>
            </w:tcBorders>
            <w:shd w:val="clear" w:color="auto" w:fill="auto"/>
            <w:vAlign w:val="bottom"/>
            <w:hideMark/>
          </w:tcPr>
          <w:p w:rsidR="00805849" w:rsidRPr="00805849" w:rsidRDefault="00805849" w:rsidP="00805849">
            <w:pPr>
              <w:jc w:val="center"/>
              <w:rPr>
                <w:rFonts w:ascii="Calibri" w:hAnsi="Calibri" w:cs="Calibri"/>
                <w:color w:val="000000"/>
              </w:rPr>
            </w:pPr>
            <w:r w:rsidRPr="00805849">
              <w:rPr>
                <w:rFonts w:ascii="Calibri" w:hAnsi="Calibri" w:cs="Calibri"/>
                <w:color w:val="000000"/>
              </w:rPr>
              <w:t>54858</w:t>
            </w:r>
          </w:p>
        </w:tc>
        <w:tc>
          <w:tcPr>
            <w:tcW w:w="1657" w:type="dxa"/>
            <w:tcBorders>
              <w:top w:val="nil"/>
              <w:left w:val="nil"/>
              <w:bottom w:val="nil"/>
              <w:right w:val="nil"/>
            </w:tcBorders>
            <w:shd w:val="clear" w:color="auto" w:fill="auto"/>
            <w:vAlign w:val="bottom"/>
            <w:hideMark/>
          </w:tcPr>
          <w:p w:rsidR="00805849" w:rsidRPr="00805849" w:rsidRDefault="00805849" w:rsidP="00805849">
            <w:pPr>
              <w:jc w:val="center"/>
              <w:rPr>
                <w:rFonts w:ascii="Calibri" w:hAnsi="Calibri" w:cs="Calibri"/>
                <w:color w:val="000000"/>
              </w:rPr>
            </w:pPr>
            <w:r w:rsidRPr="00805849">
              <w:rPr>
                <w:rFonts w:ascii="Calibri" w:hAnsi="Calibri" w:cs="Calibri"/>
                <w:color w:val="000000"/>
              </w:rPr>
              <w:t>54863</w:t>
            </w:r>
          </w:p>
        </w:tc>
        <w:tc>
          <w:tcPr>
            <w:tcW w:w="0" w:type="auto"/>
            <w:tcBorders>
              <w:top w:val="nil"/>
              <w:left w:val="nil"/>
              <w:bottom w:val="nil"/>
              <w:right w:val="nil"/>
            </w:tcBorders>
            <w:shd w:val="clear" w:color="auto" w:fill="auto"/>
            <w:vAlign w:val="bottom"/>
            <w:hideMark/>
          </w:tcPr>
          <w:p w:rsidR="00805849" w:rsidRPr="00805849" w:rsidRDefault="00805849" w:rsidP="00805849">
            <w:pPr>
              <w:jc w:val="center"/>
              <w:rPr>
                <w:rFonts w:ascii="Calibri" w:hAnsi="Calibri" w:cs="Calibri"/>
                <w:color w:val="000000"/>
              </w:rPr>
            </w:pPr>
            <w:r w:rsidRPr="00805849">
              <w:rPr>
                <w:rFonts w:ascii="Calibri" w:hAnsi="Calibri" w:cs="Calibri"/>
                <w:color w:val="000000"/>
              </w:rPr>
              <w:t>54859</w:t>
            </w:r>
          </w:p>
        </w:tc>
        <w:tc>
          <w:tcPr>
            <w:tcW w:w="0" w:type="auto"/>
            <w:tcBorders>
              <w:top w:val="nil"/>
              <w:left w:val="nil"/>
              <w:bottom w:val="nil"/>
              <w:right w:val="nil"/>
            </w:tcBorders>
            <w:shd w:val="clear" w:color="auto" w:fill="auto"/>
            <w:vAlign w:val="bottom"/>
            <w:hideMark/>
          </w:tcPr>
          <w:p w:rsidR="00805849" w:rsidRPr="00805849" w:rsidRDefault="00805849" w:rsidP="00805849">
            <w:pPr>
              <w:jc w:val="center"/>
              <w:rPr>
                <w:rFonts w:ascii="Calibri" w:hAnsi="Calibri" w:cs="Calibri"/>
                <w:color w:val="000000"/>
              </w:rPr>
            </w:pPr>
            <w:r w:rsidRPr="00805849">
              <w:rPr>
                <w:rFonts w:ascii="Calibri" w:hAnsi="Calibri" w:cs="Calibri"/>
                <w:color w:val="000000"/>
              </w:rPr>
              <w:t>54859</w:t>
            </w:r>
          </w:p>
        </w:tc>
      </w:tr>
      <w:tr w:rsidR="00805849" w:rsidRPr="00805849" w:rsidTr="001A2FDB">
        <w:trPr>
          <w:trHeight w:val="290"/>
        </w:trPr>
        <w:tc>
          <w:tcPr>
            <w:tcW w:w="3060" w:type="dxa"/>
            <w:tcBorders>
              <w:top w:val="nil"/>
              <w:left w:val="nil"/>
              <w:bottom w:val="nil"/>
              <w:right w:val="nil"/>
            </w:tcBorders>
            <w:shd w:val="clear" w:color="auto" w:fill="auto"/>
            <w:vAlign w:val="bottom"/>
            <w:hideMark/>
          </w:tcPr>
          <w:p w:rsidR="00805849" w:rsidRPr="00805849" w:rsidRDefault="00805849" w:rsidP="00805849">
            <w:pPr>
              <w:jc w:val="center"/>
              <w:rPr>
                <w:rFonts w:ascii="Calibri" w:hAnsi="Calibri" w:cs="Calibri"/>
                <w:color w:val="000000"/>
              </w:rPr>
            </w:pPr>
          </w:p>
        </w:tc>
        <w:tc>
          <w:tcPr>
            <w:tcW w:w="1710" w:type="dxa"/>
            <w:tcBorders>
              <w:top w:val="nil"/>
              <w:left w:val="nil"/>
              <w:bottom w:val="nil"/>
              <w:right w:val="nil"/>
            </w:tcBorders>
            <w:shd w:val="clear" w:color="auto" w:fill="auto"/>
            <w:vAlign w:val="bottom"/>
            <w:hideMark/>
          </w:tcPr>
          <w:p w:rsidR="00805849" w:rsidRPr="00805849" w:rsidRDefault="00805849" w:rsidP="00805849">
            <w:pPr>
              <w:rPr>
                <w:sz w:val="20"/>
                <w:szCs w:val="20"/>
              </w:rPr>
            </w:pPr>
          </w:p>
        </w:tc>
        <w:tc>
          <w:tcPr>
            <w:tcW w:w="1657" w:type="dxa"/>
            <w:tcBorders>
              <w:top w:val="nil"/>
              <w:left w:val="nil"/>
              <w:bottom w:val="nil"/>
              <w:right w:val="nil"/>
            </w:tcBorders>
            <w:shd w:val="clear" w:color="auto" w:fill="auto"/>
            <w:vAlign w:val="bottom"/>
            <w:hideMark/>
          </w:tcPr>
          <w:p w:rsidR="00805849" w:rsidRPr="00805849" w:rsidRDefault="00805849" w:rsidP="00805849">
            <w:pPr>
              <w:jc w:val="center"/>
              <w:rPr>
                <w:sz w:val="20"/>
                <w:szCs w:val="20"/>
              </w:rPr>
            </w:pPr>
          </w:p>
        </w:tc>
        <w:tc>
          <w:tcPr>
            <w:tcW w:w="0" w:type="auto"/>
            <w:tcBorders>
              <w:top w:val="nil"/>
              <w:left w:val="nil"/>
              <w:bottom w:val="nil"/>
              <w:right w:val="nil"/>
            </w:tcBorders>
            <w:shd w:val="clear" w:color="auto" w:fill="auto"/>
            <w:vAlign w:val="bottom"/>
            <w:hideMark/>
          </w:tcPr>
          <w:p w:rsidR="00805849" w:rsidRPr="00805849" w:rsidRDefault="00805849" w:rsidP="00805849">
            <w:pPr>
              <w:jc w:val="center"/>
              <w:rPr>
                <w:sz w:val="20"/>
                <w:szCs w:val="20"/>
              </w:rPr>
            </w:pPr>
          </w:p>
        </w:tc>
        <w:tc>
          <w:tcPr>
            <w:tcW w:w="0" w:type="auto"/>
            <w:tcBorders>
              <w:top w:val="nil"/>
              <w:left w:val="nil"/>
              <w:bottom w:val="nil"/>
              <w:right w:val="nil"/>
            </w:tcBorders>
            <w:shd w:val="clear" w:color="auto" w:fill="auto"/>
            <w:vAlign w:val="bottom"/>
            <w:hideMark/>
          </w:tcPr>
          <w:p w:rsidR="00805849" w:rsidRPr="00805849" w:rsidRDefault="00805849" w:rsidP="00805849">
            <w:pPr>
              <w:jc w:val="center"/>
              <w:rPr>
                <w:sz w:val="20"/>
                <w:szCs w:val="20"/>
              </w:rPr>
            </w:pPr>
          </w:p>
        </w:tc>
      </w:tr>
      <w:tr w:rsidR="00805849" w:rsidRPr="00805849" w:rsidTr="001A2FDB">
        <w:trPr>
          <w:trHeight w:val="290"/>
        </w:trPr>
        <w:tc>
          <w:tcPr>
            <w:tcW w:w="0" w:type="auto"/>
            <w:gridSpan w:val="4"/>
            <w:tcBorders>
              <w:top w:val="nil"/>
              <w:left w:val="nil"/>
              <w:bottom w:val="nil"/>
              <w:right w:val="nil"/>
            </w:tcBorders>
            <w:shd w:val="clear" w:color="auto" w:fill="auto"/>
            <w:noWrap/>
            <w:vAlign w:val="bottom"/>
            <w:hideMark/>
          </w:tcPr>
          <w:p w:rsidR="00805849" w:rsidRPr="00805849" w:rsidRDefault="00805849" w:rsidP="007B7A66">
            <w:pPr>
              <w:jc w:val="center"/>
              <w:rPr>
                <w:rFonts w:ascii="Calibri" w:hAnsi="Calibri" w:cs="Calibri"/>
                <w:b/>
                <w:bCs/>
                <w:color w:val="000000"/>
                <w:u w:val="single"/>
              </w:rPr>
            </w:pPr>
            <w:r w:rsidRPr="00805849">
              <w:rPr>
                <w:rFonts w:ascii="Calibri" w:hAnsi="Calibri" w:cs="Calibri"/>
                <w:b/>
                <w:bCs/>
                <w:color w:val="000000"/>
                <w:u w:val="single"/>
              </w:rPr>
              <w:t>Implied effects of ACA at mean pre-</w:t>
            </w:r>
            <w:r w:rsidR="007B7A66">
              <w:rPr>
                <w:rFonts w:ascii="Calibri" w:hAnsi="Calibri" w:cs="Calibri"/>
                <w:b/>
                <w:bCs/>
                <w:color w:val="000000"/>
                <w:u w:val="single"/>
              </w:rPr>
              <w:t>expansion</w:t>
            </w:r>
            <w:r w:rsidRPr="00805849">
              <w:rPr>
                <w:rFonts w:ascii="Calibri" w:hAnsi="Calibri" w:cs="Calibri"/>
                <w:b/>
                <w:bCs/>
                <w:color w:val="000000"/>
                <w:u w:val="single"/>
              </w:rPr>
              <w:t xml:space="preserve"> uninsured rate</w:t>
            </w:r>
          </w:p>
        </w:tc>
        <w:tc>
          <w:tcPr>
            <w:tcW w:w="0" w:type="auto"/>
            <w:tcBorders>
              <w:top w:val="nil"/>
              <w:left w:val="nil"/>
              <w:bottom w:val="nil"/>
              <w:right w:val="nil"/>
            </w:tcBorders>
            <w:shd w:val="clear" w:color="auto" w:fill="auto"/>
            <w:vAlign w:val="bottom"/>
            <w:hideMark/>
          </w:tcPr>
          <w:p w:rsidR="00805849" w:rsidRPr="00805849" w:rsidRDefault="00805849" w:rsidP="00805849">
            <w:pPr>
              <w:rPr>
                <w:rFonts w:ascii="Calibri" w:hAnsi="Calibri" w:cs="Calibri"/>
                <w:b/>
                <w:bCs/>
                <w:color w:val="000000"/>
                <w:u w:val="single"/>
              </w:rPr>
            </w:pPr>
          </w:p>
        </w:tc>
      </w:tr>
      <w:tr w:rsidR="00805849" w:rsidRPr="00805849" w:rsidTr="001A2FDB">
        <w:trPr>
          <w:trHeight w:val="290"/>
        </w:trPr>
        <w:tc>
          <w:tcPr>
            <w:tcW w:w="3060" w:type="dxa"/>
            <w:tcBorders>
              <w:top w:val="nil"/>
              <w:left w:val="nil"/>
              <w:bottom w:val="nil"/>
              <w:right w:val="nil"/>
            </w:tcBorders>
            <w:shd w:val="clear" w:color="auto" w:fill="auto"/>
            <w:vAlign w:val="bottom"/>
            <w:hideMark/>
          </w:tcPr>
          <w:p w:rsidR="00805849" w:rsidRPr="00805849" w:rsidRDefault="00805849" w:rsidP="00805849">
            <w:pPr>
              <w:jc w:val="center"/>
              <w:rPr>
                <w:sz w:val="20"/>
                <w:szCs w:val="20"/>
              </w:rPr>
            </w:pPr>
          </w:p>
        </w:tc>
        <w:tc>
          <w:tcPr>
            <w:tcW w:w="1710" w:type="dxa"/>
            <w:tcBorders>
              <w:top w:val="nil"/>
              <w:left w:val="nil"/>
              <w:bottom w:val="nil"/>
              <w:right w:val="nil"/>
            </w:tcBorders>
            <w:shd w:val="clear" w:color="auto" w:fill="auto"/>
            <w:vAlign w:val="bottom"/>
            <w:hideMark/>
          </w:tcPr>
          <w:p w:rsidR="00805849" w:rsidRPr="00805849" w:rsidRDefault="00805849" w:rsidP="00805849">
            <w:pPr>
              <w:rPr>
                <w:sz w:val="20"/>
                <w:szCs w:val="20"/>
              </w:rPr>
            </w:pPr>
          </w:p>
        </w:tc>
        <w:tc>
          <w:tcPr>
            <w:tcW w:w="1657" w:type="dxa"/>
            <w:tcBorders>
              <w:top w:val="nil"/>
              <w:left w:val="nil"/>
              <w:bottom w:val="nil"/>
              <w:right w:val="nil"/>
            </w:tcBorders>
            <w:shd w:val="clear" w:color="auto" w:fill="auto"/>
            <w:vAlign w:val="bottom"/>
            <w:hideMark/>
          </w:tcPr>
          <w:p w:rsidR="00805849" w:rsidRPr="00805849" w:rsidRDefault="00805849" w:rsidP="00805849">
            <w:pPr>
              <w:jc w:val="center"/>
              <w:rPr>
                <w:sz w:val="20"/>
                <w:szCs w:val="20"/>
              </w:rPr>
            </w:pPr>
          </w:p>
        </w:tc>
        <w:tc>
          <w:tcPr>
            <w:tcW w:w="0" w:type="auto"/>
            <w:tcBorders>
              <w:top w:val="nil"/>
              <w:left w:val="nil"/>
              <w:bottom w:val="nil"/>
              <w:right w:val="nil"/>
            </w:tcBorders>
            <w:shd w:val="clear" w:color="auto" w:fill="auto"/>
            <w:vAlign w:val="bottom"/>
            <w:hideMark/>
          </w:tcPr>
          <w:p w:rsidR="00805849" w:rsidRPr="00805849" w:rsidRDefault="00805849" w:rsidP="00805849">
            <w:pPr>
              <w:jc w:val="center"/>
              <w:rPr>
                <w:sz w:val="20"/>
                <w:szCs w:val="20"/>
              </w:rPr>
            </w:pPr>
          </w:p>
        </w:tc>
        <w:tc>
          <w:tcPr>
            <w:tcW w:w="0" w:type="auto"/>
            <w:tcBorders>
              <w:top w:val="nil"/>
              <w:left w:val="nil"/>
              <w:bottom w:val="nil"/>
              <w:right w:val="nil"/>
            </w:tcBorders>
            <w:shd w:val="clear" w:color="auto" w:fill="auto"/>
            <w:vAlign w:val="bottom"/>
            <w:hideMark/>
          </w:tcPr>
          <w:p w:rsidR="00805849" w:rsidRPr="00805849" w:rsidRDefault="00805849" w:rsidP="00805849">
            <w:pPr>
              <w:jc w:val="center"/>
              <w:rPr>
                <w:sz w:val="20"/>
                <w:szCs w:val="20"/>
              </w:rPr>
            </w:pPr>
          </w:p>
        </w:tc>
      </w:tr>
      <w:tr w:rsidR="00805849" w:rsidRPr="00805849" w:rsidTr="001A2FDB">
        <w:trPr>
          <w:trHeight w:val="290"/>
        </w:trPr>
        <w:tc>
          <w:tcPr>
            <w:tcW w:w="3060" w:type="dxa"/>
            <w:tcBorders>
              <w:top w:val="nil"/>
              <w:left w:val="nil"/>
              <w:bottom w:val="nil"/>
              <w:right w:val="nil"/>
            </w:tcBorders>
            <w:shd w:val="clear" w:color="auto" w:fill="auto"/>
            <w:vAlign w:val="bottom"/>
            <w:hideMark/>
          </w:tcPr>
          <w:p w:rsidR="00805849" w:rsidRPr="00805849" w:rsidRDefault="00805849" w:rsidP="00805849">
            <w:pPr>
              <w:rPr>
                <w:rFonts w:ascii="Calibri" w:hAnsi="Calibri" w:cs="Calibri"/>
                <w:color w:val="000000"/>
              </w:rPr>
            </w:pPr>
            <w:r w:rsidRPr="00805849">
              <w:rPr>
                <w:rFonts w:ascii="Calibri" w:hAnsi="Calibri" w:cs="Calibri"/>
                <w:color w:val="000000"/>
              </w:rPr>
              <w:t>ACA without Medicaid expansion</w:t>
            </w:r>
          </w:p>
        </w:tc>
        <w:tc>
          <w:tcPr>
            <w:tcW w:w="1710" w:type="dxa"/>
            <w:tcBorders>
              <w:top w:val="nil"/>
              <w:left w:val="nil"/>
              <w:bottom w:val="nil"/>
              <w:right w:val="nil"/>
            </w:tcBorders>
            <w:shd w:val="clear" w:color="auto" w:fill="auto"/>
            <w:vAlign w:val="bottom"/>
            <w:hideMark/>
          </w:tcPr>
          <w:p w:rsidR="00805849" w:rsidRPr="00805849" w:rsidRDefault="00805849" w:rsidP="00805849">
            <w:pPr>
              <w:jc w:val="center"/>
              <w:rPr>
                <w:rFonts w:ascii="Calibri" w:hAnsi="Calibri" w:cs="Calibri"/>
                <w:color w:val="000000"/>
              </w:rPr>
            </w:pPr>
            <w:r w:rsidRPr="00805849">
              <w:rPr>
                <w:rFonts w:ascii="Calibri" w:hAnsi="Calibri" w:cs="Calibri"/>
                <w:color w:val="000000"/>
              </w:rPr>
              <w:t>-0.0015</w:t>
            </w:r>
          </w:p>
        </w:tc>
        <w:tc>
          <w:tcPr>
            <w:tcW w:w="1657" w:type="dxa"/>
            <w:tcBorders>
              <w:top w:val="nil"/>
              <w:left w:val="nil"/>
              <w:bottom w:val="nil"/>
              <w:right w:val="nil"/>
            </w:tcBorders>
            <w:shd w:val="clear" w:color="auto" w:fill="auto"/>
            <w:vAlign w:val="bottom"/>
            <w:hideMark/>
          </w:tcPr>
          <w:p w:rsidR="00805849" w:rsidRPr="00805849" w:rsidRDefault="00805849" w:rsidP="00805849">
            <w:pPr>
              <w:jc w:val="center"/>
              <w:rPr>
                <w:rFonts w:ascii="Calibri" w:hAnsi="Calibri" w:cs="Calibri"/>
                <w:color w:val="000000"/>
              </w:rPr>
            </w:pPr>
            <w:r w:rsidRPr="00805849">
              <w:rPr>
                <w:rFonts w:ascii="Calibri" w:hAnsi="Calibri" w:cs="Calibri"/>
                <w:color w:val="000000"/>
              </w:rPr>
              <w:t>-0.0023</w:t>
            </w:r>
          </w:p>
        </w:tc>
        <w:tc>
          <w:tcPr>
            <w:tcW w:w="0" w:type="auto"/>
            <w:tcBorders>
              <w:top w:val="nil"/>
              <w:left w:val="nil"/>
              <w:bottom w:val="nil"/>
              <w:right w:val="nil"/>
            </w:tcBorders>
            <w:shd w:val="clear" w:color="auto" w:fill="auto"/>
            <w:vAlign w:val="bottom"/>
            <w:hideMark/>
          </w:tcPr>
          <w:p w:rsidR="00805849" w:rsidRPr="00805849" w:rsidRDefault="00805849" w:rsidP="00805849">
            <w:pPr>
              <w:jc w:val="center"/>
              <w:rPr>
                <w:rFonts w:ascii="Calibri" w:hAnsi="Calibri" w:cs="Calibri"/>
                <w:color w:val="000000"/>
              </w:rPr>
            </w:pPr>
            <w:r w:rsidRPr="00805849">
              <w:rPr>
                <w:rFonts w:ascii="Calibri" w:hAnsi="Calibri" w:cs="Calibri"/>
                <w:color w:val="000000"/>
              </w:rPr>
              <w:t>0.011</w:t>
            </w:r>
          </w:p>
        </w:tc>
        <w:tc>
          <w:tcPr>
            <w:tcW w:w="0" w:type="auto"/>
            <w:tcBorders>
              <w:top w:val="nil"/>
              <w:left w:val="nil"/>
              <w:bottom w:val="nil"/>
              <w:right w:val="nil"/>
            </w:tcBorders>
            <w:shd w:val="clear" w:color="auto" w:fill="auto"/>
            <w:vAlign w:val="bottom"/>
            <w:hideMark/>
          </w:tcPr>
          <w:p w:rsidR="00805849" w:rsidRPr="00805849" w:rsidRDefault="00805849" w:rsidP="00805849">
            <w:pPr>
              <w:jc w:val="center"/>
              <w:rPr>
                <w:rFonts w:ascii="Calibri" w:hAnsi="Calibri" w:cs="Calibri"/>
                <w:color w:val="000000"/>
              </w:rPr>
            </w:pPr>
            <w:r w:rsidRPr="00805849">
              <w:rPr>
                <w:rFonts w:ascii="Calibri" w:hAnsi="Calibri" w:cs="Calibri"/>
                <w:color w:val="000000"/>
              </w:rPr>
              <w:t>0.13</w:t>
            </w:r>
          </w:p>
        </w:tc>
      </w:tr>
      <w:tr w:rsidR="00805849" w:rsidRPr="00805849" w:rsidTr="001A2FDB">
        <w:trPr>
          <w:trHeight w:val="290"/>
        </w:trPr>
        <w:tc>
          <w:tcPr>
            <w:tcW w:w="3060" w:type="dxa"/>
            <w:tcBorders>
              <w:top w:val="nil"/>
              <w:left w:val="nil"/>
              <w:bottom w:val="nil"/>
              <w:right w:val="nil"/>
            </w:tcBorders>
            <w:shd w:val="clear" w:color="auto" w:fill="auto"/>
            <w:vAlign w:val="bottom"/>
            <w:hideMark/>
          </w:tcPr>
          <w:p w:rsidR="00805849" w:rsidRPr="00805849" w:rsidRDefault="00805849" w:rsidP="00805849">
            <w:pPr>
              <w:jc w:val="center"/>
              <w:rPr>
                <w:rFonts w:ascii="Calibri" w:hAnsi="Calibri" w:cs="Calibri"/>
                <w:color w:val="000000"/>
              </w:rPr>
            </w:pPr>
          </w:p>
        </w:tc>
        <w:tc>
          <w:tcPr>
            <w:tcW w:w="1710" w:type="dxa"/>
            <w:tcBorders>
              <w:top w:val="nil"/>
              <w:left w:val="nil"/>
              <w:bottom w:val="nil"/>
              <w:right w:val="nil"/>
            </w:tcBorders>
            <w:shd w:val="clear" w:color="auto" w:fill="auto"/>
            <w:vAlign w:val="bottom"/>
            <w:hideMark/>
          </w:tcPr>
          <w:p w:rsidR="00805849" w:rsidRPr="00805849" w:rsidRDefault="00805849" w:rsidP="00805849">
            <w:pPr>
              <w:rPr>
                <w:sz w:val="20"/>
                <w:szCs w:val="20"/>
              </w:rPr>
            </w:pPr>
          </w:p>
        </w:tc>
        <w:tc>
          <w:tcPr>
            <w:tcW w:w="1657" w:type="dxa"/>
            <w:tcBorders>
              <w:top w:val="nil"/>
              <w:left w:val="nil"/>
              <w:bottom w:val="nil"/>
              <w:right w:val="nil"/>
            </w:tcBorders>
            <w:shd w:val="clear" w:color="auto" w:fill="auto"/>
            <w:vAlign w:val="bottom"/>
            <w:hideMark/>
          </w:tcPr>
          <w:p w:rsidR="00805849" w:rsidRPr="00805849" w:rsidRDefault="00805849" w:rsidP="00805849">
            <w:pPr>
              <w:jc w:val="center"/>
              <w:rPr>
                <w:sz w:val="20"/>
                <w:szCs w:val="20"/>
              </w:rPr>
            </w:pPr>
          </w:p>
        </w:tc>
        <w:tc>
          <w:tcPr>
            <w:tcW w:w="0" w:type="auto"/>
            <w:tcBorders>
              <w:top w:val="nil"/>
              <w:left w:val="nil"/>
              <w:bottom w:val="nil"/>
              <w:right w:val="nil"/>
            </w:tcBorders>
            <w:shd w:val="clear" w:color="auto" w:fill="auto"/>
            <w:vAlign w:val="bottom"/>
            <w:hideMark/>
          </w:tcPr>
          <w:p w:rsidR="00805849" w:rsidRPr="00805849" w:rsidRDefault="00805849" w:rsidP="00805849">
            <w:pPr>
              <w:jc w:val="center"/>
              <w:rPr>
                <w:sz w:val="20"/>
                <w:szCs w:val="20"/>
              </w:rPr>
            </w:pPr>
          </w:p>
        </w:tc>
        <w:tc>
          <w:tcPr>
            <w:tcW w:w="0" w:type="auto"/>
            <w:tcBorders>
              <w:top w:val="nil"/>
              <w:left w:val="nil"/>
              <w:bottom w:val="nil"/>
              <w:right w:val="nil"/>
            </w:tcBorders>
            <w:shd w:val="clear" w:color="auto" w:fill="auto"/>
            <w:vAlign w:val="bottom"/>
            <w:hideMark/>
          </w:tcPr>
          <w:p w:rsidR="00805849" w:rsidRPr="00805849" w:rsidRDefault="00805849" w:rsidP="00805849">
            <w:pPr>
              <w:jc w:val="center"/>
              <w:rPr>
                <w:sz w:val="20"/>
                <w:szCs w:val="20"/>
              </w:rPr>
            </w:pPr>
          </w:p>
        </w:tc>
      </w:tr>
      <w:tr w:rsidR="00805849" w:rsidRPr="00805849" w:rsidTr="001A2FDB">
        <w:trPr>
          <w:trHeight w:val="290"/>
        </w:trPr>
        <w:tc>
          <w:tcPr>
            <w:tcW w:w="3060" w:type="dxa"/>
            <w:tcBorders>
              <w:top w:val="nil"/>
              <w:left w:val="nil"/>
              <w:bottom w:val="nil"/>
              <w:right w:val="nil"/>
            </w:tcBorders>
            <w:shd w:val="clear" w:color="auto" w:fill="auto"/>
            <w:vAlign w:val="bottom"/>
            <w:hideMark/>
          </w:tcPr>
          <w:p w:rsidR="00805849" w:rsidRPr="00805849" w:rsidRDefault="00805849" w:rsidP="00805849">
            <w:pPr>
              <w:rPr>
                <w:rFonts w:ascii="Calibri" w:hAnsi="Calibri" w:cs="Calibri"/>
                <w:color w:val="000000"/>
              </w:rPr>
            </w:pPr>
            <w:r w:rsidRPr="00805849">
              <w:rPr>
                <w:rFonts w:ascii="Calibri" w:hAnsi="Calibri" w:cs="Calibri"/>
                <w:color w:val="000000"/>
              </w:rPr>
              <w:t>Medicaid expansion</w:t>
            </w:r>
          </w:p>
        </w:tc>
        <w:tc>
          <w:tcPr>
            <w:tcW w:w="1710" w:type="dxa"/>
            <w:tcBorders>
              <w:top w:val="nil"/>
              <w:left w:val="nil"/>
              <w:bottom w:val="nil"/>
              <w:right w:val="nil"/>
            </w:tcBorders>
            <w:shd w:val="clear" w:color="auto" w:fill="auto"/>
            <w:vAlign w:val="bottom"/>
            <w:hideMark/>
          </w:tcPr>
          <w:p w:rsidR="00805849" w:rsidRPr="00805849" w:rsidRDefault="00805849" w:rsidP="00805849">
            <w:pPr>
              <w:jc w:val="center"/>
              <w:rPr>
                <w:rFonts w:ascii="Calibri" w:hAnsi="Calibri" w:cs="Calibri"/>
                <w:color w:val="000000"/>
              </w:rPr>
            </w:pPr>
            <w:r w:rsidRPr="00805849">
              <w:rPr>
                <w:rFonts w:ascii="Calibri" w:hAnsi="Calibri" w:cs="Calibri"/>
                <w:color w:val="000000"/>
              </w:rPr>
              <w:t>-0.0050</w:t>
            </w:r>
          </w:p>
        </w:tc>
        <w:tc>
          <w:tcPr>
            <w:tcW w:w="1657" w:type="dxa"/>
            <w:tcBorders>
              <w:top w:val="nil"/>
              <w:left w:val="nil"/>
              <w:bottom w:val="nil"/>
              <w:right w:val="nil"/>
            </w:tcBorders>
            <w:shd w:val="clear" w:color="auto" w:fill="auto"/>
            <w:vAlign w:val="bottom"/>
            <w:hideMark/>
          </w:tcPr>
          <w:p w:rsidR="00805849" w:rsidRPr="00805849" w:rsidRDefault="00805849" w:rsidP="00805849">
            <w:pPr>
              <w:jc w:val="center"/>
              <w:rPr>
                <w:rFonts w:ascii="Calibri" w:hAnsi="Calibri" w:cs="Calibri"/>
                <w:color w:val="000000"/>
              </w:rPr>
            </w:pPr>
            <w:r w:rsidRPr="00805849">
              <w:rPr>
                <w:rFonts w:ascii="Calibri" w:hAnsi="Calibri" w:cs="Calibri"/>
                <w:color w:val="000000"/>
              </w:rPr>
              <w:t>-0.002</w:t>
            </w:r>
          </w:p>
        </w:tc>
        <w:tc>
          <w:tcPr>
            <w:tcW w:w="0" w:type="auto"/>
            <w:tcBorders>
              <w:top w:val="nil"/>
              <w:left w:val="nil"/>
              <w:bottom w:val="nil"/>
              <w:right w:val="nil"/>
            </w:tcBorders>
            <w:shd w:val="clear" w:color="auto" w:fill="auto"/>
            <w:vAlign w:val="bottom"/>
            <w:hideMark/>
          </w:tcPr>
          <w:p w:rsidR="00805849" w:rsidRPr="00805849" w:rsidRDefault="00805849" w:rsidP="00805849">
            <w:pPr>
              <w:jc w:val="center"/>
              <w:rPr>
                <w:rFonts w:ascii="Calibri" w:hAnsi="Calibri" w:cs="Calibri"/>
                <w:color w:val="000000"/>
              </w:rPr>
            </w:pPr>
            <w:r w:rsidRPr="00805849">
              <w:rPr>
                <w:rFonts w:ascii="Calibri" w:hAnsi="Calibri" w:cs="Calibri"/>
                <w:color w:val="000000"/>
              </w:rPr>
              <w:t>-0.001</w:t>
            </w:r>
          </w:p>
        </w:tc>
        <w:tc>
          <w:tcPr>
            <w:tcW w:w="0" w:type="auto"/>
            <w:tcBorders>
              <w:top w:val="nil"/>
              <w:left w:val="nil"/>
              <w:bottom w:val="nil"/>
              <w:right w:val="nil"/>
            </w:tcBorders>
            <w:shd w:val="clear" w:color="auto" w:fill="auto"/>
            <w:vAlign w:val="bottom"/>
            <w:hideMark/>
          </w:tcPr>
          <w:p w:rsidR="00805849" w:rsidRPr="00805849" w:rsidRDefault="00805849" w:rsidP="00805849">
            <w:pPr>
              <w:jc w:val="center"/>
              <w:rPr>
                <w:rFonts w:ascii="Calibri" w:hAnsi="Calibri" w:cs="Calibri"/>
                <w:color w:val="000000"/>
              </w:rPr>
            </w:pPr>
            <w:r w:rsidRPr="00805849">
              <w:rPr>
                <w:rFonts w:ascii="Calibri" w:hAnsi="Calibri" w:cs="Calibri"/>
                <w:color w:val="000000"/>
              </w:rPr>
              <w:t>-0.10</w:t>
            </w:r>
          </w:p>
        </w:tc>
      </w:tr>
      <w:tr w:rsidR="00805849" w:rsidRPr="00805849" w:rsidTr="001A2FDB">
        <w:trPr>
          <w:trHeight w:val="290"/>
        </w:trPr>
        <w:tc>
          <w:tcPr>
            <w:tcW w:w="3060" w:type="dxa"/>
            <w:tcBorders>
              <w:top w:val="nil"/>
              <w:left w:val="nil"/>
              <w:bottom w:val="nil"/>
              <w:right w:val="nil"/>
            </w:tcBorders>
            <w:shd w:val="clear" w:color="auto" w:fill="auto"/>
            <w:vAlign w:val="bottom"/>
            <w:hideMark/>
          </w:tcPr>
          <w:p w:rsidR="00805849" w:rsidRPr="00805849" w:rsidRDefault="00805849" w:rsidP="00805849">
            <w:pPr>
              <w:jc w:val="center"/>
              <w:rPr>
                <w:rFonts w:ascii="Calibri" w:hAnsi="Calibri" w:cs="Calibri"/>
                <w:color w:val="000000"/>
              </w:rPr>
            </w:pPr>
          </w:p>
        </w:tc>
        <w:tc>
          <w:tcPr>
            <w:tcW w:w="1710" w:type="dxa"/>
            <w:tcBorders>
              <w:top w:val="nil"/>
              <w:left w:val="nil"/>
              <w:bottom w:val="nil"/>
              <w:right w:val="nil"/>
            </w:tcBorders>
            <w:shd w:val="clear" w:color="auto" w:fill="auto"/>
            <w:vAlign w:val="bottom"/>
            <w:hideMark/>
          </w:tcPr>
          <w:p w:rsidR="00805849" w:rsidRPr="00805849" w:rsidRDefault="00805849" w:rsidP="00805849">
            <w:pPr>
              <w:rPr>
                <w:sz w:val="20"/>
                <w:szCs w:val="20"/>
              </w:rPr>
            </w:pPr>
          </w:p>
        </w:tc>
        <w:tc>
          <w:tcPr>
            <w:tcW w:w="1657" w:type="dxa"/>
            <w:tcBorders>
              <w:top w:val="nil"/>
              <w:left w:val="nil"/>
              <w:bottom w:val="nil"/>
              <w:right w:val="nil"/>
            </w:tcBorders>
            <w:shd w:val="clear" w:color="auto" w:fill="auto"/>
            <w:vAlign w:val="bottom"/>
            <w:hideMark/>
          </w:tcPr>
          <w:p w:rsidR="00805849" w:rsidRPr="00805849" w:rsidRDefault="00805849" w:rsidP="00805849">
            <w:pPr>
              <w:jc w:val="center"/>
              <w:rPr>
                <w:sz w:val="20"/>
                <w:szCs w:val="20"/>
              </w:rPr>
            </w:pPr>
          </w:p>
        </w:tc>
        <w:tc>
          <w:tcPr>
            <w:tcW w:w="0" w:type="auto"/>
            <w:tcBorders>
              <w:top w:val="nil"/>
              <w:left w:val="nil"/>
              <w:bottom w:val="nil"/>
              <w:right w:val="nil"/>
            </w:tcBorders>
            <w:shd w:val="clear" w:color="auto" w:fill="auto"/>
            <w:vAlign w:val="bottom"/>
            <w:hideMark/>
          </w:tcPr>
          <w:p w:rsidR="00805849" w:rsidRPr="00805849" w:rsidRDefault="00805849" w:rsidP="00805849">
            <w:pPr>
              <w:jc w:val="center"/>
              <w:rPr>
                <w:sz w:val="20"/>
                <w:szCs w:val="20"/>
              </w:rPr>
            </w:pPr>
          </w:p>
        </w:tc>
        <w:tc>
          <w:tcPr>
            <w:tcW w:w="0" w:type="auto"/>
            <w:tcBorders>
              <w:top w:val="nil"/>
              <w:left w:val="nil"/>
              <w:bottom w:val="nil"/>
              <w:right w:val="nil"/>
            </w:tcBorders>
            <w:shd w:val="clear" w:color="auto" w:fill="auto"/>
            <w:vAlign w:val="bottom"/>
            <w:hideMark/>
          </w:tcPr>
          <w:p w:rsidR="00805849" w:rsidRPr="00805849" w:rsidRDefault="00805849" w:rsidP="00805849">
            <w:pPr>
              <w:jc w:val="center"/>
              <w:rPr>
                <w:sz w:val="20"/>
                <w:szCs w:val="20"/>
              </w:rPr>
            </w:pPr>
          </w:p>
        </w:tc>
      </w:tr>
      <w:tr w:rsidR="00805849" w:rsidRPr="00805849" w:rsidTr="001A2FDB">
        <w:trPr>
          <w:trHeight w:val="290"/>
        </w:trPr>
        <w:tc>
          <w:tcPr>
            <w:tcW w:w="3060" w:type="dxa"/>
            <w:tcBorders>
              <w:top w:val="nil"/>
              <w:left w:val="nil"/>
              <w:bottom w:val="single" w:sz="4" w:space="0" w:color="auto"/>
              <w:right w:val="nil"/>
            </w:tcBorders>
            <w:shd w:val="clear" w:color="auto" w:fill="auto"/>
            <w:vAlign w:val="bottom"/>
            <w:hideMark/>
          </w:tcPr>
          <w:p w:rsidR="00805849" w:rsidRPr="00805849" w:rsidRDefault="00805849" w:rsidP="00805849">
            <w:pPr>
              <w:rPr>
                <w:rFonts w:ascii="Calibri" w:hAnsi="Calibri" w:cs="Calibri"/>
                <w:color w:val="000000"/>
              </w:rPr>
            </w:pPr>
            <w:r w:rsidRPr="00805849">
              <w:rPr>
                <w:rFonts w:ascii="Calibri" w:hAnsi="Calibri" w:cs="Calibri"/>
                <w:color w:val="000000"/>
              </w:rPr>
              <w:t>Full ACA</w:t>
            </w:r>
          </w:p>
        </w:tc>
        <w:tc>
          <w:tcPr>
            <w:tcW w:w="1710" w:type="dxa"/>
            <w:tcBorders>
              <w:top w:val="nil"/>
              <w:left w:val="nil"/>
              <w:bottom w:val="single" w:sz="4" w:space="0" w:color="auto"/>
              <w:right w:val="nil"/>
            </w:tcBorders>
            <w:shd w:val="clear" w:color="auto" w:fill="auto"/>
            <w:vAlign w:val="bottom"/>
            <w:hideMark/>
          </w:tcPr>
          <w:p w:rsidR="00805849" w:rsidRPr="00805849" w:rsidRDefault="00805849" w:rsidP="00805849">
            <w:pPr>
              <w:jc w:val="center"/>
              <w:rPr>
                <w:rFonts w:ascii="Calibri" w:hAnsi="Calibri" w:cs="Calibri"/>
                <w:color w:val="000000"/>
              </w:rPr>
            </w:pPr>
            <w:r w:rsidRPr="00805849">
              <w:rPr>
                <w:rFonts w:ascii="Calibri" w:hAnsi="Calibri" w:cs="Calibri"/>
                <w:color w:val="000000"/>
              </w:rPr>
              <w:t>-0.007</w:t>
            </w:r>
          </w:p>
        </w:tc>
        <w:tc>
          <w:tcPr>
            <w:tcW w:w="1657" w:type="dxa"/>
            <w:tcBorders>
              <w:top w:val="nil"/>
              <w:left w:val="nil"/>
              <w:bottom w:val="single" w:sz="4" w:space="0" w:color="auto"/>
              <w:right w:val="nil"/>
            </w:tcBorders>
            <w:shd w:val="clear" w:color="auto" w:fill="auto"/>
            <w:vAlign w:val="bottom"/>
            <w:hideMark/>
          </w:tcPr>
          <w:p w:rsidR="00805849" w:rsidRPr="00805849" w:rsidRDefault="00805849" w:rsidP="00805849">
            <w:pPr>
              <w:jc w:val="center"/>
              <w:rPr>
                <w:rFonts w:ascii="Calibri" w:hAnsi="Calibri" w:cs="Calibri"/>
                <w:color w:val="000000"/>
              </w:rPr>
            </w:pPr>
            <w:r w:rsidRPr="00805849">
              <w:rPr>
                <w:rFonts w:ascii="Calibri" w:hAnsi="Calibri" w:cs="Calibri"/>
                <w:color w:val="000000"/>
              </w:rPr>
              <w:t>-0.005</w:t>
            </w:r>
          </w:p>
        </w:tc>
        <w:tc>
          <w:tcPr>
            <w:tcW w:w="0" w:type="auto"/>
            <w:tcBorders>
              <w:top w:val="nil"/>
              <w:left w:val="nil"/>
              <w:bottom w:val="single" w:sz="4" w:space="0" w:color="auto"/>
              <w:right w:val="nil"/>
            </w:tcBorders>
            <w:shd w:val="clear" w:color="auto" w:fill="auto"/>
            <w:vAlign w:val="bottom"/>
            <w:hideMark/>
          </w:tcPr>
          <w:p w:rsidR="00805849" w:rsidRPr="00805849" w:rsidRDefault="00805849" w:rsidP="00805849">
            <w:pPr>
              <w:jc w:val="center"/>
              <w:rPr>
                <w:rFonts w:ascii="Calibri" w:hAnsi="Calibri" w:cs="Calibri"/>
                <w:color w:val="000000"/>
              </w:rPr>
            </w:pPr>
            <w:r w:rsidRPr="00805849">
              <w:rPr>
                <w:rFonts w:ascii="Calibri" w:hAnsi="Calibri" w:cs="Calibri"/>
                <w:color w:val="000000"/>
              </w:rPr>
              <w:t>0.009</w:t>
            </w:r>
          </w:p>
        </w:tc>
        <w:tc>
          <w:tcPr>
            <w:tcW w:w="0" w:type="auto"/>
            <w:tcBorders>
              <w:top w:val="nil"/>
              <w:left w:val="nil"/>
              <w:bottom w:val="single" w:sz="4" w:space="0" w:color="auto"/>
              <w:right w:val="nil"/>
            </w:tcBorders>
            <w:shd w:val="clear" w:color="auto" w:fill="auto"/>
            <w:vAlign w:val="bottom"/>
            <w:hideMark/>
          </w:tcPr>
          <w:p w:rsidR="00805849" w:rsidRPr="00805849" w:rsidRDefault="00805849" w:rsidP="00805849">
            <w:pPr>
              <w:jc w:val="center"/>
              <w:rPr>
                <w:rFonts w:ascii="Calibri" w:hAnsi="Calibri" w:cs="Calibri"/>
                <w:color w:val="000000"/>
              </w:rPr>
            </w:pPr>
            <w:r w:rsidRPr="00805849">
              <w:rPr>
                <w:rFonts w:ascii="Calibri" w:hAnsi="Calibri" w:cs="Calibri"/>
                <w:color w:val="000000"/>
              </w:rPr>
              <w:t>0.03</w:t>
            </w:r>
          </w:p>
        </w:tc>
      </w:tr>
    </w:tbl>
    <w:p w:rsidR="00805849" w:rsidRDefault="00805849" w:rsidP="00805849">
      <w:pPr>
        <w:spacing w:line="276" w:lineRule="auto"/>
        <w:rPr>
          <w:sz w:val="16"/>
          <w:szCs w:val="16"/>
        </w:rPr>
      </w:pPr>
      <w:r w:rsidRPr="005A43BD">
        <w:rPr>
          <w:i/>
          <w:sz w:val="16"/>
          <w:szCs w:val="16"/>
        </w:rPr>
        <w:t xml:space="preserve">Notes: </w:t>
      </w:r>
      <w:r>
        <w:rPr>
          <w:sz w:val="16"/>
          <w:szCs w:val="16"/>
        </w:rPr>
        <w:t>Standard errors, heteroskedasticity-robust and clustered at the state level, are in parentheses. *** Denotes statistical significance at 1 percent level, ** Denotes statistical significance at 5 percent level,</w:t>
      </w:r>
      <w:r w:rsidRPr="005A43BD">
        <w:rPr>
          <w:sz w:val="16"/>
          <w:szCs w:val="16"/>
        </w:rPr>
        <w:t xml:space="preserve"> </w:t>
      </w:r>
      <w:r>
        <w:rPr>
          <w:sz w:val="16"/>
          <w:szCs w:val="16"/>
        </w:rPr>
        <w:t>* Denotes statistical significance at 10 percent level</w:t>
      </w:r>
    </w:p>
    <w:p w:rsidR="007C6FD8" w:rsidRDefault="007C6FD8" w:rsidP="00805849">
      <w:pPr>
        <w:spacing w:line="276" w:lineRule="auto"/>
        <w:rPr>
          <w:sz w:val="16"/>
          <w:szCs w:val="16"/>
        </w:rPr>
      </w:pPr>
    </w:p>
    <w:p w:rsidR="007C6FD8" w:rsidRPr="005A43BD" w:rsidRDefault="007C6FD8" w:rsidP="00805849">
      <w:pPr>
        <w:spacing w:line="276" w:lineRule="auto"/>
        <w:rPr>
          <w:sz w:val="16"/>
          <w:szCs w:val="16"/>
        </w:rPr>
      </w:pPr>
    </w:p>
    <w:p w:rsidR="001A2FDB" w:rsidRDefault="001A2FDB" w:rsidP="001A2FDB">
      <w:pPr>
        <w:spacing w:line="276" w:lineRule="auto"/>
        <w:rPr>
          <w:sz w:val="16"/>
          <w:szCs w:val="16"/>
        </w:rPr>
      </w:pPr>
    </w:p>
    <w:tbl>
      <w:tblPr>
        <w:tblW w:w="9360" w:type="dxa"/>
        <w:tblLook w:val="04A0" w:firstRow="1" w:lastRow="0" w:firstColumn="1" w:lastColumn="0" w:noHBand="0" w:noVBand="1"/>
      </w:tblPr>
      <w:tblGrid>
        <w:gridCol w:w="3148"/>
        <w:gridCol w:w="1082"/>
        <w:gridCol w:w="2070"/>
        <w:gridCol w:w="1620"/>
        <w:gridCol w:w="1440"/>
      </w:tblGrid>
      <w:tr w:rsidR="001A2FDB" w:rsidRPr="001A2FDB" w:rsidTr="001A2FDB">
        <w:trPr>
          <w:trHeight w:val="286"/>
        </w:trPr>
        <w:tc>
          <w:tcPr>
            <w:tcW w:w="9360" w:type="dxa"/>
            <w:gridSpan w:val="5"/>
            <w:tcBorders>
              <w:top w:val="nil"/>
              <w:left w:val="nil"/>
              <w:bottom w:val="single" w:sz="4" w:space="0" w:color="auto"/>
              <w:right w:val="nil"/>
            </w:tcBorders>
            <w:shd w:val="clear" w:color="auto" w:fill="auto"/>
            <w:noWrap/>
            <w:vAlign w:val="bottom"/>
            <w:hideMark/>
          </w:tcPr>
          <w:p w:rsidR="001A2FDB" w:rsidRPr="001A2FDB" w:rsidRDefault="001A2FDB" w:rsidP="001A2FDB">
            <w:pPr>
              <w:jc w:val="center"/>
              <w:rPr>
                <w:rFonts w:ascii="Calibri" w:hAnsi="Calibri" w:cs="Calibri"/>
                <w:b/>
                <w:bCs/>
                <w:color w:val="000000"/>
                <w:sz w:val="22"/>
                <w:szCs w:val="22"/>
                <w:u w:val="single"/>
              </w:rPr>
            </w:pPr>
            <w:r w:rsidRPr="001A2FDB">
              <w:rPr>
                <w:rFonts w:ascii="Calibri" w:hAnsi="Calibri" w:cs="Calibri"/>
                <w:b/>
                <w:bCs/>
                <w:color w:val="000000"/>
                <w:sz w:val="22"/>
                <w:szCs w:val="22"/>
                <w:u w:val="single"/>
              </w:rPr>
              <w:lastRenderedPageBreak/>
              <w:t xml:space="preserve">Table </w:t>
            </w:r>
            <w:r w:rsidR="00613475">
              <w:rPr>
                <w:rFonts w:ascii="Calibri" w:hAnsi="Calibri" w:cs="Calibri"/>
                <w:b/>
                <w:bCs/>
                <w:color w:val="000000"/>
                <w:sz w:val="22"/>
                <w:szCs w:val="22"/>
                <w:u w:val="single"/>
              </w:rPr>
              <w:t>3</w:t>
            </w:r>
            <w:r w:rsidRPr="001A2FDB">
              <w:rPr>
                <w:rFonts w:ascii="Calibri" w:hAnsi="Calibri" w:cs="Calibri"/>
                <w:b/>
                <w:bCs/>
                <w:color w:val="000000"/>
                <w:sz w:val="22"/>
                <w:szCs w:val="22"/>
                <w:u w:val="single"/>
              </w:rPr>
              <w:t>: DiDiD Event Study</w:t>
            </w:r>
          </w:p>
        </w:tc>
      </w:tr>
      <w:tr w:rsidR="001A2FDB" w:rsidRPr="001A2FDB" w:rsidTr="001A2FDB">
        <w:trPr>
          <w:trHeight w:val="286"/>
        </w:trPr>
        <w:tc>
          <w:tcPr>
            <w:tcW w:w="3148" w:type="dxa"/>
            <w:tcBorders>
              <w:top w:val="nil"/>
              <w:left w:val="nil"/>
              <w:bottom w:val="nil"/>
              <w:right w:val="nil"/>
            </w:tcBorders>
            <w:shd w:val="clear" w:color="auto" w:fill="auto"/>
            <w:noWrap/>
            <w:vAlign w:val="bottom"/>
            <w:hideMark/>
          </w:tcPr>
          <w:p w:rsidR="001A2FDB" w:rsidRPr="001A2FDB" w:rsidRDefault="001A2FDB" w:rsidP="001A2FDB">
            <w:pPr>
              <w:jc w:val="center"/>
              <w:rPr>
                <w:rFonts w:ascii="Calibri" w:hAnsi="Calibri" w:cs="Calibri"/>
                <w:b/>
                <w:bCs/>
                <w:color w:val="000000"/>
                <w:sz w:val="22"/>
                <w:szCs w:val="22"/>
                <w:u w:val="single"/>
              </w:rPr>
            </w:pPr>
          </w:p>
        </w:tc>
        <w:tc>
          <w:tcPr>
            <w:tcW w:w="1082" w:type="dxa"/>
            <w:tcBorders>
              <w:top w:val="nil"/>
              <w:left w:val="nil"/>
              <w:bottom w:val="single" w:sz="4" w:space="0" w:color="auto"/>
              <w:right w:val="nil"/>
            </w:tcBorders>
            <w:shd w:val="clear" w:color="auto" w:fill="auto"/>
            <w:noWrap/>
            <w:vAlign w:val="bottom"/>
            <w:hideMark/>
          </w:tcPr>
          <w:p w:rsidR="001A2FDB" w:rsidRPr="001A2FDB" w:rsidRDefault="001A2FDB" w:rsidP="001A2FDB">
            <w:pPr>
              <w:jc w:val="center"/>
              <w:rPr>
                <w:rFonts w:ascii="Calibri" w:hAnsi="Calibri" w:cs="Calibri"/>
                <w:color w:val="000000"/>
                <w:sz w:val="22"/>
                <w:szCs w:val="22"/>
              </w:rPr>
            </w:pPr>
            <w:proofErr w:type="gramStart"/>
            <w:r w:rsidRPr="001A2FDB">
              <w:rPr>
                <w:rFonts w:ascii="Calibri" w:hAnsi="Calibri" w:cs="Calibri"/>
                <w:color w:val="000000"/>
                <w:sz w:val="22"/>
                <w:szCs w:val="22"/>
              </w:rPr>
              <w:t>ln(</w:t>
            </w:r>
            <w:proofErr w:type="gramEnd"/>
            <w:r w:rsidRPr="001A2FDB">
              <w:rPr>
                <w:rFonts w:ascii="Calibri" w:hAnsi="Calibri" w:cs="Calibri"/>
                <w:color w:val="000000"/>
                <w:sz w:val="22"/>
                <w:szCs w:val="22"/>
              </w:rPr>
              <w:t>Wage)</w:t>
            </w:r>
          </w:p>
        </w:tc>
        <w:tc>
          <w:tcPr>
            <w:tcW w:w="2070" w:type="dxa"/>
            <w:tcBorders>
              <w:top w:val="nil"/>
              <w:left w:val="nil"/>
              <w:bottom w:val="single" w:sz="4" w:space="0" w:color="auto"/>
              <w:right w:val="nil"/>
            </w:tcBorders>
            <w:shd w:val="clear" w:color="auto" w:fill="auto"/>
            <w:noWrap/>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Labor Force Participation</w:t>
            </w:r>
          </w:p>
        </w:tc>
        <w:tc>
          <w:tcPr>
            <w:tcW w:w="1620" w:type="dxa"/>
            <w:tcBorders>
              <w:top w:val="nil"/>
              <w:left w:val="nil"/>
              <w:bottom w:val="single" w:sz="4" w:space="0" w:color="auto"/>
              <w:right w:val="nil"/>
            </w:tcBorders>
            <w:shd w:val="clear" w:color="auto" w:fill="auto"/>
            <w:noWrap/>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Employed</w:t>
            </w:r>
          </w:p>
        </w:tc>
        <w:tc>
          <w:tcPr>
            <w:tcW w:w="1440" w:type="dxa"/>
            <w:tcBorders>
              <w:top w:val="nil"/>
              <w:left w:val="nil"/>
              <w:bottom w:val="single" w:sz="4" w:space="0" w:color="auto"/>
              <w:right w:val="nil"/>
            </w:tcBorders>
            <w:shd w:val="clear" w:color="auto" w:fill="auto"/>
            <w:noWrap/>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Usual Hours Worked</w:t>
            </w:r>
          </w:p>
        </w:tc>
      </w:tr>
      <w:tr w:rsidR="001A2FDB" w:rsidRPr="001A2FDB" w:rsidTr="001A2FDB">
        <w:trPr>
          <w:trHeight w:val="286"/>
        </w:trPr>
        <w:tc>
          <w:tcPr>
            <w:tcW w:w="3148"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p>
        </w:tc>
        <w:tc>
          <w:tcPr>
            <w:tcW w:w="1082" w:type="dxa"/>
            <w:tcBorders>
              <w:top w:val="nil"/>
              <w:left w:val="nil"/>
              <w:bottom w:val="nil"/>
              <w:right w:val="nil"/>
            </w:tcBorders>
            <w:shd w:val="clear" w:color="auto" w:fill="auto"/>
            <w:vAlign w:val="bottom"/>
            <w:hideMark/>
          </w:tcPr>
          <w:p w:rsidR="001A2FDB" w:rsidRPr="001A2FDB" w:rsidRDefault="001A2FDB" w:rsidP="001A2FDB">
            <w:pPr>
              <w:rPr>
                <w:sz w:val="20"/>
                <w:szCs w:val="20"/>
              </w:rPr>
            </w:pPr>
          </w:p>
        </w:tc>
        <w:tc>
          <w:tcPr>
            <w:tcW w:w="2070" w:type="dxa"/>
            <w:tcBorders>
              <w:top w:val="nil"/>
              <w:left w:val="nil"/>
              <w:bottom w:val="nil"/>
              <w:right w:val="nil"/>
            </w:tcBorders>
            <w:shd w:val="clear" w:color="auto" w:fill="auto"/>
            <w:vAlign w:val="bottom"/>
            <w:hideMark/>
          </w:tcPr>
          <w:p w:rsidR="001A2FDB" w:rsidRPr="001A2FDB" w:rsidRDefault="001A2FDB" w:rsidP="001A2FDB">
            <w:pPr>
              <w:jc w:val="center"/>
              <w:rPr>
                <w:sz w:val="20"/>
                <w:szCs w:val="20"/>
              </w:rPr>
            </w:pPr>
          </w:p>
        </w:tc>
        <w:tc>
          <w:tcPr>
            <w:tcW w:w="1620" w:type="dxa"/>
            <w:tcBorders>
              <w:top w:val="nil"/>
              <w:left w:val="nil"/>
              <w:bottom w:val="nil"/>
              <w:right w:val="nil"/>
            </w:tcBorders>
            <w:shd w:val="clear" w:color="auto" w:fill="auto"/>
            <w:vAlign w:val="bottom"/>
            <w:hideMark/>
          </w:tcPr>
          <w:p w:rsidR="001A2FDB" w:rsidRPr="001A2FDB" w:rsidRDefault="001A2FDB" w:rsidP="001A2FDB">
            <w:pPr>
              <w:jc w:val="center"/>
              <w:rPr>
                <w:sz w:val="20"/>
                <w:szCs w:val="20"/>
              </w:rPr>
            </w:pPr>
          </w:p>
        </w:tc>
        <w:tc>
          <w:tcPr>
            <w:tcW w:w="1440" w:type="dxa"/>
            <w:tcBorders>
              <w:top w:val="nil"/>
              <w:left w:val="nil"/>
              <w:bottom w:val="nil"/>
              <w:right w:val="nil"/>
            </w:tcBorders>
            <w:shd w:val="clear" w:color="auto" w:fill="auto"/>
            <w:vAlign w:val="bottom"/>
            <w:hideMark/>
          </w:tcPr>
          <w:p w:rsidR="001A2FDB" w:rsidRPr="001A2FDB" w:rsidRDefault="001A2FDB" w:rsidP="001A2FDB">
            <w:pPr>
              <w:jc w:val="center"/>
              <w:rPr>
                <w:sz w:val="20"/>
                <w:szCs w:val="20"/>
              </w:rPr>
            </w:pPr>
          </w:p>
        </w:tc>
      </w:tr>
      <w:tr w:rsidR="001A2FDB" w:rsidRPr="001A2FDB" w:rsidTr="001A2FDB">
        <w:trPr>
          <w:trHeight w:val="286"/>
        </w:trPr>
        <w:tc>
          <w:tcPr>
            <w:tcW w:w="3148" w:type="dxa"/>
            <w:tcBorders>
              <w:top w:val="nil"/>
              <w:left w:val="nil"/>
              <w:bottom w:val="nil"/>
              <w:right w:val="nil"/>
            </w:tcBorders>
            <w:shd w:val="clear" w:color="auto" w:fill="auto"/>
            <w:vAlign w:val="bottom"/>
            <w:hideMark/>
          </w:tcPr>
          <w:p w:rsidR="001A2FDB" w:rsidRPr="001A2FDB" w:rsidRDefault="001A2FDB" w:rsidP="001A2FDB">
            <w:pPr>
              <w:rPr>
                <w:rFonts w:ascii="Calibri" w:hAnsi="Calibri" w:cs="Calibri"/>
                <w:color w:val="000000"/>
                <w:sz w:val="22"/>
                <w:szCs w:val="22"/>
              </w:rPr>
            </w:pPr>
            <w:r w:rsidRPr="001A2FDB">
              <w:rPr>
                <w:rFonts w:ascii="Calibri" w:hAnsi="Calibri" w:cs="Calibri"/>
                <w:color w:val="000000"/>
                <w:sz w:val="22"/>
                <w:szCs w:val="22"/>
              </w:rPr>
              <w:t>Uninsured x 2011</w:t>
            </w:r>
          </w:p>
        </w:tc>
        <w:tc>
          <w:tcPr>
            <w:tcW w:w="1082"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0.0822</w:t>
            </w:r>
          </w:p>
        </w:tc>
        <w:tc>
          <w:tcPr>
            <w:tcW w:w="207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0.0166</w:t>
            </w:r>
          </w:p>
        </w:tc>
        <w:tc>
          <w:tcPr>
            <w:tcW w:w="162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0.00157</w:t>
            </w:r>
          </w:p>
        </w:tc>
        <w:tc>
          <w:tcPr>
            <w:tcW w:w="144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-0.155</w:t>
            </w:r>
          </w:p>
        </w:tc>
      </w:tr>
      <w:tr w:rsidR="001A2FDB" w:rsidRPr="001A2FDB" w:rsidTr="001A2FDB">
        <w:trPr>
          <w:trHeight w:val="286"/>
        </w:trPr>
        <w:tc>
          <w:tcPr>
            <w:tcW w:w="3148"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p>
        </w:tc>
        <w:tc>
          <w:tcPr>
            <w:tcW w:w="1082"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(0.0513)</w:t>
            </w:r>
          </w:p>
        </w:tc>
        <w:tc>
          <w:tcPr>
            <w:tcW w:w="207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(0.0275)</w:t>
            </w:r>
          </w:p>
        </w:tc>
        <w:tc>
          <w:tcPr>
            <w:tcW w:w="162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(0.0171)</w:t>
            </w:r>
          </w:p>
        </w:tc>
        <w:tc>
          <w:tcPr>
            <w:tcW w:w="144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(0.5777)</w:t>
            </w:r>
          </w:p>
        </w:tc>
      </w:tr>
      <w:tr w:rsidR="001A2FDB" w:rsidRPr="001A2FDB" w:rsidTr="001A2FDB">
        <w:trPr>
          <w:trHeight w:val="286"/>
        </w:trPr>
        <w:tc>
          <w:tcPr>
            <w:tcW w:w="3148"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p>
        </w:tc>
        <w:tc>
          <w:tcPr>
            <w:tcW w:w="1082" w:type="dxa"/>
            <w:tcBorders>
              <w:top w:val="nil"/>
              <w:left w:val="nil"/>
              <w:bottom w:val="nil"/>
              <w:right w:val="nil"/>
            </w:tcBorders>
            <w:shd w:val="clear" w:color="auto" w:fill="auto"/>
            <w:vAlign w:val="bottom"/>
            <w:hideMark/>
          </w:tcPr>
          <w:p w:rsidR="001A2FDB" w:rsidRPr="001A2FDB" w:rsidRDefault="001A2FDB" w:rsidP="001A2FDB">
            <w:pPr>
              <w:rPr>
                <w:sz w:val="20"/>
                <w:szCs w:val="20"/>
              </w:rPr>
            </w:pPr>
          </w:p>
        </w:tc>
        <w:tc>
          <w:tcPr>
            <w:tcW w:w="2070" w:type="dxa"/>
            <w:tcBorders>
              <w:top w:val="nil"/>
              <w:left w:val="nil"/>
              <w:bottom w:val="nil"/>
              <w:right w:val="nil"/>
            </w:tcBorders>
            <w:shd w:val="clear" w:color="auto" w:fill="auto"/>
            <w:vAlign w:val="bottom"/>
            <w:hideMark/>
          </w:tcPr>
          <w:p w:rsidR="001A2FDB" w:rsidRPr="001A2FDB" w:rsidRDefault="001A2FDB" w:rsidP="001A2FDB">
            <w:pPr>
              <w:jc w:val="center"/>
              <w:rPr>
                <w:sz w:val="20"/>
                <w:szCs w:val="20"/>
              </w:rPr>
            </w:pPr>
          </w:p>
        </w:tc>
        <w:tc>
          <w:tcPr>
            <w:tcW w:w="1620" w:type="dxa"/>
            <w:tcBorders>
              <w:top w:val="nil"/>
              <w:left w:val="nil"/>
              <w:bottom w:val="nil"/>
              <w:right w:val="nil"/>
            </w:tcBorders>
            <w:shd w:val="clear" w:color="auto" w:fill="auto"/>
            <w:vAlign w:val="bottom"/>
            <w:hideMark/>
          </w:tcPr>
          <w:p w:rsidR="001A2FDB" w:rsidRPr="001A2FDB" w:rsidRDefault="001A2FDB" w:rsidP="001A2FDB">
            <w:pPr>
              <w:jc w:val="center"/>
              <w:rPr>
                <w:sz w:val="20"/>
                <w:szCs w:val="20"/>
              </w:rPr>
            </w:pPr>
          </w:p>
        </w:tc>
        <w:tc>
          <w:tcPr>
            <w:tcW w:w="1440" w:type="dxa"/>
            <w:tcBorders>
              <w:top w:val="nil"/>
              <w:left w:val="nil"/>
              <w:bottom w:val="nil"/>
              <w:right w:val="nil"/>
            </w:tcBorders>
            <w:shd w:val="clear" w:color="auto" w:fill="auto"/>
            <w:vAlign w:val="bottom"/>
            <w:hideMark/>
          </w:tcPr>
          <w:p w:rsidR="001A2FDB" w:rsidRPr="001A2FDB" w:rsidRDefault="001A2FDB" w:rsidP="001A2FDB">
            <w:pPr>
              <w:jc w:val="center"/>
              <w:rPr>
                <w:sz w:val="20"/>
                <w:szCs w:val="20"/>
              </w:rPr>
            </w:pPr>
          </w:p>
        </w:tc>
      </w:tr>
      <w:tr w:rsidR="001A2FDB" w:rsidRPr="001A2FDB" w:rsidTr="001A2FDB">
        <w:trPr>
          <w:trHeight w:val="286"/>
        </w:trPr>
        <w:tc>
          <w:tcPr>
            <w:tcW w:w="3148" w:type="dxa"/>
            <w:tcBorders>
              <w:top w:val="nil"/>
              <w:left w:val="nil"/>
              <w:bottom w:val="nil"/>
              <w:right w:val="nil"/>
            </w:tcBorders>
            <w:shd w:val="clear" w:color="auto" w:fill="auto"/>
            <w:vAlign w:val="bottom"/>
            <w:hideMark/>
          </w:tcPr>
          <w:p w:rsidR="001A2FDB" w:rsidRPr="001A2FDB" w:rsidRDefault="001A2FDB" w:rsidP="001A2FDB">
            <w:pPr>
              <w:rPr>
                <w:rFonts w:ascii="Calibri" w:hAnsi="Calibri" w:cs="Calibri"/>
                <w:color w:val="000000"/>
                <w:sz w:val="22"/>
                <w:szCs w:val="22"/>
              </w:rPr>
            </w:pPr>
            <w:r w:rsidRPr="001A2FDB">
              <w:rPr>
                <w:rFonts w:ascii="Calibri" w:hAnsi="Calibri" w:cs="Calibri"/>
                <w:color w:val="000000"/>
                <w:sz w:val="22"/>
                <w:szCs w:val="22"/>
              </w:rPr>
              <w:t>Uninsured x 2012</w:t>
            </w:r>
          </w:p>
        </w:tc>
        <w:tc>
          <w:tcPr>
            <w:tcW w:w="1082"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0.00515</w:t>
            </w:r>
          </w:p>
        </w:tc>
        <w:tc>
          <w:tcPr>
            <w:tcW w:w="207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0.00971</w:t>
            </w:r>
          </w:p>
        </w:tc>
        <w:tc>
          <w:tcPr>
            <w:tcW w:w="162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0.0138</w:t>
            </w:r>
          </w:p>
        </w:tc>
        <w:tc>
          <w:tcPr>
            <w:tcW w:w="144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-0.704</w:t>
            </w:r>
          </w:p>
        </w:tc>
      </w:tr>
      <w:tr w:rsidR="001A2FDB" w:rsidRPr="001A2FDB" w:rsidTr="001A2FDB">
        <w:trPr>
          <w:trHeight w:val="286"/>
        </w:trPr>
        <w:tc>
          <w:tcPr>
            <w:tcW w:w="3148"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p>
        </w:tc>
        <w:tc>
          <w:tcPr>
            <w:tcW w:w="1082"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(0.0495)</w:t>
            </w:r>
          </w:p>
        </w:tc>
        <w:tc>
          <w:tcPr>
            <w:tcW w:w="207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(0.0163)</w:t>
            </w:r>
          </w:p>
        </w:tc>
        <w:tc>
          <w:tcPr>
            <w:tcW w:w="162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(0.0207)</w:t>
            </w:r>
          </w:p>
        </w:tc>
        <w:tc>
          <w:tcPr>
            <w:tcW w:w="144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(0.6121)</w:t>
            </w:r>
          </w:p>
        </w:tc>
      </w:tr>
      <w:tr w:rsidR="001A2FDB" w:rsidRPr="001A2FDB" w:rsidTr="001A2FDB">
        <w:trPr>
          <w:trHeight w:val="286"/>
        </w:trPr>
        <w:tc>
          <w:tcPr>
            <w:tcW w:w="3148"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p>
        </w:tc>
        <w:tc>
          <w:tcPr>
            <w:tcW w:w="1082" w:type="dxa"/>
            <w:tcBorders>
              <w:top w:val="nil"/>
              <w:left w:val="nil"/>
              <w:bottom w:val="nil"/>
              <w:right w:val="nil"/>
            </w:tcBorders>
            <w:shd w:val="clear" w:color="auto" w:fill="auto"/>
            <w:vAlign w:val="bottom"/>
            <w:hideMark/>
          </w:tcPr>
          <w:p w:rsidR="001A2FDB" w:rsidRPr="001A2FDB" w:rsidRDefault="001A2FDB" w:rsidP="001A2FDB">
            <w:pPr>
              <w:rPr>
                <w:sz w:val="20"/>
                <w:szCs w:val="20"/>
              </w:rPr>
            </w:pPr>
          </w:p>
        </w:tc>
        <w:tc>
          <w:tcPr>
            <w:tcW w:w="2070" w:type="dxa"/>
            <w:tcBorders>
              <w:top w:val="nil"/>
              <w:left w:val="nil"/>
              <w:bottom w:val="nil"/>
              <w:right w:val="nil"/>
            </w:tcBorders>
            <w:shd w:val="clear" w:color="auto" w:fill="auto"/>
            <w:vAlign w:val="bottom"/>
            <w:hideMark/>
          </w:tcPr>
          <w:p w:rsidR="001A2FDB" w:rsidRPr="001A2FDB" w:rsidRDefault="001A2FDB" w:rsidP="001A2FDB">
            <w:pPr>
              <w:jc w:val="center"/>
              <w:rPr>
                <w:sz w:val="20"/>
                <w:szCs w:val="20"/>
              </w:rPr>
            </w:pPr>
          </w:p>
        </w:tc>
        <w:tc>
          <w:tcPr>
            <w:tcW w:w="1620" w:type="dxa"/>
            <w:tcBorders>
              <w:top w:val="nil"/>
              <w:left w:val="nil"/>
              <w:bottom w:val="nil"/>
              <w:right w:val="nil"/>
            </w:tcBorders>
            <w:shd w:val="clear" w:color="auto" w:fill="auto"/>
            <w:vAlign w:val="bottom"/>
            <w:hideMark/>
          </w:tcPr>
          <w:p w:rsidR="001A2FDB" w:rsidRPr="001A2FDB" w:rsidRDefault="001A2FDB" w:rsidP="001A2FDB">
            <w:pPr>
              <w:jc w:val="center"/>
              <w:rPr>
                <w:sz w:val="20"/>
                <w:szCs w:val="20"/>
              </w:rPr>
            </w:pPr>
          </w:p>
        </w:tc>
        <w:tc>
          <w:tcPr>
            <w:tcW w:w="1440" w:type="dxa"/>
            <w:tcBorders>
              <w:top w:val="nil"/>
              <w:left w:val="nil"/>
              <w:bottom w:val="nil"/>
              <w:right w:val="nil"/>
            </w:tcBorders>
            <w:shd w:val="clear" w:color="auto" w:fill="auto"/>
            <w:vAlign w:val="bottom"/>
            <w:hideMark/>
          </w:tcPr>
          <w:p w:rsidR="001A2FDB" w:rsidRPr="001A2FDB" w:rsidRDefault="001A2FDB" w:rsidP="001A2FDB">
            <w:pPr>
              <w:jc w:val="center"/>
              <w:rPr>
                <w:sz w:val="20"/>
                <w:szCs w:val="20"/>
              </w:rPr>
            </w:pPr>
          </w:p>
        </w:tc>
      </w:tr>
      <w:tr w:rsidR="001A2FDB" w:rsidRPr="001A2FDB" w:rsidTr="001A2FDB">
        <w:trPr>
          <w:trHeight w:val="286"/>
        </w:trPr>
        <w:tc>
          <w:tcPr>
            <w:tcW w:w="3148" w:type="dxa"/>
            <w:tcBorders>
              <w:top w:val="nil"/>
              <w:left w:val="nil"/>
              <w:bottom w:val="nil"/>
              <w:right w:val="nil"/>
            </w:tcBorders>
            <w:shd w:val="clear" w:color="auto" w:fill="auto"/>
            <w:vAlign w:val="bottom"/>
            <w:hideMark/>
          </w:tcPr>
          <w:p w:rsidR="001A2FDB" w:rsidRPr="001A2FDB" w:rsidRDefault="001A2FDB" w:rsidP="001A2FDB">
            <w:pPr>
              <w:rPr>
                <w:rFonts w:ascii="Calibri" w:hAnsi="Calibri" w:cs="Calibri"/>
                <w:color w:val="000000"/>
                <w:sz w:val="22"/>
                <w:szCs w:val="22"/>
              </w:rPr>
            </w:pPr>
            <w:r w:rsidRPr="001A2FDB">
              <w:rPr>
                <w:rFonts w:ascii="Calibri" w:hAnsi="Calibri" w:cs="Calibri"/>
                <w:color w:val="000000"/>
                <w:sz w:val="22"/>
                <w:szCs w:val="22"/>
              </w:rPr>
              <w:t>Uninsured x 2014</w:t>
            </w:r>
          </w:p>
        </w:tc>
        <w:tc>
          <w:tcPr>
            <w:tcW w:w="1082"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0.0411</w:t>
            </w:r>
          </w:p>
        </w:tc>
        <w:tc>
          <w:tcPr>
            <w:tcW w:w="207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-0.00574</w:t>
            </w:r>
          </w:p>
        </w:tc>
        <w:tc>
          <w:tcPr>
            <w:tcW w:w="162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0.0466**</w:t>
            </w:r>
          </w:p>
        </w:tc>
        <w:tc>
          <w:tcPr>
            <w:tcW w:w="144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-0.243</w:t>
            </w:r>
          </w:p>
        </w:tc>
      </w:tr>
      <w:tr w:rsidR="001A2FDB" w:rsidRPr="001A2FDB" w:rsidTr="001A2FDB">
        <w:trPr>
          <w:trHeight w:val="286"/>
        </w:trPr>
        <w:tc>
          <w:tcPr>
            <w:tcW w:w="3148"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p>
        </w:tc>
        <w:tc>
          <w:tcPr>
            <w:tcW w:w="1082"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(0.0474)</w:t>
            </w:r>
          </w:p>
        </w:tc>
        <w:tc>
          <w:tcPr>
            <w:tcW w:w="207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(0.0319)</w:t>
            </w:r>
          </w:p>
        </w:tc>
        <w:tc>
          <w:tcPr>
            <w:tcW w:w="162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(0.0177)</w:t>
            </w:r>
          </w:p>
        </w:tc>
        <w:tc>
          <w:tcPr>
            <w:tcW w:w="144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(0.4716)</w:t>
            </w:r>
          </w:p>
        </w:tc>
      </w:tr>
      <w:tr w:rsidR="001A2FDB" w:rsidRPr="001A2FDB" w:rsidTr="001A2FDB">
        <w:trPr>
          <w:trHeight w:val="286"/>
        </w:trPr>
        <w:tc>
          <w:tcPr>
            <w:tcW w:w="3148"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p>
        </w:tc>
        <w:tc>
          <w:tcPr>
            <w:tcW w:w="1082" w:type="dxa"/>
            <w:tcBorders>
              <w:top w:val="nil"/>
              <w:left w:val="nil"/>
              <w:bottom w:val="nil"/>
              <w:right w:val="nil"/>
            </w:tcBorders>
            <w:shd w:val="clear" w:color="auto" w:fill="auto"/>
            <w:vAlign w:val="bottom"/>
            <w:hideMark/>
          </w:tcPr>
          <w:p w:rsidR="001A2FDB" w:rsidRPr="001A2FDB" w:rsidRDefault="001A2FDB" w:rsidP="001A2FDB">
            <w:pPr>
              <w:rPr>
                <w:sz w:val="20"/>
                <w:szCs w:val="20"/>
              </w:rPr>
            </w:pPr>
          </w:p>
        </w:tc>
        <w:tc>
          <w:tcPr>
            <w:tcW w:w="2070" w:type="dxa"/>
            <w:tcBorders>
              <w:top w:val="nil"/>
              <w:left w:val="nil"/>
              <w:bottom w:val="nil"/>
              <w:right w:val="nil"/>
            </w:tcBorders>
            <w:shd w:val="clear" w:color="auto" w:fill="auto"/>
            <w:vAlign w:val="bottom"/>
            <w:hideMark/>
          </w:tcPr>
          <w:p w:rsidR="001A2FDB" w:rsidRPr="001A2FDB" w:rsidRDefault="001A2FDB" w:rsidP="001A2FDB">
            <w:pPr>
              <w:jc w:val="center"/>
              <w:rPr>
                <w:sz w:val="20"/>
                <w:szCs w:val="20"/>
              </w:rPr>
            </w:pPr>
          </w:p>
        </w:tc>
        <w:tc>
          <w:tcPr>
            <w:tcW w:w="1620" w:type="dxa"/>
            <w:tcBorders>
              <w:top w:val="nil"/>
              <w:left w:val="nil"/>
              <w:bottom w:val="nil"/>
              <w:right w:val="nil"/>
            </w:tcBorders>
            <w:shd w:val="clear" w:color="auto" w:fill="auto"/>
            <w:vAlign w:val="bottom"/>
            <w:hideMark/>
          </w:tcPr>
          <w:p w:rsidR="001A2FDB" w:rsidRPr="001A2FDB" w:rsidRDefault="001A2FDB" w:rsidP="001A2FDB">
            <w:pPr>
              <w:jc w:val="center"/>
              <w:rPr>
                <w:sz w:val="20"/>
                <w:szCs w:val="20"/>
              </w:rPr>
            </w:pPr>
          </w:p>
        </w:tc>
        <w:tc>
          <w:tcPr>
            <w:tcW w:w="1440" w:type="dxa"/>
            <w:tcBorders>
              <w:top w:val="nil"/>
              <w:left w:val="nil"/>
              <w:bottom w:val="nil"/>
              <w:right w:val="nil"/>
            </w:tcBorders>
            <w:shd w:val="clear" w:color="auto" w:fill="auto"/>
            <w:vAlign w:val="bottom"/>
            <w:hideMark/>
          </w:tcPr>
          <w:p w:rsidR="001A2FDB" w:rsidRPr="001A2FDB" w:rsidRDefault="001A2FDB" w:rsidP="001A2FDB">
            <w:pPr>
              <w:jc w:val="center"/>
              <w:rPr>
                <w:sz w:val="20"/>
                <w:szCs w:val="20"/>
              </w:rPr>
            </w:pPr>
          </w:p>
        </w:tc>
      </w:tr>
      <w:tr w:rsidR="001A2FDB" w:rsidRPr="001A2FDB" w:rsidTr="001A2FDB">
        <w:trPr>
          <w:trHeight w:val="276"/>
        </w:trPr>
        <w:tc>
          <w:tcPr>
            <w:tcW w:w="3148" w:type="dxa"/>
            <w:tcBorders>
              <w:top w:val="nil"/>
              <w:left w:val="nil"/>
              <w:bottom w:val="nil"/>
              <w:right w:val="nil"/>
            </w:tcBorders>
            <w:shd w:val="clear" w:color="auto" w:fill="auto"/>
            <w:vAlign w:val="bottom"/>
            <w:hideMark/>
          </w:tcPr>
          <w:p w:rsidR="001A2FDB" w:rsidRPr="001A2FDB" w:rsidRDefault="001A2FDB" w:rsidP="001A2FDB">
            <w:pPr>
              <w:rPr>
                <w:rFonts w:ascii="Calibri" w:hAnsi="Calibri" w:cs="Calibri"/>
                <w:color w:val="000000"/>
                <w:sz w:val="22"/>
                <w:szCs w:val="22"/>
              </w:rPr>
            </w:pPr>
            <w:r w:rsidRPr="001A2FDB">
              <w:rPr>
                <w:rFonts w:ascii="Calibri" w:hAnsi="Calibri" w:cs="Calibri"/>
                <w:color w:val="000000"/>
                <w:sz w:val="22"/>
                <w:szCs w:val="22"/>
              </w:rPr>
              <w:t>Uninsured x 2015</w:t>
            </w:r>
          </w:p>
        </w:tc>
        <w:tc>
          <w:tcPr>
            <w:tcW w:w="1082"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0.0315</w:t>
            </w:r>
          </w:p>
        </w:tc>
        <w:tc>
          <w:tcPr>
            <w:tcW w:w="207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0.0169</w:t>
            </w:r>
          </w:p>
        </w:tc>
        <w:tc>
          <w:tcPr>
            <w:tcW w:w="162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0.0613***</w:t>
            </w:r>
          </w:p>
        </w:tc>
        <w:tc>
          <w:tcPr>
            <w:tcW w:w="144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0.732</w:t>
            </w:r>
          </w:p>
        </w:tc>
      </w:tr>
      <w:tr w:rsidR="001A2FDB" w:rsidRPr="001A2FDB" w:rsidTr="001A2FDB">
        <w:trPr>
          <w:trHeight w:val="286"/>
        </w:trPr>
        <w:tc>
          <w:tcPr>
            <w:tcW w:w="3148"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p>
        </w:tc>
        <w:tc>
          <w:tcPr>
            <w:tcW w:w="1082"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(0.0568)</w:t>
            </w:r>
          </w:p>
        </w:tc>
        <w:tc>
          <w:tcPr>
            <w:tcW w:w="207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(0.0375)</w:t>
            </w:r>
          </w:p>
        </w:tc>
        <w:tc>
          <w:tcPr>
            <w:tcW w:w="162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(0.0215)</w:t>
            </w:r>
          </w:p>
        </w:tc>
        <w:tc>
          <w:tcPr>
            <w:tcW w:w="144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(0.7569)</w:t>
            </w:r>
          </w:p>
        </w:tc>
      </w:tr>
      <w:tr w:rsidR="001A2FDB" w:rsidRPr="001A2FDB" w:rsidTr="001A2FDB">
        <w:trPr>
          <w:trHeight w:val="286"/>
        </w:trPr>
        <w:tc>
          <w:tcPr>
            <w:tcW w:w="3148"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p>
        </w:tc>
        <w:tc>
          <w:tcPr>
            <w:tcW w:w="1082" w:type="dxa"/>
            <w:tcBorders>
              <w:top w:val="nil"/>
              <w:left w:val="nil"/>
              <w:bottom w:val="nil"/>
              <w:right w:val="nil"/>
            </w:tcBorders>
            <w:shd w:val="clear" w:color="auto" w:fill="auto"/>
            <w:vAlign w:val="bottom"/>
            <w:hideMark/>
          </w:tcPr>
          <w:p w:rsidR="001A2FDB" w:rsidRPr="001A2FDB" w:rsidRDefault="001A2FDB" w:rsidP="001A2FDB">
            <w:pPr>
              <w:rPr>
                <w:sz w:val="20"/>
                <w:szCs w:val="20"/>
              </w:rPr>
            </w:pPr>
          </w:p>
        </w:tc>
        <w:tc>
          <w:tcPr>
            <w:tcW w:w="2070" w:type="dxa"/>
            <w:tcBorders>
              <w:top w:val="nil"/>
              <w:left w:val="nil"/>
              <w:bottom w:val="nil"/>
              <w:right w:val="nil"/>
            </w:tcBorders>
            <w:shd w:val="clear" w:color="auto" w:fill="auto"/>
            <w:vAlign w:val="bottom"/>
            <w:hideMark/>
          </w:tcPr>
          <w:p w:rsidR="001A2FDB" w:rsidRPr="001A2FDB" w:rsidRDefault="001A2FDB" w:rsidP="001A2FDB">
            <w:pPr>
              <w:jc w:val="center"/>
              <w:rPr>
                <w:sz w:val="20"/>
                <w:szCs w:val="20"/>
              </w:rPr>
            </w:pPr>
          </w:p>
        </w:tc>
        <w:tc>
          <w:tcPr>
            <w:tcW w:w="1620" w:type="dxa"/>
            <w:tcBorders>
              <w:top w:val="nil"/>
              <w:left w:val="nil"/>
              <w:bottom w:val="nil"/>
              <w:right w:val="nil"/>
            </w:tcBorders>
            <w:shd w:val="clear" w:color="auto" w:fill="auto"/>
            <w:vAlign w:val="bottom"/>
            <w:hideMark/>
          </w:tcPr>
          <w:p w:rsidR="001A2FDB" w:rsidRPr="001A2FDB" w:rsidRDefault="001A2FDB" w:rsidP="001A2FDB">
            <w:pPr>
              <w:jc w:val="center"/>
              <w:rPr>
                <w:sz w:val="20"/>
                <w:szCs w:val="20"/>
              </w:rPr>
            </w:pPr>
          </w:p>
        </w:tc>
        <w:tc>
          <w:tcPr>
            <w:tcW w:w="1440" w:type="dxa"/>
            <w:tcBorders>
              <w:top w:val="nil"/>
              <w:left w:val="nil"/>
              <w:bottom w:val="nil"/>
              <w:right w:val="nil"/>
            </w:tcBorders>
            <w:shd w:val="clear" w:color="auto" w:fill="auto"/>
            <w:vAlign w:val="bottom"/>
            <w:hideMark/>
          </w:tcPr>
          <w:p w:rsidR="001A2FDB" w:rsidRPr="001A2FDB" w:rsidRDefault="001A2FDB" w:rsidP="001A2FDB">
            <w:pPr>
              <w:jc w:val="center"/>
              <w:rPr>
                <w:sz w:val="20"/>
                <w:szCs w:val="20"/>
              </w:rPr>
            </w:pPr>
          </w:p>
        </w:tc>
      </w:tr>
      <w:tr w:rsidR="001A2FDB" w:rsidRPr="001A2FDB" w:rsidTr="001A2FDB">
        <w:trPr>
          <w:trHeight w:val="286"/>
        </w:trPr>
        <w:tc>
          <w:tcPr>
            <w:tcW w:w="3148" w:type="dxa"/>
            <w:tcBorders>
              <w:top w:val="nil"/>
              <w:left w:val="nil"/>
              <w:bottom w:val="nil"/>
              <w:right w:val="nil"/>
            </w:tcBorders>
            <w:shd w:val="clear" w:color="auto" w:fill="auto"/>
            <w:vAlign w:val="bottom"/>
            <w:hideMark/>
          </w:tcPr>
          <w:p w:rsidR="001A2FDB" w:rsidRPr="001A2FDB" w:rsidRDefault="001A2FDB" w:rsidP="001A2FDB">
            <w:pPr>
              <w:rPr>
                <w:rFonts w:ascii="Calibri" w:hAnsi="Calibri" w:cs="Calibri"/>
                <w:color w:val="000000"/>
                <w:sz w:val="22"/>
                <w:szCs w:val="22"/>
              </w:rPr>
            </w:pPr>
            <w:r w:rsidRPr="001A2FDB">
              <w:rPr>
                <w:rFonts w:ascii="Calibri" w:hAnsi="Calibri" w:cs="Calibri"/>
                <w:color w:val="000000"/>
                <w:sz w:val="22"/>
                <w:szCs w:val="22"/>
              </w:rPr>
              <w:t>Uninsured x 2016</w:t>
            </w:r>
          </w:p>
        </w:tc>
        <w:tc>
          <w:tcPr>
            <w:tcW w:w="1082"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-0.00894</w:t>
            </w:r>
          </w:p>
        </w:tc>
        <w:tc>
          <w:tcPr>
            <w:tcW w:w="207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-0.0172</w:t>
            </w:r>
          </w:p>
        </w:tc>
        <w:tc>
          <w:tcPr>
            <w:tcW w:w="162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0.0579**</w:t>
            </w:r>
          </w:p>
        </w:tc>
        <w:tc>
          <w:tcPr>
            <w:tcW w:w="144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0.446</w:t>
            </w:r>
          </w:p>
        </w:tc>
      </w:tr>
      <w:tr w:rsidR="001A2FDB" w:rsidRPr="001A2FDB" w:rsidTr="001A2FDB">
        <w:trPr>
          <w:trHeight w:val="286"/>
        </w:trPr>
        <w:tc>
          <w:tcPr>
            <w:tcW w:w="3148"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p>
        </w:tc>
        <w:tc>
          <w:tcPr>
            <w:tcW w:w="1082"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(0.0325)</w:t>
            </w:r>
          </w:p>
        </w:tc>
        <w:tc>
          <w:tcPr>
            <w:tcW w:w="207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(0.0159)</w:t>
            </w:r>
          </w:p>
        </w:tc>
        <w:tc>
          <w:tcPr>
            <w:tcW w:w="162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(0.0243)</w:t>
            </w:r>
          </w:p>
        </w:tc>
        <w:tc>
          <w:tcPr>
            <w:tcW w:w="144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(0.9026)</w:t>
            </w:r>
          </w:p>
        </w:tc>
      </w:tr>
      <w:tr w:rsidR="001A2FDB" w:rsidRPr="001A2FDB" w:rsidTr="001A2FDB">
        <w:trPr>
          <w:trHeight w:val="286"/>
        </w:trPr>
        <w:tc>
          <w:tcPr>
            <w:tcW w:w="3148"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p>
        </w:tc>
        <w:tc>
          <w:tcPr>
            <w:tcW w:w="1082" w:type="dxa"/>
            <w:tcBorders>
              <w:top w:val="nil"/>
              <w:left w:val="nil"/>
              <w:bottom w:val="nil"/>
              <w:right w:val="nil"/>
            </w:tcBorders>
            <w:shd w:val="clear" w:color="auto" w:fill="auto"/>
            <w:vAlign w:val="bottom"/>
            <w:hideMark/>
          </w:tcPr>
          <w:p w:rsidR="001A2FDB" w:rsidRPr="001A2FDB" w:rsidRDefault="001A2FDB" w:rsidP="001A2FDB">
            <w:pPr>
              <w:rPr>
                <w:sz w:val="20"/>
                <w:szCs w:val="20"/>
              </w:rPr>
            </w:pPr>
          </w:p>
        </w:tc>
        <w:tc>
          <w:tcPr>
            <w:tcW w:w="2070" w:type="dxa"/>
            <w:tcBorders>
              <w:top w:val="nil"/>
              <w:left w:val="nil"/>
              <w:bottom w:val="nil"/>
              <w:right w:val="nil"/>
            </w:tcBorders>
            <w:shd w:val="clear" w:color="auto" w:fill="auto"/>
            <w:vAlign w:val="bottom"/>
            <w:hideMark/>
          </w:tcPr>
          <w:p w:rsidR="001A2FDB" w:rsidRPr="001A2FDB" w:rsidRDefault="001A2FDB" w:rsidP="001A2FDB">
            <w:pPr>
              <w:jc w:val="center"/>
              <w:rPr>
                <w:sz w:val="20"/>
                <w:szCs w:val="20"/>
              </w:rPr>
            </w:pPr>
          </w:p>
        </w:tc>
        <w:tc>
          <w:tcPr>
            <w:tcW w:w="1620" w:type="dxa"/>
            <w:tcBorders>
              <w:top w:val="nil"/>
              <w:left w:val="nil"/>
              <w:bottom w:val="nil"/>
              <w:right w:val="nil"/>
            </w:tcBorders>
            <w:shd w:val="clear" w:color="auto" w:fill="auto"/>
            <w:vAlign w:val="bottom"/>
            <w:hideMark/>
          </w:tcPr>
          <w:p w:rsidR="001A2FDB" w:rsidRPr="001A2FDB" w:rsidRDefault="001A2FDB" w:rsidP="001A2FDB">
            <w:pPr>
              <w:jc w:val="center"/>
              <w:rPr>
                <w:sz w:val="20"/>
                <w:szCs w:val="20"/>
              </w:rPr>
            </w:pPr>
          </w:p>
        </w:tc>
        <w:tc>
          <w:tcPr>
            <w:tcW w:w="1440" w:type="dxa"/>
            <w:tcBorders>
              <w:top w:val="nil"/>
              <w:left w:val="nil"/>
              <w:bottom w:val="nil"/>
              <w:right w:val="nil"/>
            </w:tcBorders>
            <w:shd w:val="clear" w:color="auto" w:fill="auto"/>
            <w:vAlign w:val="bottom"/>
            <w:hideMark/>
          </w:tcPr>
          <w:p w:rsidR="001A2FDB" w:rsidRPr="001A2FDB" w:rsidRDefault="001A2FDB" w:rsidP="001A2FDB">
            <w:pPr>
              <w:jc w:val="center"/>
              <w:rPr>
                <w:sz w:val="20"/>
                <w:szCs w:val="20"/>
              </w:rPr>
            </w:pPr>
          </w:p>
        </w:tc>
      </w:tr>
      <w:tr w:rsidR="001A2FDB" w:rsidRPr="001A2FDB" w:rsidTr="001A2FDB">
        <w:trPr>
          <w:trHeight w:val="286"/>
        </w:trPr>
        <w:tc>
          <w:tcPr>
            <w:tcW w:w="3148" w:type="dxa"/>
            <w:tcBorders>
              <w:top w:val="nil"/>
              <w:left w:val="nil"/>
              <w:bottom w:val="nil"/>
              <w:right w:val="nil"/>
            </w:tcBorders>
            <w:shd w:val="clear" w:color="auto" w:fill="auto"/>
            <w:vAlign w:val="bottom"/>
            <w:hideMark/>
          </w:tcPr>
          <w:p w:rsidR="001A2FDB" w:rsidRPr="001A2FDB" w:rsidRDefault="001A2FDB" w:rsidP="001A2FDB">
            <w:pPr>
              <w:rPr>
                <w:rFonts w:ascii="Calibri" w:hAnsi="Calibri" w:cs="Calibri"/>
                <w:color w:val="000000"/>
                <w:sz w:val="22"/>
                <w:szCs w:val="22"/>
              </w:rPr>
            </w:pPr>
            <w:r w:rsidRPr="001A2FDB">
              <w:rPr>
                <w:rFonts w:ascii="Calibri" w:hAnsi="Calibri" w:cs="Calibri"/>
                <w:color w:val="000000"/>
                <w:sz w:val="22"/>
                <w:szCs w:val="22"/>
              </w:rPr>
              <w:t>Medicaid x Uninsured x 2011</w:t>
            </w:r>
          </w:p>
        </w:tc>
        <w:tc>
          <w:tcPr>
            <w:tcW w:w="1082"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-0.0704</w:t>
            </w:r>
          </w:p>
        </w:tc>
        <w:tc>
          <w:tcPr>
            <w:tcW w:w="207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-0.0123</w:t>
            </w:r>
          </w:p>
        </w:tc>
        <w:tc>
          <w:tcPr>
            <w:tcW w:w="162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-0.000701</w:t>
            </w:r>
          </w:p>
        </w:tc>
        <w:tc>
          <w:tcPr>
            <w:tcW w:w="144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0.454</w:t>
            </w:r>
          </w:p>
        </w:tc>
      </w:tr>
      <w:tr w:rsidR="001A2FDB" w:rsidRPr="001A2FDB" w:rsidTr="001A2FDB">
        <w:trPr>
          <w:trHeight w:val="286"/>
        </w:trPr>
        <w:tc>
          <w:tcPr>
            <w:tcW w:w="3148"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p>
        </w:tc>
        <w:tc>
          <w:tcPr>
            <w:tcW w:w="1082"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(0.0640)</w:t>
            </w:r>
          </w:p>
        </w:tc>
        <w:tc>
          <w:tcPr>
            <w:tcW w:w="207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(0.0389)</w:t>
            </w:r>
          </w:p>
        </w:tc>
        <w:tc>
          <w:tcPr>
            <w:tcW w:w="162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(0.0197)</w:t>
            </w:r>
          </w:p>
        </w:tc>
        <w:tc>
          <w:tcPr>
            <w:tcW w:w="144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(0.6816)</w:t>
            </w:r>
          </w:p>
        </w:tc>
      </w:tr>
      <w:tr w:rsidR="001A2FDB" w:rsidRPr="001A2FDB" w:rsidTr="001A2FDB">
        <w:trPr>
          <w:trHeight w:val="286"/>
        </w:trPr>
        <w:tc>
          <w:tcPr>
            <w:tcW w:w="3148"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p>
        </w:tc>
        <w:tc>
          <w:tcPr>
            <w:tcW w:w="1082" w:type="dxa"/>
            <w:tcBorders>
              <w:top w:val="nil"/>
              <w:left w:val="nil"/>
              <w:bottom w:val="nil"/>
              <w:right w:val="nil"/>
            </w:tcBorders>
            <w:shd w:val="clear" w:color="auto" w:fill="auto"/>
            <w:vAlign w:val="bottom"/>
            <w:hideMark/>
          </w:tcPr>
          <w:p w:rsidR="001A2FDB" w:rsidRPr="001A2FDB" w:rsidRDefault="001A2FDB" w:rsidP="001A2FDB">
            <w:pPr>
              <w:rPr>
                <w:sz w:val="20"/>
                <w:szCs w:val="20"/>
              </w:rPr>
            </w:pPr>
          </w:p>
        </w:tc>
        <w:tc>
          <w:tcPr>
            <w:tcW w:w="2070" w:type="dxa"/>
            <w:tcBorders>
              <w:top w:val="nil"/>
              <w:left w:val="nil"/>
              <w:bottom w:val="nil"/>
              <w:right w:val="nil"/>
            </w:tcBorders>
            <w:shd w:val="clear" w:color="auto" w:fill="auto"/>
            <w:vAlign w:val="bottom"/>
            <w:hideMark/>
          </w:tcPr>
          <w:p w:rsidR="001A2FDB" w:rsidRPr="001A2FDB" w:rsidRDefault="001A2FDB" w:rsidP="001A2FDB">
            <w:pPr>
              <w:jc w:val="center"/>
              <w:rPr>
                <w:sz w:val="20"/>
                <w:szCs w:val="20"/>
              </w:rPr>
            </w:pPr>
          </w:p>
        </w:tc>
        <w:tc>
          <w:tcPr>
            <w:tcW w:w="1620" w:type="dxa"/>
            <w:tcBorders>
              <w:top w:val="nil"/>
              <w:left w:val="nil"/>
              <w:bottom w:val="nil"/>
              <w:right w:val="nil"/>
            </w:tcBorders>
            <w:shd w:val="clear" w:color="auto" w:fill="auto"/>
            <w:vAlign w:val="bottom"/>
            <w:hideMark/>
          </w:tcPr>
          <w:p w:rsidR="001A2FDB" w:rsidRPr="001A2FDB" w:rsidRDefault="001A2FDB" w:rsidP="001A2FDB">
            <w:pPr>
              <w:jc w:val="center"/>
              <w:rPr>
                <w:sz w:val="20"/>
                <w:szCs w:val="20"/>
              </w:rPr>
            </w:pPr>
          </w:p>
        </w:tc>
        <w:tc>
          <w:tcPr>
            <w:tcW w:w="1440" w:type="dxa"/>
            <w:tcBorders>
              <w:top w:val="nil"/>
              <w:left w:val="nil"/>
              <w:bottom w:val="nil"/>
              <w:right w:val="nil"/>
            </w:tcBorders>
            <w:shd w:val="clear" w:color="auto" w:fill="auto"/>
            <w:vAlign w:val="bottom"/>
            <w:hideMark/>
          </w:tcPr>
          <w:p w:rsidR="001A2FDB" w:rsidRPr="001A2FDB" w:rsidRDefault="001A2FDB" w:rsidP="001A2FDB">
            <w:pPr>
              <w:jc w:val="center"/>
              <w:rPr>
                <w:sz w:val="20"/>
                <w:szCs w:val="20"/>
              </w:rPr>
            </w:pPr>
          </w:p>
        </w:tc>
      </w:tr>
      <w:tr w:rsidR="001A2FDB" w:rsidRPr="001A2FDB" w:rsidTr="001A2FDB">
        <w:trPr>
          <w:trHeight w:val="286"/>
        </w:trPr>
        <w:tc>
          <w:tcPr>
            <w:tcW w:w="3148" w:type="dxa"/>
            <w:tcBorders>
              <w:top w:val="nil"/>
              <w:left w:val="nil"/>
              <w:bottom w:val="nil"/>
              <w:right w:val="nil"/>
            </w:tcBorders>
            <w:shd w:val="clear" w:color="auto" w:fill="auto"/>
            <w:vAlign w:val="bottom"/>
            <w:hideMark/>
          </w:tcPr>
          <w:p w:rsidR="001A2FDB" w:rsidRPr="001A2FDB" w:rsidRDefault="001A2FDB" w:rsidP="001A2FDB">
            <w:pPr>
              <w:rPr>
                <w:rFonts w:ascii="Calibri" w:hAnsi="Calibri" w:cs="Calibri"/>
                <w:color w:val="000000"/>
                <w:sz w:val="22"/>
                <w:szCs w:val="22"/>
              </w:rPr>
            </w:pPr>
            <w:r w:rsidRPr="001A2FDB">
              <w:rPr>
                <w:rFonts w:ascii="Calibri" w:hAnsi="Calibri" w:cs="Calibri"/>
                <w:color w:val="000000"/>
                <w:sz w:val="22"/>
                <w:szCs w:val="22"/>
              </w:rPr>
              <w:t>Medicaid x Uninsured x 2012</w:t>
            </w:r>
          </w:p>
        </w:tc>
        <w:tc>
          <w:tcPr>
            <w:tcW w:w="1082"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-0.0107</w:t>
            </w:r>
          </w:p>
        </w:tc>
        <w:tc>
          <w:tcPr>
            <w:tcW w:w="207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-0.00817</w:t>
            </w:r>
          </w:p>
        </w:tc>
        <w:tc>
          <w:tcPr>
            <w:tcW w:w="162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-0.0250</w:t>
            </w:r>
          </w:p>
        </w:tc>
        <w:tc>
          <w:tcPr>
            <w:tcW w:w="144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1.018</w:t>
            </w:r>
          </w:p>
        </w:tc>
      </w:tr>
      <w:tr w:rsidR="001A2FDB" w:rsidRPr="001A2FDB" w:rsidTr="001A2FDB">
        <w:trPr>
          <w:trHeight w:val="286"/>
        </w:trPr>
        <w:tc>
          <w:tcPr>
            <w:tcW w:w="3148"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p>
        </w:tc>
        <w:tc>
          <w:tcPr>
            <w:tcW w:w="1082"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(0.0645)</w:t>
            </w:r>
          </w:p>
        </w:tc>
        <w:tc>
          <w:tcPr>
            <w:tcW w:w="207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(0.0270)</w:t>
            </w:r>
          </w:p>
        </w:tc>
        <w:tc>
          <w:tcPr>
            <w:tcW w:w="162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(0.0262)</w:t>
            </w:r>
          </w:p>
        </w:tc>
        <w:tc>
          <w:tcPr>
            <w:tcW w:w="144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(0.7426)</w:t>
            </w:r>
          </w:p>
        </w:tc>
      </w:tr>
      <w:tr w:rsidR="001A2FDB" w:rsidRPr="001A2FDB" w:rsidTr="001A2FDB">
        <w:trPr>
          <w:trHeight w:val="286"/>
        </w:trPr>
        <w:tc>
          <w:tcPr>
            <w:tcW w:w="3148"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p>
        </w:tc>
        <w:tc>
          <w:tcPr>
            <w:tcW w:w="1082" w:type="dxa"/>
            <w:tcBorders>
              <w:top w:val="nil"/>
              <w:left w:val="nil"/>
              <w:bottom w:val="nil"/>
              <w:right w:val="nil"/>
            </w:tcBorders>
            <w:shd w:val="clear" w:color="auto" w:fill="auto"/>
            <w:vAlign w:val="bottom"/>
            <w:hideMark/>
          </w:tcPr>
          <w:p w:rsidR="001A2FDB" w:rsidRPr="001A2FDB" w:rsidRDefault="001A2FDB" w:rsidP="001A2FDB">
            <w:pPr>
              <w:rPr>
                <w:sz w:val="20"/>
                <w:szCs w:val="20"/>
              </w:rPr>
            </w:pPr>
          </w:p>
        </w:tc>
        <w:tc>
          <w:tcPr>
            <w:tcW w:w="2070" w:type="dxa"/>
            <w:tcBorders>
              <w:top w:val="nil"/>
              <w:left w:val="nil"/>
              <w:bottom w:val="nil"/>
              <w:right w:val="nil"/>
            </w:tcBorders>
            <w:shd w:val="clear" w:color="auto" w:fill="auto"/>
            <w:vAlign w:val="bottom"/>
            <w:hideMark/>
          </w:tcPr>
          <w:p w:rsidR="001A2FDB" w:rsidRPr="001A2FDB" w:rsidRDefault="001A2FDB" w:rsidP="001A2FDB">
            <w:pPr>
              <w:jc w:val="center"/>
              <w:rPr>
                <w:sz w:val="20"/>
                <w:szCs w:val="20"/>
              </w:rPr>
            </w:pPr>
          </w:p>
        </w:tc>
        <w:tc>
          <w:tcPr>
            <w:tcW w:w="1620" w:type="dxa"/>
            <w:tcBorders>
              <w:top w:val="nil"/>
              <w:left w:val="nil"/>
              <w:bottom w:val="nil"/>
              <w:right w:val="nil"/>
            </w:tcBorders>
            <w:shd w:val="clear" w:color="auto" w:fill="auto"/>
            <w:vAlign w:val="bottom"/>
            <w:hideMark/>
          </w:tcPr>
          <w:p w:rsidR="001A2FDB" w:rsidRPr="001A2FDB" w:rsidRDefault="001A2FDB" w:rsidP="001A2FDB">
            <w:pPr>
              <w:jc w:val="center"/>
              <w:rPr>
                <w:sz w:val="20"/>
                <w:szCs w:val="20"/>
              </w:rPr>
            </w:pPr>
          </w:p>
        </w:tc>
        <w:tc>
          <w:tcPr>
            <w:tcW w:w="1440" w:type="dxa"/>
            <w:tcBorders>
              <w:top w:val="nil"/>
              <w:left w:val="nil"/>
              <w:bottom w:val="nil"/>
              <w:right w:val="nil"/>
            </w:tcBorders>
            <w:shd w:val="clear" w:color="auto" w:fill="auto"/>
            <w:vAlign w:val="bottom"/>
            <w:hideMark/>
          </w:tcPr>
          <w:p w:rsidR="001A2FDB" w:rsidRPr="001A2FDB" w:rsidRDefault="001A2FDB" w:rsidP="001A2FDB">
            <w:pPr>
              <w:jc w:val="center"/>
              <w:rPr>
                <w:sz w:val="20"/>
                <w:szCs w:val="20"/>
              </w:rPr>
            </w:pPr>
          </w:p>
        </w:tc>
      </w:tr>
      <w:tr w:rsidR="001A2FDB" w:rsidRPr="001A2FDB" w:rsidTr="001A2FDB">
        <w:trPr>
          <w:trHeight w:val="286"/>
        </w:trPr>
        <w:tc>
          <w:tcPr>
            <w:tcW w:w="3148" w:type="dxa"/>
            <w:tcBorders>
              <w:top w:val="nil"/>
              <w:left w:val="nil"/>
              <w:bottom w:val="nil"/>
              <w:right w:val="nil"/>
            </w:tcBorders>
            <w:shd w:val="clear" w:color="auto" w:fill="auto"/>
            <w:vAlign w:val="bottom"/>
            <w:hideMark/>
          </w:tcPr>
          <w:p w:rsidR="001A2FDB" w:rsidRPr="001A2FDB" w:rsidRDefault="001A2FDB" w:rsidP="001A2FDB">
            <w:pPr>
              <w:rPr>
                <w:rFonts w:ascii="Calibri" w:hAnsi="Calibri" w:cs="Calibri"/>
                <w:color w:val="000000"/>
                <w:sz w:val="22"/>
                <w:szCs w:val="22"/>
              </w:rPr>
            </w:pPr>
            <w:r w:rsidRPr="001A2FDB">
              <w:rPr>
                <w:rFonts w:ascii="Calibri" w:hAnsi="Calibri" w:cs="Calibri"/>
                <w:color w:val="000000"/>
                <w:sz w:val="22"/>
                <w:szCs w:val="22"/>
              </w:rPr>
              <w:t>Medicaid x Uninsured x 2014</w:t>
            </w:r>
          </w:p>
        </w:tc>
        <w:tc>
          <w:tcPr>
            <w:tcW w:w="1082"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-0.0507</w:t>
            </w:r>
          </w:p>
        </w:tc>
        <w:tc>
          <w:tcPr>
            <w:tcW w:w="207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-0.0106</w:t>
            </w:r>
          </w:p>
        </w:tc>
        <w:tc>
          <w:tcPr>
            <w:tcW w:w="162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-0.0253</w:t>
            </w:r>
          </w:p>
        </w:tc>
        <w:tc>
          <w:tcPr>
            <w:tcW w:w="144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1.275*</w:t>
            </w:r>
          </w:p>
        </w:tc>
      </w:tr>
      <w:tr w:rsidR="001A2FDB" w:rsidRPr="001A2FDB" w:rsidTr="001A2FDB">
        <w:trPr>
          <w:trHeight w:val="286"/>
        </w:trPr>
        <w:tc>
          <w:tcPr>
            <w:tcW w:w="3148"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p>
        </w:tc>
        <w:tc>
          <w:tcPr>
            <w:tcW w:w="1082"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(0.0642)</w:t>
            </w:r>
          </w:p>
        </w:tc>
        <w:tc>
          <w:tcPr>
            <w:tcW w:w="207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(0.0356)</w:t>
            </w:r>
          </w:p>
        </w:tc>
        <w:tc>
          <w:tcPr>
            <w:tcW w:w="162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(0.0198)</w:t>
            </w:r>
          </w:p>
        </w:tc>
        <w:tc>
          <w:tcPr>
            <w:tcW w:w="144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(0.6612)</w:t>
            </w:r>
          </w:p>
        </w:tc>
      </w:tr>
      <w:tr w:rsidR="001A2FDB" w:rsidRPr="001A2FDB" w:rsidTr="001A2FDB">
        <w:trPr>
          <w:trHeight w:val="286"/>
        </w:trPr>
        <w:tc>
          <w:tcPr>
            <w:tcW w:w="3148"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p>
        </w:tc>
        <w:tc>
          <w:tcPr>
            <w:tcW w:w="1082" w:type="dxa"/>
            <w:tcBorders>
              <w:top w:val="nil"/>
              <w:left w:val="nil"/>
              <w:bottom w:val="nil"/>
              <w:right w:val="nil"/>
            </w:tcBorders>
            <w:shd w:val="clear" w:color="auto" w:fill="auto"/>
            <w:vAlign w:val="bottom"/>
            <w:hideMark/>
          </w:tcPr>
          <w:p w:rsidR="001A2FDB" w:rsidRPr="001A2FDB" w:rsidRDefault="001A2FDB" w:rsidP="001A2FDB">
            <w:pPr>
              <w:rPr>
                <w:sz w:val="20"/>
                <w:szCs w:val="20"/>
              </w:rPr>
            </w:pPr>
          </w:p>
        </w:tc>
        <w:tc>
          <w:tcPr>
            <w:tcW w:w="2070" w:type="dxa"/>
            <w:tcBorders>
              <w:top w:val="nil"/>
              <w:left w:val="nil"/>
              <w:bottom w:val="nil"/>
              <w:right w:val="nil"/>
            </w:tcBorders>
            <w:shd w:val="clear" w:color="auto" w:fill="auto"/>
            <w:vAlign w:val="bottom"/>
            <w:hideMark/>
          </w:tcPr>
          <w:p w:rsidR="001A2FDB" w:rsidRPr="001A2FDB" w:rsidRDefault="001A2FDB" w:rsidP="001A2FDB">
            <w:pPr>
              <w:jc w:val="center"/>
              <w:rPr>
                <w:sz w:val="20"/>
                <w:szCs w:val="20"/>
              </w:rPr>
            </w:pPr>
          </w:p>
        </w:tc>
        <w:tc>
          <w:tcPr>
            <w:tcW w:w="1620" w:type="dxa"/>
            <w:tcBorders>
              <w:top w:val="nil"/>
              <w:left w:val="nil"/>
              <w:bottom w:val="nil"/>
              <w:right w:val="nil"/>
            </w:tcBorders>
            <w:shd w:val="clear" w:color="auto" w:fill="auto"/>
            <w:vAlign w:val="bottom"/>
            <w:hideMark/>
          </w:tcPr>
          <w:p w:rsidR="001A2FDB" w:rsidRPr="001A2FDB" w:rsidRDefault="001A2FDB" w:rsidP="001A2FDB">
            <w:pPr>
              <w:jc w:val="center"/>
              <w:rPr>
                <w:sz w:val="20"/>
                <w:szCs w:val="20"/>
              </w:rPr>
            </w:pPr>
          </w:p>
        </w:tc>
        <w:tc>
          <w:tcPr>
            <w:tcW w:w="1440" w:type="dxa"/>
            <w:tcBorders>
              <w:top w:val="nil"/>
              <w:left w:val="nil"/>
              <w:bottom w:val="nil"/>
              <w:right w:val="nil"/>
            </w:tcBorders>
            <w:shd w:val="clear" w:color="auto" w:fill="auto"/>
            <w:vAlign w:val="bottom"/>
            <w:hideMark/>
          </w:tcPr>
          <w:p w:rsidR="001A2FDB" w:rsidRPr="001A2FDB" w:rsidRDefault="001A2FDB" w:rsidP="001A2FDB">
            <w:pPr>
              <w:jc w:val="center"/>
              <w:rPr>
                <w:sz w:val="20"/>
                <w:szCs w:val="20"/>
              </w:rPr>
            </w:pPr>
          </w:p>
        </w:tc>
      </w:tr>
      <w:tr w:rsidR="001A2FDB" w:rsidRPr="001A2FDB" w:rsidTr="001A2FDB">
        <w:trPr>
          <w:trHeight w:val="286"/>
        </w:trPr>
        <w:tc>
          <w:tcPr>
            <w:tcW w:w="3148" w:type="dxa"/>
            <w:tcBorders>
              <w:top w:val="nil"/>
              <w:left w:val="nil"/>
              <w:bottom w:val="nil"/>
              <w:right w:val="nil"/>
            </w:tcBorders>
            <w:shd w:val="clear" w:color="auto" w:fill="auto"/>
            <w:vAlign w:val="bottom"/>
            <w:hideMark/>
          </w:tcPr>
          <w:p w:rsidR="001A2FDB" w:rsidRPr="001A2FDB" w:rsidRDefault="001A2FDB" w:rsidP="001A2FDB">
            <w:pPr>
              <w:rPr>
                <w:rFonts w:ascii="Calibri" w:hAnsi="Calibri" w:cs="Calibri"/>
                <w:color w:val="000000"/>
                <w:sz w:val="22"/>
                <w:szCs w:val="22"/>
              </w:rPr>
            </w:pPr>
            <w:r w:rsidRPr="001A2FDB">
              <w:rPr>
                <w:rFonts w:ascii="Calibri" w:hAnsi="Calibri" w:cs="Calibri"/>
                <w:color w:val="000000"/>
                <w:sz w:val="22"/>
                <w:szCs w:val="22"/>
              </w:rPr>
              <w:t>Medicaid x Uninsured x 2015</w:t>
            </w:r>
          </w:p>
        </w:tc>
        <w:tc>
          <w:tcPr>
            <w:tcW w:w="1082"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-0.0302</w:t>
            </w:r>
          </w:p>
        </w:tc>
        <w:tc>
          <w:tcPr>
            <w:tcW w:w="207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-0.0345</w:t>
            </w:r>
          </w:p>
        </w:tc>
        <w:tc>
          <w:tcPr>
            <w:tcW w:w="162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-0.0228</w:t>
            </w:r>
          </w:p>
        </w:tc>
        <w:tc>
          <w:tcPr>
            <w:tcW w:w="144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-0.344</w:t>
            </w:r>
          </w:p>
        </w:tc>
      </w:tr>
      <w:tr w:rsidR="001A2FDB" w:rsidRPr="001A2FDB" w:rsidTr="001A2FDB">
        <w:trPr>
          <w:trHeight w:val="286"/>
        </w:trPr>
        <w:tc>
          <w:tcPr>
            <w:tcW w:w="3148"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p>
        </w:tc>
        <w:tc>
          <w:tcPr>
            <w:tcW w:w="1082"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(0.0646)</w:t>
            </w:r>
          </w:p>
        </w:tc>
        <w:tc>
          <w:tcPr>
            <w:tcW w:w="207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(0.0438)</w:t>
            </w:r>
          </w:p>
        </w:tc>
        <w:tc>
          <w:tcPr>
            <w:tcW w:w="162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(0.0237)</w:t>
            </w:r>
          </w:p>
        </w:tc>
        <w:tc>
          <w:tcPr>
            <w:tcW w:w="144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(0.8230)</w:t>
            </w:r>
          </w:p>
        </w:tc>
      </w:tr>
      <w:tr w:rsidR="001A2FDB" w:rsidRPr="001A2FDB" w:rsidTr="001A2FDB">
        <w:trPr>
          <w:trHeight w:val="286"/>
        </w:trPr>
        <w:tc>
          <w:tcPr>
            <w:tcW w:w="3148"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p>
        </w:tc>
        <w:tc>
          <w:tcPr>
            <w:tcW w:w="1082" w:type="dxa"/>
            <w:tcBorders>
              <w:top w:val="nil"/>
              <w:left w:val="nil"/>
              <w:bottom w:val="nil"/>
              <w:right w:val="nil"/>
            </w:tcBorders>
            <w:shd w:val="clear" w:color="auto" w:fill="auto"/>
            <w:vAlign w:val="bottom"/>
            <w:hideMark/>
          </w:tcPr>
          <w:p w:rsidR="001A2FDB" w:rsidRPr="001A2FDB" w:rsidRDefault="001A2FDB" w:rsidP="001A2FDB">
            <w:pPr>
              <w:rPr>
                <w:sz w:val="20"/>
                <w:szCs w:val="20"/>
              </w:rPr>
            </w:pPr>
          </w:p>
        </w:tc>
        <w:tc>
          <w:tcPr>
            <w:tcW w:w="2070" w:type="dxa"/>
            <w:tcBorders>
              <w:top w:val="nil"/>
              <w:left w:val="nil"/>
              <w:bottom w:val="nil"/>
              <w:right w:val="nil"/>
            </w:tcBorders>
            <w:shd w:val="clear" w:color="auto" w:fill="auto"/>
            <w:vAlign w:val="bottom"/>
            <w:hideMark/>
          </w:tcPr>
          <w:p w:rsidR="001A2FDB" w:rsidRPr="001A2FDB" w:rsidRDefault="001A2FDB" w:rsidP="001A2FDB">
            <w:pPr>
              <w:jc w:val="center"/>
              <w:rPr>
                <w:sz w:val="20"/>
                <w:szCs w:val="20"/>
              </w:rPr>
            </w:pPr>
          </w:p>
        </w:tc>
        <w:tc>
          <w:tcPr>
            <w:tcW w:w="1620" w:type="dxa"/>
            <w:tcBorders>
              <w:top w:val="nil"/>
              <w:left w:val="nil"/>
              <w:bottom w:val="nil"/>
              <w:right w:val="nil"/>
            </w:tcBorders>
            <w:shd w:val="clear" w:color="auto" w:fill="auto"/>
            <w:vAlign w:val="bottom"/>
            <w:hideMark/>
          </w:tcPr>
          <w:p w:rsidR="001A2FDB" w:rsidRPr="001A2FDB" w:rsidRDefault="001A2FDB" w:rsidP="001A2FDB">
            <w:pPr>
              <w:jc w:val="center"/>
              <w:rPr>
                <w:sz w:val="20"/>
                <w:szCs w:val="20"/>
              </w:rPr>
            </w:pPr>
          </w:p>
        </w:tc>
        <w:tc>
          <w:tcPr>
            <w:tcW w:w="1440" w:type="dxa"/>
            <w:tcBorders>
              <w:top w:val="nil"/>
              <w:left w:val="nil"/>
              <w:bottom w:val="nil"/>
              <w:right w:val="nil"/>
            </w:tcBorders>
            <w:shd w:val="clear" w:color="auto" w:fill="auto"/>
            <w:vAlign w:val="bottom"/>
            <w:hideMark/>
          </w:tcPr>
          <w:p w:rsidR="001A2FDB" w:rsidRPr="001A2FDB" w:rsidRDefault="001A2FDB" w:rsidP="001A2FDB">
            <w:pPr>
              <w:jc w:val="center"/>
              <w:rPr>
                <w:sz w:val="20"/>
                <w:szCs w:val="20"/>
              </w:rPr>
            </w:pPr>
          </w:p>
        </w:tc>
      </w:tr>
      <w:tr w:rsidR="001A2FDB" w:rsidRPr="001A2FDB" w:rsidTr="001A2FDB">
        <w:trPr>
          <w:trHeight w:val="286"/>
        </w:trPr>
        <w:tc>
          <w:tcPr>
            <w:tcW w:w="3148" w:type="dxa"/>
            <w:tcBorders>
              <w:top w:val="nil"/>
              <w:left w:val="nil"/>
              <w:bottom w:val="nil"/>
              <w:right w:val="nil"/>
            </w:tcBorders>
            <w:shd w:val="clear" w:color="auto" w:fill="auto"/>
            <w:vAlign w:val="bottom"/>
            <w:hideMark/>
          </w:tcPr>
          <w:p w:rsidR="001A2FDB" w:rsidRPr="001A2FDB" w:rsidRDefault="001A2FDB" w:rsidP="001A2FDB">
            <w:pPr>
              <w:rPr>
                <w:rFonts w:ascii="Calibri" w:hAnsi="Calibri" w:cs="Calibri"/>
                <w:color w:val="000000"/>
                <w:sz w:val="22"/>
                <w:szCs w:val="22"/>
              </w:rPr>
            </w:pPr>
            <w:r w:rsidRPr="001A2FDB">
              <w:rPr>
                <w:rFonts w:ascii="Calibri" w:hAnsi="Calibri" w:cs="Calibri"/>
                <w:color w:val="000000"/>
                <w:sz w:val="22"/>
                <w:szCs w:val="22"/>
              </w:rPr>
              <w:t>Medicaid x Uninsured x 2016</w:t>
            </w:r>
          </w:p>
        </w:tc>
        <w:tc>
          <w:tcPr>
            <w:tcW w:w="1082"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-0.0731</w:t>
            </w:r>
          </w:p>
        </w:tc>
        <w:tc>
          <w:tcPr>
            <w:tcW w:w="207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-0.00885</w:t>
            </w:r>
          </w:p>
        </w:tc>
        <w:tc>
          <w:tcPr>
            <w:tcW w:w="162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0.00476</w:t>
            </w:r>
          </w:p>
        </w:tc>
        <w:tc>
          <w:tcPr>
            <w:tcW w:w="1440" w:type="dxa"/>
            <w:tcBorders>
              <w:top w:val="nil"/>
              <w:left w:val="nil"/>
              <w:bottom w:val="nil"/>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-0.816</w:t>
            </w:r>
          </w:p>
        </w:tc>
      </w:tr>
      <w:tr w:rsidR="001A2FDB" w:rsidRPr="001A2FDB" w:rsidTr="001A2FDB">
        <w:trPr>
          <w:trHeight w:val="286"/>
        </w:trPr>
        <w:tc>
          <w:tcPr>
            <w:tcW w:w="3148" w:type="dxa"/>
            <w:tcBorders>
              <w:top w:val="nil"/>
              <w:left w:val="nil"/>
              <w:bottom w:val="single" w:sz="4" w:space="0" w:color="auto"/>
              <w:right w:val="nil"/>
            </w:tcBorders>
            <w:shd w:val="clear" w:color="auto" w:fill="auto"/>
            <w:vAlign w:val="bottom"/>
            <w:hideMark/>
          </w:tcPr>
          <w:p w:rsidR="001A2FDB" w:rsidRPr="001A2FDB" w:rsidRDefault="001A2FDB" w:rsidP="001A2FDB">
            <w:pPr>
              <w:rPr>
                <w:rFonts w:ascii="Calibri" w:hAnsi="Calibri" w:cs="Calibri"/>
                <w:color w:val="000000"/>
                <w:sz w:val="22"/>
                <w:szCs w:val="22"/>
              </w:rPr>
            </w:pPr>
            <w:r w:rsidRPr="001A2FDB">
              <w:rPr>
                <w:rFonts w:ascii="Calibri" w:hAnsi="Calibri" w:cs="Calibri"/>
                <w:color w:val="000000"/>
                <w:sz w:val="22"/>
                <w:szCs w:val="22"/>
              </w:rPr>
              <w:t> </w:t>
            </w:r>
          </w:p>
        </w:tc>
        <w:tc>
          <w:tcPr>
            <w:tcW w:w="1082" w:type="dxa"/>
            <w:tcBorders>
              <w:top w:val="nil"/>
              <w:left w:val="nil"/>
              <w:bottom w:val="single" w:sz="4" w:space="0" w:color="auto"/>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(0.0593)</w:t>
            </w:r>
          </w:p>
        </w:tc>
        <w:tc>
          <w:tcPr>
            <w:tcW w:w="2070" w:type="dxa"/>
            <w:tcBorders>
              <w:top w:val="nil"/>
              <w:left w:val="nil"/>
              <w:bottom w:val="single" w:sz="4" w:space="0" w:color="auto"/>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(0.0350)</w:t>
            </w:r>
          </w:p>
        </w:tc>
        <w:tc>
          <w:tcPr>
            <w:tcW w:w="1620" w:type="dxa"/>
            <w:tcBorders>
              <w:top w:val="nil"/>
              <w:left w:val="nil"/>
              <w:bottom w:val="single" w:sz="4" w:space="0" w:color="auto"/>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(0.0321)</w:t>
            </w:r>
          </w:p>
        </w:tc>
        <w:tc>
          <w:tcPr>
            <w:tcW w:w="1440" w:type="dxa"/>
            <w:tcBorders>
              <w:top w:val="nil"/>
              <w:left w:val="nil"/>
              <w:bottom w:val="single" w:sz="4" w:space="0" w:color="auto"/>
              <w:right w:val="nil"/>
            </w:tcBorders>
            <w:shd w:val="clear" w:color="auto" w:fill="auto"/>
            <w:vAlign w:val="bottom"/>
            <w:hideMark/>
          </w:tcPr>
          <w:p w:rsidR="001A2FDB" w:rsidRPr="001A2FDB" w:rsidRDefault="001A2FDB" w:rsidP="001A2FDB">
            <w:pPr>
              <w:jc w:val="center"/>
              <w:rPr>
                <w:rFonts w:ascii="Calibri" w:hAnsi="Calibri" w:cs="Calibri"/>
                <w:color w:val="000000"/>
                <w:sz w:val="22"/>
                <w:szCs w:val="22"/>
              </w:rPr>
            </w:pPr>
            <w:r w:rsidRPr="001A2FDB">
              <w:rPr>
                <w:rFonts w:ascii="Calibri" w:hAnsi="Calibri" w:cs="Calibri"/>
                <w:color w:val="000000"/>
                <w:sz w:val="22"/>
                <w:szCs w:val="22"/>
              </w:rPr>
              <w:t>(1.0478)</w:t>
            </w:r>
          </w:p>
        </w:tc>
      </w:tr>
    </w:tbl>
    <w:p w:rsidR="00E208E1" w:rsidRDefault="00E208E1" w:rsidP="00E208E1">
      <w:pPr>
        <w:spacing w:line="276" w:lineRule="auto"/>
        <w:rPr>
          <w:sz w:val="16"/>
          <w:szCs w:val="16"/>
        </w:rPr>
      </w:pPr>
      <w:r w:rsidRPr="005A43BD">
        <w:rPr>
          <w:i/>
          <w:sz w:val="16"/>
          <w:szCs w:val="16"/>
        </w:rPr>
        <w:t xml:space="preserve">Notes: </w:t>
      </w:r>
      <w:r>
        <w:rPr>
          <w:sz w:val="16"/>
          <w:szCs w:val="16"/>
        </w:rPr>
        <w:t>Standard errors, heteroskedasticity-robust and clustered at the state level, are in parentheses. *** Denotes statistical significance at 1 percent level, ** Denotes statistical significance at 5 percent level,</w:t>
      </w:r>
      <w:r w:rsidRPr="005A43BD">
        <w:rPr>
          <w:sz w:val="16"/>
          <w:szCs w:val="16"/>
        </w:rPr>
        <w:t xml:space="preserve"> </w:t>
      </w:r>
      <w:r>
        <w:rPr>
          <w:sz w:val="16"/>
          <w:szCs w:val="16"/>
        </w:rPr>
        <w:t>* Denotes statistical significance at 10 percent level</w:t>
      </w:r>
    </w:p>
    <w:p w:rsidR="004A4EA1" w:rsidRDefault="004A4EA1" w:rsidP="00E208E1">
      <w:pPr>
        <w:spacing w:line="276" w:lineRule="auto"/>
      </w:pPr>
    </w:p>
    <w:p w:rsidR="001A6058" w:rsidRDefault="00C063EF" w:rsidP="007A67E2">
      <w:pPr>
        <w:spacing w:line="480" w:lineRule="auto"/>
        <w:ind w:firstLine="720"/>
      </w:pPr>
      <w:r>
        <w:t xml:space="preserve">Tables </w:t>
      </w:r>
      <w:r w:rsidR="008F3DE7">
        <w:t>4</w:t>
      </w:r>
      <w:r>
        <w:t xml:space="preserve">a &amp; </w:t>
      </w:r>
      <w:r w:rsidR="00967730">
        <w:t>4</w:t>
      </w:r>
      <w:r>
        <w:t>b present the results of my heterogeneity analysis. I re-estimate my DiDiD specification for eight demographic groups separately</w:t>
      </w:r>
      <w:r w:rsidR="00410551">
        <w:t>: m</w:t>
      </w:r>
      <w:r>
        <w:t>ales</w:t>
      </w:r>
      <w:r w:rsidR="00410551">
        <w:t xml:space="preserve"> &amp; females, </w:t>
      </w:r>
      <w:r w:rsidR="007036FE">
        <w:t xml:space="preserve">individuals with </w:t>
      </w:r>
      <w:r w:rsidR="00410551">
        <w:t xml:space="preserve">no college education &amp; </w:t>
      </w:r>
      <w:r w:rsidR="007036FE">
        <w:t xml:space="preserve">individuals with </w:t>
      </w:r>
      <w:r w:rsidR="00410551">
        <w:t xml:space="preserve">some college </w:t>
      </w:r>
      <w:r w:rsidR="007036FE">
        <w:t xml:space="preserve">education </w:t>
      </w:r>
      <w:r w:rsidR="00410551">
        <w:t xml:space="preserve">or more, ages 25-45 &amp; ages 45-55, whites &amp; non-whites. While I originally estimated ages 25-35 separately from ages 35-45, the </w:t>
      </w:r>
      <w:r w:rsidR="00410551">
        <w:lastRenderedPageBreak/>
        <w:t xml:space="preserve">results were not notably different, so I combined them into one category. </w:t>
      </w:r>
      <w:r w:rsidR="00585AB5">
        <w:t>Event study estimates for my heterogeneity analysis are reported in appendix tables A2-A9.</w:t>
      </w:r>
    </w:p>
    <w:p w:rsidR="00CF02CF" w:rsidRDefault="008009D8" w:rsidP="007A67E2">
      <w:pPr>
        <w:spacing w:line="480" w:lineRule="auto"/>
        <w:ind w:firstLine="720"/>
      </w:pPr>
      <w:r>
        <w:t xml:space="preserve">The first thing to note from the heterogeneity results is the remarkable consistency of the </w:t>
      </w:r>
      <w:r w:rsidR="00284182">
        <w:t xml:space="preserve">positive effect of the </w:t>
      </w:r>
      <w:r>
        <w:t xml:space="preserve">non-Medicaid </w:t>
      </w:r>
      <w:r w:rsidR="00284182">
        <w:t xml:space="preserve">provisions on </w:t>
      </w:r>
      <w:r>
        <w:t>employment</w:t>
      </w:r>
      <w:r w:rsidR="00264F49">
        <w:t>. As can be seen from the tables, all but one of these coefficient estimates are in the range of ~4-6 percentage points</w:t>
      </w:r>
      <w:r w:rsidR="00CB48C7">
        <w:t xml:space="preserve"> (main results estimate was 0.5)</w:t>
      </w:r>
      <w:r w:rsidR="00264F49">
        <w:t xml:space="preserve">, and all but two are statistically significant at (at least) the 10% level. </w:t>
      </w:r>
      <w:r w:rsidR="00A0143A">
        <w:t xml:space="preserve">This gives me greater confidence in the main sample estimate of the non-Medicaid ACA effect on employment. </w:t>
      </w:r>
    </w:p>
    <w:p w:rsidR="00025ECD" w:rsidRDefault="00CF02CF" w:rsidP="007A67E2">
      <w:pPr>
        <w:spacing w:line="480" w:lineRule="auto"/>
        <w:ind w:firstLine="720"/>
      </w:pPr>
      <w:r>
        <w:t xml:space="preserve">Additionally, note that </w:t>
      </w:r>
      <w:r w:rsidR="00720733">
        <w:t xml:space="preserve">the Medicaid expansion seems to be associated with a </w:t>
      </w:r>
      <w:r w:rsidR="00937875">
        <w:t xml:space="preserve">modest </w:t>
      </w:r>
      <w:r w:rsidR="00720733">
        <w:t xml:space="preserve">decrease in labor supply for females. </w:t>
      </w:r>
      <w:r w:rsidR="00171CAD">
        <w:t xml:space="preserve">The estimates </w:t>
      </w:r>
      <w:r w:rsidR="0032791B">
        <w:t xml:space="preserve">for females </w:t>
      </w:r>
      <w:r w:rsidR="00171CAD">
        <w:t xml:space="preserve">on hours worked, labor force participation, and wages are all negative, </w:t>
      </w:r>
      <w:r w:rsidR="00F5448F">
        <w:t>of non-trivial magnitude</w:t>
      </w:r>
      <w:r w:rsidR="00171CAD">
        <w:t>, and nearing statistical significance (|t-stats| &gt; 1)</w:t>
      </w:r>
      <w:r w:rsidR="00252209">
        <w:t xml:space="preserve">. </w:t>
      </w:r>
    </w:p>
    <w:p w:rsidR="0081685C" w:rsidRPr="0081685C" w:rsidRDefault="0081685C" w:rsidP="007A67E2">
      <w:pPr>
        <w:spacing w:line="480" w:lineRule="auto"/>
        <w:ind w:firstLine="720"/>
      </w:pPr>
      <w:r>
        <w:t>Finally note that some the coefficient</w:t>
      </w:r>
      <w:r w:rsidR="00157EAB">
        <w:t xml:space="preserve"> estimates</w:t>
      </w:r>
      <w:r>
        <w:t xml:space="preserve"> </w:t>
      </w:r>
      <w:r w:rsidR="00157EAB">
        <w:t>for wages</w:t>
      </w:r>
      <w:r w:rsidR="00096230">
        <w:t xml:space="preserve"> are of substantial magnitude</w:t>
      </w:r>
      <w:r w:rsidR="00157EAB">
        <w:t>, most notably the Medicaid effect for individuals with some college education.</w:t>
      </w:r>
      <w:r w:rsidR="00096230">
        <w:t xml:space="preserve"> </w:t>
      </w:r>
      <w:r w:rsidR="007B5B74">
        <w:t>However, u</w:t>
      </w:r>
      <w:r w:rsidR="00157EAB">
        <w:t>pon examining th</w:t>
      </w:r>
      <w:r w:rsidR="007B5B74">
        <w:t>is effects’</w:t>
      </w:r>
      <w:r w:rsidR="00157EAB">
        <w:t xml:space="preserve"> event study estimate</w:t>
      </w:r>
      <w:r w:rsidR="00042561">
        <w:t>s</w:t>
      </w:r>
      <w:r w:rsidR="00380A89">
        <w:t xml:space="preserve"> (table A5)</w:t>
      </w:r>
      <w:r w:rsidR="00157EAB">
        <w:t>, it can be seen that parallel trends</w:t>
      </w:r>
      <w:r w:rsidR="00D6691B">
        <w:t xml:space="preserve"> </w:t>
      </w:r>
      <w:proofErr w:type="gramStart"/>
      <w:r w:rsidR="00D6691B">
        <w:t>is</w:t>
      </w:r>
      <w:proofErr w:type="gramEnd"/>
      <w:r w:rsidR="00D6691B">
        <w:t xml:space="preserve"> violated</w:t>
      </w:r>
      <w:r w:rsidR="00927E22">
        <w:t xml:space="preserve">, and </w:t>
      </w:r>
      <w:r w:rsidR="00D6691B">
        <w:t xml:space="preserve">the estimate </w:t>
      </w:r>
      <w:r w:rsidR="00927E22">
        <w:t>is not to be believed</w:t>
      </w:r>
      <w:r w:rsidR="005B6AB6">
        <w:t xml:space="preserve">. </w:t>
      </w:r>
      <w:r w:rsidR="001E33F7">
        <w:t xml:space="preserve">Event study estimates for other sizable estimates of the Medicaid effect on wages look similar to that of the no college education event study. </w:t>
      </w:r>
      <w:r w:rsidR="007B5B74">
        <w:t>Also note that some of the estimates of the non-Medicaid effect on wages are sizable. However</w:t>
      </w:r>
      <w:r w:rsidR="00D6691B">
        <w:t>,</w:t>
      </w:r>
      <w:r w:rsidR="007B5B74">
        <w:t xml:space="preserve"> these estimates (and their </w:t>
      </w:r>
      <w:r w:rsidR="00D6691B">
        <w:t xml:space="preserve">respective event study estimates) vary wildly in magnitude, sign and statistical significance, leading me to distrust them. </w:t>
      </w:r>
    </w:p>
    <w:p w:rsidR="006969B9" w:rsidRDefault="006969B9">
      <w:pPr>
        <w:spacing w:after="160" w:line="259" w:lineRule="auto"/>
        <w:rPr>
          <w:color w:val="FF0000"/>
        </w:rPr>
      </w:pPr>
      <w:r>
        <w:rPr>
          <w:color w:val="FF0000"/>
        </w:rPr>
        <w:br w:type="page"/>
      </w:r>
    </w:p>
    <w:tbl>
      <w:tblPr>
        <w:tblW w:w="5000" w:type="pct"/>
        <w:tblLook w:val="04A0" w:firstRow="1" w:lastRow="0" w:firstColumn="1" w:lastColumn="0" w:noHBand="0" w:noVBand="1"/>
      </w:tblPr>
      <w:tblGrid>
        <w:gridCol w:w="3954"/>
        <w:gridCol w:w="1252"/>
        <w:gridCol w:w="1460"/>
        <w:gridCol w:w="1254"/>
        <w:gridCol w:w="1440"/>
      </w:tblGrid>
      <w:tr w:rsidR="009A45D5" w:rsidRPr="009A45D5" w:rsidTr="009A45D5">
        <w:trPr>
          <w:trHeight w:val="290"/>
        </w:trPr>
        <w:tc>
          <w:tcPr>
            <w:tcW w:w="5000" w:type="pct"/>
            <w:gridSpan w:val="5"/>
            <w:tcBorders>
              <w:top w:val="nil"/>
              <w:left w:val="nil"/>
              <w:bottom w:val="single" w:sz="4" w:space="0" w:color="auto"/>
              <w:right w:val="nil"/>
            </w:tcBorders>
            <w:shd w:val="clear" w:color="auto" w:fill="auto"/>
            <w:vAlign w:val="bottom"/>
            <w:hideMark/>
          </w:tcPr>
          <w:p w:rsidR="009A45D5" w:rsidRPr="009A45D5" w:rsidRDefault="009A45D5" w:rsidP="009A45D5">
            <w:pPr>
              <w:jc w:val="center"/>
              <w:rPr>
                <w:rFonts w:ascii="Calibri" w:hAnsi="Calibri" w:cs="Calibri"/>
                <w:b/>
                <w:bCs/>
                <w:color w:val="000000"/>
                <w:sz w:val="22"/>
                <w:szCs w:val="22"/>
                <w:u w:val="single"/>
              </w:rPr>
            </w:pPr>
            <w:r w:rsidRPr="009A45D5">
              <w:rPr>
                <w:rFonts w:ascii="Calibri" w:hAnsi="Calibri" w:cs="Calibri"/>
                <w:b/>
                <w:bCs/>
                <w:color w:val="000000"/>
                <w:sz w:val="22"/>
                <w:szCs w:val="22"/>
                <w:u w:val="single"/>
              </w:rPr>
              <w:lastRenderedPageBreak/>
              <w:t xml:space="preserve">Table </w:t>
            </w:r>
            <w:r w:rsidR="00613475">
              <w:rPr>
                <w:rFonts w:ascii="Calibri" w:hAnsi="Calibri" w:cs="Calibri"/>
                <w:b/>
                <w:bCs/>
                <w:color w:val="000000"/>
                <w:sz w:val="22"/>
                <w:szCs w:val="22"/>
                <w:u w:val="single"/>
              </w:rPr>
              <w:t>4</w:t>
            </w:r>
            <w:r w:rsidR="00AD519D">
              <w:rPr>
                <w:rFonts w:ascii="Calibri" w:hAnsi="Calibri" w:cs="Calibri"/>
                <w:b/>
                <w:bCs/>
                <w:color w:val="000000"/>
                <w:sz w:val="22"/>
                <w:szCs w:val="22"/>
                <w:u w:val="single"/>
              </w:rPr>
              <w:t>a</w:t>
            </w:r>
            <w:r w:rsidRPr="009A45D5">
              <w:rPr>
                <w:rFonts w:ascii="Calibri" w:hAnsi="Calibri" w:cs="Calibri"/>
                <w:b/>
                <w:bCs/>
                <w:color w:val="000000"/>
                <w:sz w:val="22"/>
                <w:szCs w:val="22"/>
                <w:u w:val="single"/>
              </w:rPr>
              <w:t>: Heterogeneity Results</w:t>
            </w:r>
          </w:p>
        </w:tc>
      </w:tr>
      <w:tr w:rsidR="006827B3" w:rsidRPr="009A45D5" w:rsidTr="001068B9">
        <w:trPr>
          <w:trHeight w:val="580"/>
        </w:trPr>
        <w:tc>
          <w:tcPr>
            <w:tcW w:w="2112" w:type="pct"/>
            <w:tcBorders>
              <w:top w:val="nil"/>
              <w:left w:val="nil"/>
              <w:bottom w:val="single" w:sz="4" w:space="0" w:color="auto"/>
              <w:right w:val="nil"/>
            </w:tcBorders>
            <w:shd w:val="clear" w:color="auto" w:fill="auto"/>
            <w:vAlign w:val="bottom"/>
            <w:hideMark/>
          </w:tcPr>
          <w:p w:rsidR="009A45D5" w:rsidRPr="009A45D5" w:rsidRDefault="009A45D5" w:rsidP="009A45D5">
            <w:pPr>
              <w:rPr>
                <w:rFonts w:ascii="Calibri" w:hAnsi="Calibri" w:cs="Calibri"/>
                <w:color w:val="000000"/>
              </w:rPr>
            </w:pPr>
            <w:r w:rsidRPr="009A45D5">
              <w:rPr>
                <w:rFonts w:ascii="Calibri" w:hAnsi="Calibri" w:cs="Calibri"/>
                <w:color w:val="000000"/>
              </w:rPr>
              <w:t> </w:t>
            </w:r>
          </w:p>
        </w:tc>
        <w:tc>
          <w:tcPr>
            <w:tcW w:w="669" w:type="pct"/>
            <w:tcBorders>
              <w:top w:val="nil"/>
              <w:left w:val="nil"/>
              <w:bottom w:val="single" w:sz="4" w:space="0" w:color="auto"/>
              <w:right w:val="nil"/>
            </w:tcBorders>
            <w:shd w:val="clear" w:color="auto" w:fill="auto"/>
            <w:vAlign w:val="bottom"/>
            <w:hideMark/>
          </w:tcPr>
          <w:p w:rsidR="009A45D5" w:rsidRPr="009A45D5" w:rsidRDefault="009A45D5" w:rsidP="009A45D5">
            <w:pPr>
              <w:jc w:val="center"/>
              <w:rPr>
                <w:rFonts w:ascii="Calibri" w:hAnsi="Calibri" w:cs="Calibri"/>
                <w:color w:val="000000"/>
              </w:rPr>
            </w:pPr>
            <w:proofErr w:type="gramStart"/>
            <w:r w:rsidRPr="009A45D5">
              <w:rPr>
                <w:rFonts w:ascii="Calibri" w:hAnsi="Calibri" w:cs="Calibri"/>
                <w:color w:val="000000"/>
              </w:rPr>
              <w:t>ln(</w:t>
            </w:r>
            <w:proofErr w:type="gramEnd"/>
            <w:r w:rsidRPr="009A45D5">
              <w:rPr>
                <w:rFonts w:ascii="Calibri" w:hAnsi="Calibri" w:cs="Calibri"/>
                <w:color w:val="000000"/>
              </w:rPr>
              <w:t>Wage)</w:t>
            </w:r>
          </w:p>
        </w:tc>
        <w:tc>
          <w:tcPr>
            <w:tcW w:w="780" w:type="pct"/>
            <w:tcBorders>
              <w:top w:val="nil"/>
              <w:left w:val="nil"/>
              <w:bottom w:val="single" w:sz="4" w:space="0" w:color="auto"/>
              <w:right w:val="nil"/>
            </w:tcBorders>
            <w:shd w:val="clear" w:color="auto" w:fill="auto"/>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Labor Force Participation</w:t>
            </w:r>
          </w:p>
        </w:tc>
        <w:tc>
          <w:tcPr>
            <w:tcW w:w="670" w:type="pct"/>
            <w:tcBorders>
              <w:top w:val="nil"/>
              <w:left w:val="nil"/>
              <w:bottom w:val="single" w:sz="4" w:space="0" w:color="auto"/>
              <w:right w:val="nil"/>
            </w:tcBorders>
            <w:shd w:val="clear" w:color="auto" w:fill="auto"/>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Employed</w:t>
            </w:r>
          </w:p>
        </w:tc>
        <w:tc>
          <w:tcPr>
            <w:tcW w:w="770" w:type="pct"/>
            <w:tcBorders>
              <w:top w:val="nil"/>
              <w:left w:val="nil"/>
              <w:bottom w:val="single" w:sz="4" w:space="0" w:color="auto"/>
              <w:right w:val="nil"/>
            </w:tcBorders>
            <w:shd w:val="clear" w:color="auto" w:fill="auto"/>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Usual Hours Worked</w:t>
            </w:r>
          </w:p>
        </w:tc>
      </w:tr>
      <w:tr w:rsidR="006827B3" w:rsidRPr="009A45D5" w:rsidTr="001068B9">
        <w:trPr>
          <w:trHeight w:val="310"/>
        </w:trPr>
        <w:tc>
          <w:tcPr>
            <w:tcW w:w="2112" w:type="pct"/>
            <w:tcBorders>
              <w:top w:val="nil"/>
              <w:left w:val="nil"/>
              <w:bottom w:val="nil"/>
              <w:right w:val="nil"/>
            </w:tcBorders>
            <w:shd w:val="clear" w:color="auto" w:fill="auto"/>
            <w:vAlign w:val="bottom"/>
            <w:hideMark/>
          </w:tcPr>
          <w:p w:rsidR="009A45D5" w:rsidRPr="009A45D5" w:rsidRDefault="009A45D5" w:rsidP="009A45D5">
            <w:pPr>
              <w:jc w:val="center"/>
              <w:rPr>
                <w:rFonts w:ascii="Calibri" w:hAnsi="Calibri" w:cs="Calibri"/>
                <w:b/>
                <w:bCs/>
                <w:color w:val="000000"/>
                <w:u w:val="single"/>
              </w:rPr>
            </w:pPr>
            <w:r w:rsidRPr="009A45D5">
              <w:rPr>
                <w:rFonts w:ascii="Calibri" w:hAnsi="Calibri" w:cs="Calibri"/>
                <w:b/>
                <w:bCs/>
                <w:color w:val="000000"/>
                <w:u w:val="single"/>
              </w:rPr>
              <w:t>Males</w:t>
            </w:r>
          </w:p>
        </w:tc>
        <w:tc>
          <w:tcPr>
            <w:tcW w:w="669" w:type="pct"/>
            <w:tcBorders>
              <w:top w:val="nil"/>
              <w:left w:val="nil"/>
              <w:bottom w:val="nil"/>
              <w:right w:val="nil"/>
            </w:tcBorders>
            <w:shd w:val="clear" w:color="auto" w:fill="auto"/>
            <w:vAlign w:val="bottom"/>
            <w:hideMark/>
          </w:tcPr>
          <w:p w:rsidR="009A45D5" w:rsidRPr="009A45D5" w:rsidRDefault="009A45D5" w:rsidP="009A45D5">
            <w:pPr>
              <w:jc w:val="center"/>
              <w:rPr>
                <w:rFonts w:ascii="Calibri" w:hAnsi="Calibri" w:cs="Calibri"/>
                <w:b/>
                <w:bCs/>
                <w:color w:val="000000"/>
                <w:u w:val="single"/>
              </w:rPr>
            </w:pPr>
          </w:p>
        </w:tc>
        <w:tc>
          <w:tcPr>
            <w:tcW w:w="780" w:type="pct"/>
            <w:tcBorders>
              <w:top w:val="nil"/>
              <w:left w:val="nil"/>
              <w:bottom w:val="nil"/>
              <w:right w:val="nil"/>
            </w:tcBorders>
            <w:shd w:val="clear" w:color="auto" w:fill="auto"/>
            <w:vAlign w:val="bottom"/>
            <w:hideMark/>
          </w:tcPr>
          <w:p w:rsidR="009A45D5" w:rsidRPr="009A45D5" w:rsidRDefault="009A45D5" w:rsidP="009A45D5">
            <w:pPr>
              <w:jc w:val="center"/>
              <w:rPr>
                <w:sz w:val="20"/>
                <w:szCs w:val="20"/>
              </w:rPr>
            </w:pPr>
          </w:p>
        </w:tc>
        <w:tc>
          <w:tcPr>
            <w:tcW w:w="670" w:type="pct"/>
            <w:tcBorders>
              <w:top w:val="nil"/>
              <w:left w:val="nil"/>
              <w:bottom w:val="nil"/>
              <w:right w:val="nil"/>
            </w:tcBorders>
            <w:shd w:val="clear" w:color="auto" w:fill="auto"/>
            <w:vAlign w:val="bottom"/>
            <w:hideMark/>
          </w:tcPr>
          <w:p w:rsidR="009A45D5" w:rsidRPr="009A45D5" w:rsidRDefault="009A45D5" w:rsidP="009A45D5">
            <w:pPr>
              <w:jc w:val="center"/>
              <w:rPr>
                <w:sz w:val="20"/>
                <w:szCs w:val="20"/>
              </w:rPr>
            </w:pPr>
          </w:p>
        </w:tc>
        <w:tc>
          <w:tcPr>
            <w:tcW w:w="770" w:type="pct"/>
            <w:tcBorders>
              <w:top w:val="nil"/>
              <w:left w:val="nil"/>
              <w:bottom w:val="nil"/>
              <w:right w:val="nil"/>
            </w:tcBorders>
            <w:shd w:val="clear" w:color="auto" w:fill="auto"/>
            <w:vAlign w:val="bottom"/>
            <w:hideMark/>
          </w:tcPr>
          <w:p w:rsidR="009A45D5" w:rsidRPr="009A45D5" w:rsidRDefault="009A45D5" w:rsidP="009A45D5">
            <w:pPr>
              <w:jc w:val="center"/>
              <w:rPr>
                <w:sz w:val="20"/>
                <w:szCs w:val="20"/>
              </w:rPr>
            </w:pPr>
          </w:p>
        </w:tc>
      </w:tr>
      <w:tr w:rsidR="006827B3" w:rsidRPr="009A45D5" w:rsidTr="001068B9">
        <w:trPr>
          <w:trHeight w:val="290"/>
        </w:trPr>
        <w:tc>
          <w:tcPr>
            <w:tcW w:w="2112" w:type="pct"/>
            <w:tcBorders>
              <w:top w:val="nil"/>
              <w:left w:val="nil"/>
              <w:bottom w:val="nil"/>
              <w:right w:val="nil"/>
            </w:tcBorders>
            <w:shd w:val="clear" w:color="auto" w:fill="auto"/>
            <w:vAlign w:val="bottom"/>
            <w:hideMark/>
          </w:tcPr>
          <w:p w:rsidR="009A45D5" w:rsidRPr="009A45D5" w:rsidRDefault="009A45D5" w:rsidP="009A45D5">
            <w:pPr>
              <w:rPr>
                <w:rFonts w:ascii="Calibri" w:hAnsi="Calibri" w:cs="Calibri"/>
                <w:color w:val="000000"/>
              </w:rPr>
            </w:pPr>
            <w:r w:rsidRPr="009A45D5">
              <w:rPr>
                <w:rFonts w:ascii="Calibri" w:hAnsi="Calibri" w:cs="Calibri"/>
                <w:color w:val="000000"/>
              </w:rPr>
              <w:t>Uninsured x Post</w:t>
            </w:r>
          </w:p>
        </w:tc>
        <w:tc>
          <w:tcPr>
            <w:tcW w:w="669"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-0.00382</w:t>
            </w:r>
          </w:p>
        </w:tc>
        <w:tc>
          <w:tcPr>
            <w:tcW w:w="780"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-0.0126</w:t>
            </w:r>
          </w:p>
        </w:tc>
        <w:tc>
          <w:tcPr>
            <w:tcW w:w="670"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0.0424**</w:t>
            </w:r>
          </w:p>
        </w:tc>
        <w:tc>
          <w:tcPr>
            <w:tcW w:w="770"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0.546</w:t>
            </w:r>
          </w:p>
        </w:tc>
      </w:tr>
      <w:tr w:rsidR="006827B3" w:rsidRPr="009A45D5" w:rsidTr="001068B9">
        <w:trPr>
          <w:trHeight w:val="310"/>
        </w:trPr>
        <w:tc>
          <w:tcPr>
            <w:tcW w:w="2112" w:type="pct"/>
            <w:tcBorders>
              <w:top w:val="nil"/>
              <w:left w:val="nil"/>
              <w:bottom w:val="nil"/>
              <w:right w:val="nil"/>
            </w:tcBorders>
            <w:shd w:val="clear" w:color="auto" w:fill="auto"/>
            <w:vAlign w:val="bottom"/>
            <w:hideMark/>
          </w:tcPr>
          <w:p w:rsidR="009A45D5" w:rsidRPr="009A45D5" w:rsidRDefault="009A45D5" w:rsidP="009A45D5">
            <w:pPr>
              <w:jc w:val="center"/>
              <w:rPr>
                <w:rFonts w:ascii="Calibri" w:hAnsi="Calibri" w:cs="Calibri"/>
                <w:color w:val="000000"/>
              </w:rPr>
            </w:pPr>
          </w:p>
        </w:tc>
        <w:tc>
          <w:tcPr>
            <w:tcW w:w="669"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(0.0314)</w:t>
            </w:r>
          </w:p>
        </w:tc>
        <w:tc>
          <w:tcPr>
            <w:tcW w:w="780"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(0.0153)</w:t>
            </w:r>
          </w:p>
        </w:tc>
        <w:tc>
          <w:tcPr>
            <w:tcW w:w="670"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(0.0171)</w:t>
            </w:r>
          </w:p>
        </w:tc>
        <w:tc>
          <w:tcPr>
            <w:tcW w:w="770"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(0.3333)</w:t>
            </w:r>
          </w:p>
        </w:tc>
      </w:tr>
      <w:tr w:rsidR="006827B3" w:rsidRPr="009A45D5" w:rsidTr="001068B9">
        <w:trPr>
          <w:trHeight w:val="310"/>
        </w:trPr>
        <w:tc>
          <w:tcPr>
            <w:tcW w:w="2112" w:type="pct"/>
            <w:tcBorders>
              <w:top w:val="nil"/>
              <w:left w:val="nil"/>
              <w:bottom w:val="nil"/>
              <w:right w:val="nil"/>
            </w:tcBorders>
            <w:shd w:val="clear" w:color="auto" w:fill="auto"/>
            <w:vAlign w:val="bottom"/>
            <w:hideMark/>
          </w:tcPr>
          <w:p w:rsidR="009A45D5" w:rsidRPr="009A45D5" w:rsidRDefault="009A45D5" w:rsidP="009A45D5">
            <w:pPr>
              <w:jc w:val="center"/>
              <w:rPr>
                <w:rFonts w:ascii="Calibri" w:hAnsi="Calibri" w:cs="Calibri"/>
                <w:color w:val="000000"/>
              </w:rPr>
            </w:pPr>
          </w:p>
        </w:tc>
        <w:tc>
          <w:tcPr>
            <w:tcW w:w="669" w:type="pct"/>
            <w:tcBorders>
              <w:top w:val="nil"/>
              <w:left w:val="nil"/>
              <w:bottom w:val="nil"/>
              <w:right w:val="nil"/>
            </w:tcBorders>
            <w:shd w:val="clear" w:color="auto" w:fill="auto"/>
            <w:noWrap/>
            <w:vAlign w:val="bottom"/>
            <w:hideMark/>
          </w:tcPr>
          <w:p w:rsidR="009A45D5" w:rsidRPr="009A45D5" w:rsidRDefault="009A45D5" w:rsidP="009A45D5">
            <w:pPr>
              <w:rPr>
                <w:sz w:val="20"/>
                <w:szCs w:val="20"/>
              </w:rPr>
            </w:pPr>
          </w:p>
        </w:tc>
        <w:tc>
          <w:tcPr>
            <w:tcW w:w="780" w:type="pct"/>
            <w:tcBorders>
              <w:top w:val="nil"/>
              <w:left w:val="nil"/>
              <w:bottom w:val="nil"/>
              <w:right w:val="nil"/>
            </w:tcBorders>
            <w:shd w:val="clear" w:color="auto" w:fill="auto"/>
            <w:noWrap/>
            <w:vAlign w:val="bottom"/>
            <w:hideMark/>
          </w:tcPr>
          <w:p w:rsidR="009A45D5" w:rsidRPr="009A45D5" w:rsidRDefault="009A45D5" w:rsidP="009A45D5">
            <w:pPr>
              <w:jc w:val="center"/>
              <w:rPr>
                <w:sz w:val="20"/>
                <w:szCs w:val="20"/>
              </w:rPr>
            </w:pPr>
          </w:p>
        </w:tc>
        <w:tc>
          <w:tcPr>
            <w:tcW w:w="670" w:type="pct"/>
            <w:tcBorders>
              <w:top w:val="nil"/>
              <w:left w:val="nil"/>
              <w:bottom w:val="nil"/>
              <w:right w:val="nil"/>
            </w:tcBorders>
            <w:shd w:val="clear" w:color="auto" w:fill="auto"/>
            <w:noWrap/>
            <w:vAlign w:val="bottom"/>
            <w:hideMark/>
          </w:tcPr>
          <w:p w:rsidR="009A45D5" w:rsidRPr="009A45D5" w:rsidRDefault="009A45D5" w:rsidP="009A45D5">
            <w:pPr>
              <w:jc w:val="center"/>
              <w:rPr>
                <w:sz w:val="20"/>
                <w:szCs w:val="20"/>
              </w:rPr>
            </w:pPr>
          </w:p>
        </w:tc>
        <w:tc>
          <w:tcPr>
            <w:tcW w:w="770" w:type="pct"/>
            <w:tcBorders>
              <w:top w:val="nil"/>
              <w:left w:val="nil"/>
              <w:bottom w:val="nil"/>
              <w:right w:val="nil"/>
            </w:tcBorders>
            <w:shd w:val="clear" w:color="auto" w:fill="auto"/>
            <w:noWrap/>
            <w:vAlign w:val="bottom"/>
            <w:hideMark/>
          </w:tcPr>
          <w:p w:rsidR="009A45D5" w:rsidRPr="009A45D5" w:rsidRDefault="009A45D5" w:rsidP="009A45D5">
            <w:pPr>
              <w:jc w:val="center"/>
              <w:rPr>
                <w:sz w:val="20"/>
                <w:szCs w:val="20"/>
              </w:rPr>
            </w:pPr>
          </w:p>
        </w:tc>
      </w:tr>
      <w:tr w:rsidR="006827B3" w:rsidRPr="009A45D5" w:rsidTr="001068B9">
        <w:trPr>
          <w:trHeight w:val="290"/>
        </w:trPr>
        <w:tc>
          <w:tcPr>
            <w:tcW w:w="2112" w:type="pct"/>
            <w:tcBorders>
              <w:top w:val="nil"/>
              <w:left w:val="nil"/>
              <w:bottom w:val="nil"/>
              <w:right w:val="nil"/>
            </w:tcBorders>
            <w:shd w:val="clear" w:color="auto" w:fill="auto"/>
            <w:vAlign w:val="bottom"/>
            <w:hideMark/>
          </w:tcPr>
          <w:p w:rsidR="009A45D5" w:rsidRPr="009A45D5" w:rsidRDefault="009A45D5" w:rsidP="009A45D5">
            <w:pPr>
              <w:rPr>
                <w:rFonts w:ascii="Calibri" w:hAnsi="Calibri" w:cs="Calibri"/>
                <w:color w:val="000000"/>
              </w:rPr>
            </w:pPr>
            <w:r w:rsidRPr="009A45D5">
              <w:rPr>
                <w:rFonts w:ascii="Calibri" w:hAnsi="Calibri" w:cs="Calibri"/>
                <w:color w:val="000000"/>
              </w:rPr>
              <w:t>Medicaid x Uninsured x Post</w:t>
            </w:r>
          </w:p>
        </w:tc>
        <w:tc>
          <w:tcPr>
            <w:tcW w:w="669"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-0.0130</w:t>
            </w:r>
          </w:p>
        </w:tc>
        <w:tc>
          <w:tcPr>
            <w:tcW w:w="780"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0.0208</w:t>
            </w:r>
          </w:p>
        </w:tc>
        <w:tc>
          <w:tcPr>
            <w:tcW w:w="670"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-0.00771</w:t>
            </w:r>
          </w:p>
        </w:tc>
        <w:tc>
          <w:tcPr>
            <w:tcW w:w="770"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0.225</w:t>
            </w:r>
          </w:p>
        </w:tc>
      </w:tr>
      <w:tr w:rsidR="006827B3" w:rsidRPr="009A45D5" w:rsidTr="001068B9">
        <w:trPr>
          <w:trHeight w:val="310"/>
        </w:trPr>
        <w:tc>
          <w:tcPr>
            <w:tcW w:w="2112" w:type="pct"/>
            <w:tcBorders>
              <w:top w:val="nil"/>
              <w:left w:val="nil"/>
              <w:bottom w:val="nil"/>
              <w:right w:val="nil"/>
            </w:tcBorders>
            <w:shd w:val="clear" w:color="auto" w:fill="auto"/>
            <w:vAlign w:val="bottom"/>
            <w:hideMark/>
          </w:tcPr>
          <w:p w:rsidR="009A45D5" w:rsidRPr="009A45D5" w:rsidRDefault="009A45D5" w:rsidP="009A45D5">
            <w:pPr>
              <w:jc w:val="center"/>
              <w:rPr>
                <w:rFonts w:ascii="Calibri" w:hAnsi="Calibri" w:cs="Calibri"/>
                <w:color w:val="000000"/>
              </w:rPr>
            </w:pPr>
          </w:p>
        </w:tc>
        <w:tc>
          <w:tcPr>
            <w:tcW w:w="669" w:type="pct"/>
            <w:tcBorders>
              <w:top w:val="nil"/>
              <w:left w:val="nil"/>
              <w:bottom w:val="single" w:sz="4" w:space="0" w:color="auto"/>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(0.0368)</w:t>
            </w:r>
          </w:p>
        </w:tc>
        <w:tc>
          <w:tcPr>
            <w:tcW w:w="780" w:type="pct"/>
            <w:tcBorders>
              <w:top w:val="nil"/>
              <w:left w:val="nil"/>
              <w:bottom w:val="single" w:sz="4" w:space="0" w:color="auto"/>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(0.0205)</w:t>
            </w:r>
          </w:p>
        </w:tc>
        <w:tc>
          <w:tcPr>
            <w:tcW w:w="670" w:type="pct"/>
            <w:tcBorders>
              <w:top w:val="nil"/>
              <w:left w:val="nil"/>
              <w:bottom w:val="single" w:sz="4" w:space="0" w:color="auto"/>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(0.0206)</w:t>
            </w:r>
          </w:p>
        </w:tc>
        <w:tc>
          <w:tcPr>
            <w:tcW w:w="770" w:type="pct"/>
            <w:tcBorders>
              <w:top w:val="nil"/>
              <w:left w:val="nil"/>
              <w:bottom w:val="single" w:sz="4" w:space="0" w:color="auto"/>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(0.7319)</w:t>
            </w:r>
          </w:p>
        </w:tc>
      </w:tr>
      <w:tr w:rsidR="006827B3" w:rsidRPr="009A45D5" w:rsidTr="001068B9">
        <w:trPr>
          <w:trHeight w:val="310"/>
        </w:trPr>
        <w:tc>
          <w:tcPr>
            <w:tcW w:w="2112" w:type="pct"/>
            <w:tcBorders>
              <w:top w:val="nil"/>
              <w:left w:val="nil"/>
              <w:bottom w:val="nil"/>
              <w:right w:val="nil"/>
            </w:tcBorders>
            <w:shd w:val="clear" w:color="auto" w:fill="auto"/>
            <w:vAlign w:val="bottom"/>
            <w:hideMark/>
          </w:tcPr>
          <w:p w:rsidR="009A45D5" w:rsidRPr="009A45D5" w:rsidRDefault="009A45D5" w:rsidP="009A45D5">
            <w:pPr>
              <w:jc w:val="center"/>
              <w:rPr>
                <w:rFonts w:ascii="Calibri" w:hAnsi="Calibri" w:cs="Calibri"/>
                <w:b/>
                <w:bCs/>
                <w:color w:val="000000"/>
                <w:u w:val="single"/>
              </w:rPr>
            </w:pPr>
            <w:r w:rsidRPr="009A45D5">
              <w:rPr>
                <w:rFonts w:ascii="Calibri" w:hAnsi="Calibri" w:cs="Calibri"/>
                <w:b/>
                <w:bCs/>
                <w:color w:val="000000"/>
                <w:u w:val="single"/>
              </w:rPr>
              <w:t>Females</w:t>
            </w:r>
          </w:p>
        </w:tc>
        <w:tc>
          <w:tcPr>
            <w:tcW w:w="669"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b/>
                <w:bCs/>
                <w:color w:val="000000"/>
                <w:u w:val="single"/>
              </w:rPr>
            </w:pPr>
          </w:p>
        </w:tc>
        <w:tc>
          <w:tcPr>
            <w:tcW w:w="780" w:type="pct"/>
            <w:tcBorders>
              <w:top w:val="nil"/>
              <w:left w:val="nil"/>
              <w:bottom w:val="nil"/>
              <w:right w:val="nil"/>
            </w:tcBorders>
            <w:shd w:val="clear" w:color="auto" w:fill="auto"/>
            <w:noWrap/>
            <w:vAlign w:val="bottom"/>
            <w:hideMark/>
          </w:tcPr>
          <w:p w:rsidR="009A45D5" w:rsidRPr="009A45D5" w:rsidRDefault="009A45D5" w:rsidP="009A45D5">
            <w:pPr>
              <w:jc w:val="center"/>
              <w:rPr>
                <w:sz w:val="20"/>
                <w:szCs w:val="20"/>
              </w:rPr>
            </w:pPr>
          </w:p>
        </w:tc>
        <w:tc>
          <w:tcPr>
            <w:tcW w:w="670" w:type="pct"/>
            <w:tcBorders>
              <w:top w:val="nil"/>
              <w:left w:val="nil"/>
              <w:bottom w:val="nil"/>
              <w:right w:val="nil"/>
            </w:tcBorders>
            <w:shd w:val="clear" w:color="auto" w:fill="auto"/>
            <w:noWrap/>
            <w:vAlign w:val="bottom"/>
            <w:hideMark/>
          </w:tcPr>
          <w:p w:rsidR="009A45D5" w:rsidRPr="009A45D5" w:rsidRDefault="009A45D5" w:rsidP="009A45D5">
            <w:pPr>
              <w:jc w:val="center"/>
              <w:rPr>
                <w:sz w:val="20"/>
                <w:szCs w:val="20"/>
              </w:rPr>
            </w:pPr>
          </w:p>
        </w:tc>
        <w:tc>
          <w:tcPr>
            <w:tcW w:w="770" w:type="pct"/>
            <w:tcBorders>
              <w:top w:val="nil"/>
              <w:left w:val="nil"/>
              <w:bottom w:val="nil"/>
              <w:right w:val="nil"/>
            </w:tcBorders>
            <w:shd w:val="clear" w:color="auto" w:fill="auto"/>
            <w:noWrap/>
            <w:vAlign w:val="bottom"/>
            <w:hideMark/>
          </w:tcPr>
          <w:p w:rsidR="009A45D5" w:rsidRPr="009A45D5" w:rsidRDefault="009A45D5" w:rsidP="009A45D5">
            <w:pPr>
              <w:jc w:val="center"/>
              <w:rPr>
                <w:sz w:val="20"/>
                <w:szCs w:val="20"/>
              </w:rPr>
            </w:pPr>
          </w:p>
        </w:tc>
      </w:tr>
      <w:tr w:rsidR="006827B3" w:rsidRPr="009A45D5" w:rsidTr="001068B9">
        <w:trPr>
          <w:trHeight w:val="310"/>
        </w:trPr>
        <w:tc>
          <w:tcPr>
            <w:tcW w:w="2112" w:type="pct"/>
            <w:tcBorders>
              <w:top w:val="nil"/>
              <w:left w:val="nil"/>
              <w:bottom w:val="nil"/>
              <w:right w:val="nil"/>
            </w:tcBorders>
            <w:shd w:val="clear" w:color="auto" w:fill="auto"/>
            <w:vAlign w:val="bottom"/>
            <w:hideMark/>
          </w:tcPr>
          <w:p w:rsidR="009A45D5" w:rsidRPr="009A45D5" w:rsidRDefault="009A45D5" w:rsidP="009A45D5">
            <w:pPr>
              <w:rPr>
                <w:rFonts w:ascii="Calibri" w:hAnsi="Calibri" w:cs="Calibri"/>
                <w:color w:val="000000"/>
              </w:rPr>
            </w:pPr>
            <w:r w:rsidRPr="009A45D5">
              <w:rPr>
                <w:rFonts w:ascii="Calibri" w:hAnsi="Calibri" w:cs="Calibri"/>
                <w:color w:val="000000"/>
              </w:rPr>
              <w:t>Uninsured x Post</w:t>
            </w:r>
          </w:p>
        </w:tc>
        <w:tc>
          <w:tcPr>
            <w:tcW w:w="669"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-0.0104</w:t>
            </w:r>
          </w:p>
        </w:tc>
        <w:tc>
          <w:tcPr>
            <w:tcW w:w="780"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-0.00264</w:t>
            </w:r>
          </w:p>
        </w:tc>
        <w:tc>
          <w:tcPr>
            <w:tcW w:w="670"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0.0586**</w:t>
            </w:r>
          </w:p>
        </w:tc>
        <w:tc>
          <w:tcPr>
            <w:tcW w:w="770"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0.592</w:t>
            </w:r>
          </w:p>
        </w:tc>
      </w:tr>
      <w:tr w:rsidR="006827B3" w:rsidRPr="009A45D5" w:rsidTr="001068B9">
        <w:trPr>
          <w:trHeight w:val="310"/>
        </w:trPr>
        <w:tc>
          <w:tcPr>
            <w:tcW w:w="2112" w:type="pct"/>
            <w:tcBorders>
              <w:top w:val="nil"/>
              <w:left w:val="nil"/>
              <w:bottom w:val="nil"/>
              <w:right w:val="nil"/>
            </w:tcBorders>
            <w:shd w:val="clear" w:color="auto" w:fill="auto"/>
            <w:vAlign w:val="bottom"/>
            <w:hideMark/>
          </w:tcPr>
          <w:p w:rsidR="009A45D5" w:rsidRPr="009A45D5" w:rsidRDefault="009A45D5" w:rsidP="009A45D5">
            <w:pPr>
              <w:jc w:val="center"/>
              <w:rPr>
                <w:rFonts w:ascii="Calibri" w:hAnsi="Calibri" w:cs="Calibri"/>
                <w:color w:val="000000"/>
              </w:rPr>
            </w:pPr>
          </w:p>
        </w:tc>
        <w:tc>
          <w:tcPr>
            <w:tcW w:w="669"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(0.0344)</w:t>
            </w:r>
          </w:p>
        </w:tc>
        <w:tc>
          <w:tcPr>
            <w:tcW w:w="780"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(0.0276)</w:t>
            </w:r>
          </w:p>
        </w:tc>
        <w:tc>
          <w:tcPr>
            <w:tcW w:w="670"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(0.0233)</w:t>
            </w:r>
          </w:p>
        </w:tc>
        <w:tc>
          <w:tcPr>
            <w:tcW w:w="770"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(0.8255)</w:t>
            </w:r>
          </w:p>
        </w:tc>
      </w:tr>
      <w:tr w:rsidR="006827B3" w:rsidRPr="009A45D5" w:rsidTr="001068B9">
        <w:trPr>
          <w:trHeight w:val="310"/>
        </w:trPr>
        <w:tc>
          <w:tcPr>
            <w:tcW w:w="2112" w:type="pct"/>
            <w:tcBorders>
              <w:top w:val="nil"/>
              <w:left w:val="nil"/>
              <w:bottom w:val="nil"/>
              <w:right w:val="nil"/>
            </w:tcBorders>
            <w:shd w:val="clear" w:color="auto" w:fill="auto"/>
            <w:vAlign w:val="bottom"/>
            <w:hideMark/>
          </w:tcPr>
          <w:p w:rsidR="009A45D5" w:rsidRPr="009A45D5" w:rsidRDefault="009A45D5" w:rsidP="009A45D5">
            <w:pPr>
              <w:jc w:val="center"/>
              <w:rPr>
                <w:rFonts w:ascii="Calibri" w:hAnsi="Calibri" w:cs="Calibri"/>
                <w:color w:val="000000"/>
              </w:rPr>
            </w:pPr>
          </w:p>
        </w:tc>
        <w:tc>
          <w:tcPr>
            <w:tcW w:w="669" w:type="pct"/>
            <w:tcBorders>
              <w:top w:val="nil"/>
              <w:left w:val="nil"/>
              <w:bottom w:val="nil"/>
              <w:right w:val="nil"/>
            </w:tcBorders>
            <w:shd w:val="clear" w:color="auto" w:fill="auto"/>
            <w:noWrap/>
            <w:vAlign w:val="bottom"/>
            <w:hideMark/>
          </w:tcPr>
          <w:p w:rsidR="009A45D5" w:rsidRPr="009A45D5" w:rsidRDefault="009A45D5" w:rsidP="009A45D5">
            <w:pPr>
              <w:rPr>
                <w:sz w:val="20"/>
                <w:szCs w:val="20"/>
              </w:rPr>
            </w:pPr>
          </w:p>
        </w:tc>
        <w:tc>
          <w:tcPr>
            <w:tcW w:w="780" w:type="pct"/>
            <w:tcBorders>
              <w:top w:val="nil"/>
              <w:left w:val="nil"/>
              <w:bottom w:val="nil"/>
              <w:right w:val="nil"/>
            </w:tcBorders>
            <w:shd w:val="clear" w:color="auto" w:fill="auto"/>
            <w:noWrap/>
            <w:vAlign w:val="bottom"/>
            <w:hideMark/>
          </w:tcPr>
          <w:p w:rsidR="009A45D5" w:rsidRPr="009A45D5" w:rsidRDefault="009A45D5" w:rsidP="009A45D5">
            <w:pPr>
              <w:jc w:val="center"/>
              <w:rPr>
                <w:sz w:val="20"/>
                <w:szCs w:val="20"/>
              </w:rPr>
            </w:pPr>
          </w:p>
        </w:tc>
        <w:tc>
          <w:tcPr>
            <w:tcW w:w="670" w:type="pct"/>
            <w:tcBorders>
              <w:top w:val="nil"/>
              <w:left w:val="nil"/>
              <w:bottom w:val="nil"/>
              <w:right w:val="nil"/>
            </w:tcBorders>
            <w:shd w:val="clear" w:color="auto" w:fill="auto"/>
            <w:noWrap/>
            <w:vAlign w:val="bottom"/>
            <w:hideMark/>
          </w:tcPr>
          <w:p w:rsidR="009A45D5" w:rsidRPr="009A45D5" w:rsidRDefault="009A45D5" w:rsidP="009A45D5">
            <w:pPr>
              <w:jc w:val="center"/>
              <w:rPr>
                <w:sz w:val="20"/>
                <w:szCs w:val="20"/>
              </w:rPr>
            </w:pPr>
          </w:p>
        </w:tc>
        <w:tc>
          <w:tcPr>
            <w:tcW w:w="770" w:type="pct"/>
            <w:tcBorders>
              <w:top w:val="nil"/>
              <w:left w:val="nil"/>
              <w:bottom w:val="nil"/>
              <w:right w:val="nil"/>
            </w:tcBorders>
            <w:shd w:val="clear" w:color="auto" w:fill="auto"/>
            <w:noWrap/>
            <w:vAlign w:val="bottom"/>
            <w:hideMark/>
          </w:tcPr>
          <w:p w:rsidR="009A45D5" w:rsidRPr="009A45D5" w:rsidRDefault="009A45D5" w:rsidP="009A45D5">
            <w:pPr>
              <w:jc w:val="center"/>
              <w:rPr>
                <w:sz w:val="20"/>
                <w:szCs w:val="20"/>
              </w:rPr>
            </w:pPr>
          </w:p>
        </w:tc>
      </w:tr>
      <w:tr w:rsidR="006827B3" w:rsidRPr="009A45D5" w:rsidTr="001068B9">
        <w:trPr>
          <w:trHeight w:val="290"/>
        </w:trPr>
        <w:tc>
          <w:tcPr>
            <w:tcW w:w="2112" w:type="pct"/>
            <w:tcBorders>
              <w:top w:val="nil"/>
              <w:left w:val="nil"/>
              <w:bottom w:val="nil"/>
              <w:right w:val="nil"/>
            </w:tcBorders>
            <w:shd w:val="clear" w:color="auto" w:fill="auto"/>
            <w:vAlign w:val="bottom"/>
            <w:hideMark/>
          </w:tcPr>
          <w:p w:rsidR="009A45D5" w:rsidRPr="009A45D5" w:rsidRDefault="009A45D5" w:rsidP="009A45D5">
            <w:pPr>
              <w:rPr>
                <w:rFonts w:ascii="Calibri" w:hAnsi="Calibri" w:cs="Calibri"/>
                <w:color w:val="000000"/>
              </w:rPr>
            </w:pPr>
            <w:r w:rsidRPr="009A45D5">
              <w:rPr>
                <w:rFonts w:ascii="Calibri" w:hAnsi="Calibri" w:cs="Calibri"/>
                <w:color w:val="000000"/>
              </w:rPr>
              <w:t>Medicaid x Uninsured x Post</w:t>
            </w:r>
          </w:p>
        </w:tc>
        <w:tc>
          <w:tcPr>
            <w:tcW w:w="669"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-0.0442</w:t>
            </w:r>
          </w:p>
        </w:tc>
        <w:tc>
          <w:tcPr>
            <w:tcW w:w="780"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-0.0464</w:t>
            </w:r>
          </w:p>
        </w:tc>
        <w:tc>
          <w:tcPr>
            <w:tcW w:w="670"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-0.00416</w:t>
            </w:r>
          </w:p>
        </w:tc>
        <w:tc>
          <w:tcPr>
            <w:tcW w:w="770"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-1.182</w:t>
            </w:r>
          </w:p>
        </w:tc>
      </w:tr>
      <w:tr w:rsidR="006827B3" w:rsidRPr="009A45D5" w:rsidTr="001068B9">
        <w:trPr>
          <w:trHeight w:val="310"/>
        </w:trPr>
        <w:tc>
          <w:tcPr>
            <w:tcW w:w="2112" w:type="pct"/>
            <w:tcBorders>
              <w:top w:val="nil"/>
              <w:left w:val="nil"/>
              <w:bottom w:val="single" w:sz="4" w:space="0" w:color="auto"/>
              <w:right w:val="nil"/>
            </w:tcBorders>
            <w:shd w:val="clear" w:color="auto" w:fill="auto"/>
            <w:vAlign w:val="bottom"/>
            <w:hideMark/>
          </w:tcPr>
          <w:p w:rsidR="009A45D5" w:rsidRPr="009A45D5" w:rsidRDefault="009A45D5" w:rsidP="009A45D5">
            <w:pPr>
              <w:rPr>
                <w:rFonts w:ascii="Calibri" w:hAnsi="Calibri" w:cs="Calibri"/>
                <w:color w:val="000000"/>
              </w:rPr>
            </w:pPr>
            <w:r w:rsidRPr="009A45D5">
              <w:rPr>
                <w:rFonts w:ascii="Calibri" w:hAnsi="Calibri" w:cs="Calibri"/>
                <w:color w:val="000000"/>
              </w:rPr>
              <w:t> </w:t>
            </w:r>
          </w:p>
        </w:tc>
        <w:tc>
          <w:tcPr>
            <w:tcW w:w="669" w:type="pct"/>
            <w:tcBorders>
              <w:top w:val="nil"/>
              <w:left w:val="nil"/>
              <w:bottom w:val="single" w:sz="4" w:space="0" w:color="auto"/>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(0.0432)</w:t>
            </w:r>
          </w:p>
        </w:tc>
        <w:tc>
          <w:tcPr>
            <w:tcW w:w="780" w:type="pct"/>
            <w:tcBorders>
              <w:top w:val="nil"/>
              <w:left w:val="nil"/>
              <w:bottom w:val="single" w:sz="4" w:space="0" w:color="auto"/>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(0.0389)</w:t>
            </w:r>
          </w:p>
        </w:tc>
        <w:tc>
          <w:tcPr>
            <w:tcW w:w="670" w:type="pct"/>
            <w:tcBorders>
              <w:top w:val="nil"/>
              <w:left w:val="nil"/>
              <w:bottom w:val="single" w:sz="4" w:space="0" w:color="auto"/>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(0.0319)</w:t>
            </w:r>
          </w:p>
        </w:tc>
        <w:tc>
          <w:tcPr>
            <w:tcW w:w="770" w:type="pct"/>
            <w:tcBorders>
              <w:top w:val="nil"/>
              <w:left w:val="nil"/>
              <w:bottom w:val="single" w:sz="4" w:space="0" w:color="auto"/>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(0.9391)</w:t>
            </w:r>
          </w:p>
        </w:tc>
      </w:tr>
      <w:tr w:rsidR="006827B3" w:rsidRPr="009A45D5" w:rsidTr="001068B9">
        <w:trPr>
          <w:trHeight w:val="310"/>
        </w:trPr>
        <w:tc>
          <w:tcPr>
            <w:tcW w:w="2112" w:type="pct"/>
            <w:tcBorders>
              <w:top w:val="nil"/>
              <w:left w:val="nil"/>
              <w:bottom w:val="nil"/>
              <w:right w:val="nil"/>
            </w:tcBorders>
            <w:shd w:val="clear" w:color="auto" w:fill="auto"/>
            <w:vAlign w:val="bottom"/>
            <w:hideMark/>
          </w:tcPr>
          <w:p w:rsidR="009A45D5" w:rsidRPr="009A45D5" w:rsidRDefault="009A45D5" w:rsidP="009A45D5">
            <w:pPr>
              <w:jc w:val="center"/>
              <w:rPr>
                <w:rFonts w:ascii="Calibri" w:hAnsi="Calibri" w:cs="Calibri"/>
                <w:b/>
                <w:bCs/>
                <w:color w:val="000000"/>
                <w:u w:val="single"/>
              </w:rPr>
            </w:pPr>
            <w:r w:rsidRPr="009A45D5">
              <w:rPr>
                <w:rFonts w:ascii="Calibri" w:hAnsi="Calibri" w:cs="Calibri"/>
                <w:b/>
                <w:bCs/>
                <w:color w:val="000000"/>
                <w:u w:val="single"/>
              </w:rPr>
              <w:t>No College Education</w:t>
            </w:r>
          </w:p>
        </w:tc>
        <w:tc>
          <w:tcPr>
            <w:tcW w:w="669"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b/>
                <w:bCs/>
                <w:color w:val="000000"/>
                <w:u w:val="single"/>
              </w:rPr>
            </w:pPr>
          </w:p>
        </w:tc>
        <w:tc>
          <w:tcPr>
            <w:tcW w:w="780" w:type="pct"/>
            <w:tcBorders>
              <w:top w:val="nil"/>
              <w:left w:val="nil"/>
              <w:bottom w:val="nil"/>
              <w:right w:val="nil"/>
            </w:tcBorders>
            <w:shd w:val="clear" w:color="auto" w:fill="auto"/>
            <w:noWrap/>
            <w:vAlign w:val="bottom"/>
            <w:hideMark/>
          </w:tcPr>
          <w:p w:rsidR="009A45D5" w:rsidRPr="009A45D5" w:rsidRDefault="009A45D5" w:rsidP="009A45D5">
            <w:pPr>
              <w:jc w:val="center"/>
              <w:rPr>
                <w:sz w:val="20"/>
                <w:szCs w:val="20"/>
              </w:rPr>
            </w:pPr>
          </w:p>
        </w:tc>
        <w:tc>
          <w:tcPr>
            <w:tcW w:w="670" w:type="pct"/>
            <w:tcBorders>
              <w:top w:val="nil"/>
              <w:left w:val="nil"/>
              <w:bottom w:val="nil"/>
              <w:right w:val="nil"/>
            </w:tcBorders>
            <w:shd w:val="clear" w:color="auto" w:fill="auto"/>
            <w:noWrap/>
            <w:vAlign w:val="bottom"/>
            <w:hideMark/>
          </w:tcPr>
          <w:p w:rsidR="009A45D5" w:rsidRPr="009A45D5" w:rsidRDefault="009A45D5" w:rsidP="009A45D5">
            <w:pPr>
              <w:jc w:val="center"/>
              <w:rPr>
                <w:sz w:val="20"/>
                <w:szCs w:val="20"/>
              </w:rPr>
            </w:pPr>
          </w:p>
        </w:tc>
        <w:tc>
          <w:tcPr>
            <w:tcW w:w="770" w:type="pct"/>
            <w:tcBorders>
              <w:top w:val="nil"/>
              <w:left w:val="nil"/>
              <w:bottom w:val="nil"/>
              <w:right w:val="nil"/>
            </w:tcBorders>
            <w:shd w:val="clear" w:color="auto" w:fill="auto"/>
            <w:noWrap/>
            <w:vAlign w:val="bottom"/>
            <w:hideMark/>
          </w:tcPr>
          <w:p w:rsidR="009A45D5" w:rsidRPr="009A45D5" w:rsidRDefault="009A45D5" w:rsidP="009A45D5">
            <w:pPr>
              <w:jc w:val="center"/>
              <w:rPr>
                <w:sz w:val="20"/>
                <w:szCs w:val="20"/>
              </w:rPr>
            </w:pPr>
          </w:p>
        </w:tc>
      </w:tr>
      <w:tr w:rsidR="006827B3" w:rsidRPr="009A45D5" w:rsidTr="001068B9">
        <w:trPr>
          <w:trHeight w:val="310"/>
        </w:trPr>
        <w:tc>
          <w:tcPr>
            <w:tcW w:w="2112" w:type="pct"/>
            <w:tcBorders>
              <w:top w:val="nil"/>
              <w:left w:val="nil"/>
              <w:bottom w:val="nil"/>
              <w:right w:val="nil"/>
            </w:tcBorders>
            <w:shd w:val="clear" w:color="auto" w:fill="auto"/>
            <w:vAlign w:val="bottom"/>
            <w:hideMark/>
          </w:tcPr>
          <w:p w:rsidR="009A45D5" w:rsidRPr="009A45D5" w:rsidRDefault="009A45D5" w:rsidP="009A45D5">
            <w:pPr>
              <w:rPr>
                <w:rFonts w:ascii="Calibri" w:hAnsi="Calibri" w:cs="Calibri"/>
                <w:color w:val="000000"/>
              </w:rPr>
            </w:pPr>
            <w:r w:rsidRPr="009A45D5">
              <w:rPr>
                <w:rFonts w:ascii="Calibri" w:hAnsi="Calibri" w:cs="Calibri"/>
                <w:color w:val="000000"/>
              </w:rPr>
              <w:t>Uninsured x Post</w:t>
            </w:r>
          </w:p>
        </w:tc>
        <w:tc>
          <w:tcPr>
            <w:tcW w:w="669"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0.0417</w:t>
            </w:r>
          </w:p>
        </w:tc>
        <w:tc>
          <w:tcPr>
            <w:tcW w:w="780"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-0.0136</w:t>
            </w:r>
          </w:p>
        </w:tc>
        <w:tc>
          <w:tcPr>
            <w:tcW w:w="670"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0.0594**</w:t>
            </w:r>
          </w:p>
        </w:tc>
        <w:tc>
          <w:tcPr>
            <w:tcW w:w="770"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0.112</w:t>
            </w:r>
          </w:p>
        </w:tc>
      </w:tr>
      <w:tr w:rsidR="006827B3" w:rsidRPr="009A45D5" w:rsidTr="001068B9">
        <w:trPr>
          <w:trHeight w:val="310"/>
        </w:trPr>
        <w:tc>
          <w:tcPr>
            <w:tcW w:w="2112" w:type="pct"/>
            <w:tcBorders>
              <w:top w:val="nil"/>
              <w:left w:val="nil"/>
              <w:bottom w:val="nil"/>
              <w:right w:val="nil"/>
            </w:tcBorders>
            <w:shd w:val="clear" w:color="auto" w:fill="auto"/>
            <w:vAlign w:val="bottom"/>
            <w:hideMark/>
          </w:tcPr>
          <w:p w:rsidR="009A45D5" w:rsidRPr="009A45D5" w:rsidRDefault="009A45D5" w:rsidP="009A45D5">
            <w:pPr>
              <w:jc w:val="center"/>
              <w:rPr>
                <w:rFonts w:ascii="Calibri" w:hAnsi="Calibri" w:cs="Calibri"/>
                <w:color w:val="000000"/>
              </w:rPr>
            </w:pPr>
          </w:p>
        </w:tc>
        <w:tc>
          <w:tcPr>
            <w:tcW w:w="669"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(0.0293)</w:t>
            </w:r>
          </w:p>
        </w:tc>
        <w:tc>
          <w:tcPr>
            <w:tcW w:w="780"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(0.0244)</w:t>
            </w:r>
          </w:p>
        </w:tc>
        <w:tc>
          <w:tcPr>
            <w:tcW w:w="670"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(0.0236)</w:t>
            </w:r>
          </w:p>
        </w:tc>
        <w:tc>
          <w:tcPr>
            <w:tcW w:w="770"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(0.5399)</w:t>
            </w:r>
          </w:p>
        </w:tc>
      </w:tr>
      <w:tr w:rsidR="006827B3" w:rsidRPr="009A45D5" w:rsidTr="001068B9">
        <w:trPr>
          <w:trHeight w:val="310"/>
        </w:trPr>
        <w:tc>
          <w:tcPr>
            <w:tcW w:w="2112" w:type="pct"/>
            <w:tcBorders>
              <w:top w:val="nil"/>
              <w:left w:val="nil"/>
              <w:bottom w:val="nil"/>
              <w:right w:val="nil"/>
            </w:tcBorders>
            <w:shd w:val="clear" w:color="auto" w:fill="auto"/>
            <w:vAlign w:val="bottom"/>
            <w:hideMark/>
          </w:tcPr>
          <w:p w:rsidR="009A45D5" w:rsidRPr="009A45D5" w:rsidRDefault="009A45D5" w:rsidP="009A45D5">
            <w:pPr>
              <w:jc w:val="center"/>
              <w:rPr>
                <w:rFonts w:ascii="Calibri" w:hAnsi="Calibri" w:cs="Calibri"/>
                <w:color w:val="000000"/>
              </w:rPr>
            </w:pPr>
          </w:p>
        </w:tc>
        <w:tc>
          <w:tcPr>
            <w:tcW w:w="669" w:type="pct"/>
            <w:tcBorders>
              <w:top w:val="nil"/>
              <w:left w:val="nil"/>
              <w:bottom w:val="nil"/>
              <w:right w:val="nil"/>
            </w:tcBorders>
            <w:shd w:val="clear" w:color="auto" w:fill="auto"/>
            <w:noWrap/>
            <w:vAlign w:val="bottom"/>
            <w:hideMark/>
          </w:tcPr>
          <w:p w:rsidR="009A45D5" w:rsidRPr="009A45D5" w:rsidRDefault="009A45D5" w:rsidP="009A45D5">
            <w:pPr>
              <w:rPr>
                <w:sz w:val="20"/>
                <w:szCs w:val="20"/>
              </w:rPr>
            </w:pPr>
          </w:p>
        </w:tc>
        <w:tc>
          <w:tcPr>
            <w:tcW w:w="780" w:type="pct"/>
            <w:tcBorders>
              <w:top w:val="nil"/>
              <w:left w:val="nil"/>
              <w:bottom w:val="nil"/>
              <w:right w:val="nil"/>
            </w:tcBorders>
            <w:shd w:val="clear" w:color="auto" w:fill="auto"/>
            <w:noWrap/>
            <w:vAlign w:val="bottom"/>
            <w:hideMark/>
          </w:tcPr>
          <w:p w:rsidR="009A45D5" w:rsidRPr="009A45D5" w:rsidRDefault="009A45D5" w:rsidP="009A45D5">
            <w:pPr>
              <w:jc w:val="center"/>
              <w:rPr>
                <w:sz w:val="20"/>
                <w:szCs w:val="20"/>
              </w:rPr>
            </w:pPr>
          </w:p>
        </w:tc>
        <w:tc>
          <w:tcPr>
            <w:tcW w:w="670" w:type="pct"/>
            <w:tcBorders>
              <w:top w:val="nil"/>
              <w:left w:val="nil"/>
              <w:bottom w:val="nil"/>
              <w:right w:val="nil"/>
            </w:tcBorders>
            <w:shd w:val="clear" w:color="auto" w:fill="auto"/>
            <w:noWrap/>
            <w:vAlign w:val="bottom"/>
            <w:hideMark/>
          </w:tcPr>
          <w:p w:rsidR="009A45D5" w:rsidRPr="009A45D5" w:rsidRDefault="009A45D5" w:rsidP="009A45D5">
            <w:pPr>
              <w:jc w:val="center"/>
              <w:rPr>
                <w:sz w:val="20"/>
                <w:szCs w:val="20"/>
              </w:rPr>
            </w:pPr>
          </w:p>
        </w:tc>
        <w:tc>
          <w:tcPr>
            <w:tcW w:w="770" w:type="pct"/>
            <w:tcBorders>
              <w:top w:val="nil"/>
              <w:left w:val="nil"/>
              <w:bottom w:val="nil"/>
              <w:right w:val="nil"/>
            </w:tcBorders>
            <w:shd w:val="clear" w:color="auto" w:fill="auto"/>
            <w:noWrap/>
            <w:vAlign w:val="bottom"/>
            <w:hideMark/>
          </w:tcPr>
          <w:p w:rsidR="009A45D5" w:rsidRPr="009A45D5" w:rsidRDefault="009A45D5" w:rsidP="009A45D5">
            <w:pPr>
              <w:jc w:val="center"/>
              <w:rPr>
                <w:sz w:val="20"/>
                <w:szCs w:val="20"/>
              </w:rPr>
            </w:pPr>
          </w:p>
        </w:tc>
      </w:tr>
      <w:tr w:rsidR="006827B3" w:rsidRPr="009A45D5" w:rsidTr="001068B9">
        <w:trPr>
          <w:trHeight w:val="290"/>
        </w:trPr>
        <w:tc>
          <w:tcPr>
            <w:tcW w:w="2112" w:type="pct"/>
            <w:tcBorders>
              <w:top w:val="nil"/>
              <w:left w:val="nil"/>
              <w:bottom w:val="nil"/>
              <w:right w:val="nil"/>
            </w:tcBorders>
            <w:shd w:val="clear" w:color="auto" w:fill="auto"/>
            <w:vAlign w:val="bottom"/>
            <w:hideMark/>
          </w:tcPr>
          <w:p w:rsidR="009A45D5" w:rsidRPr="009A45D5" w:rsidRDefault="009A45D5" w:rsidP="009A45D5">
            <w:pPr>
              <w:rPr>
                <w:rFonts w:ascii="Calibri" w:hAnsi="Calibri" w:cs="Calibri"/>
                <w:color w:val="000000"/>
              </w:rPr>
            </w:pPr>
            <w:r w:rsidRPr="009A45D5">
              <w:rPr>
                <w:rFonts w:ascii="Calibri" w:hAnsi="Calibri" w:cs="Calibri"/>
                <w:color w:val="000000"/>
              </w:rPr>
              <w:t>Medicaid x Uninsured x Post</w:t>
            </w:r>
          </w:p>
        </w:tc>
        <w:tc>
          <w:tcPr>
            <w:tcW w:w="669"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0.0393</w:t>
            </w:r>
          </w:p>
        </w:tc>
        <w:tc>
          <w:tcPr>
            <w:tcW w:w="780"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-0.0122</w:t>
            </w:r>
          </w:p>
        </w:tc>
        <w:tc>
          <w:tcPr>
            <w:tcW w:w="670"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-0.0237</w:t>
            </w:r>
          </w:p>
        </w:tc>
        <w:tc>
          <w:tcPr>
            <w:tcW w:w="770"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0.0129</w:t>
            </w:r>
          </w:p>
        </w:tc>
      </w:tr>
      <w:tr w:rsidR="006827B3" w:rsidRPr="009A45D5" w:rsidTr="001068B9">
        <w:trPr>
          <w:trHeight w:val="310"/>
        </w:trPr>
        <w:tc>
          <w:tcPr>
            <w:tcW w:w="2112" w:type="pct"/>
            <w:tcBorders>
              <w:top w:val="nil"/>
              <w:left w:val="nil"/>
              <w:bottom w:val="nil"/>
              <w:right w:val="nil"/>
            </w:tcBorders>
            <w:shd w:val="clear" w:color="auto" w:fill="auto"/>
            <w:vAlign w:val="bottom"/>
            <w:hideMark/>
          </w:tcPr>
          <w:p w:rsidR="009A45D5" w:rsidRPr="009A45D5" w:rsidRDefault="009A45D5" w:rsidP="009A45D5">
            <w:pPr>
              <w:jc w:val="center"/>
              <w:rPr>
                <w:rFonts w:ascii="Calibri" w:hAnsi="Calibri" w:cs="Calibri"/>
                <w:color w:val="000000"/>
              </w:rPr>
            </w:pPr>
          </w:p>
        </w:tc>
        <w:tc>
          <w:tcPr>
            <w:tcW w:w="669" w:type="pct"/>
            <w:tcBorders>
              <w:top w:val="nil"/>
              <w:left w:val="nil"/>
              <w:bottom w:val="single" w:sz="4" w:space="0" w:color="auto"/>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(0.0453)</w:t>
            </w:r>
          </w:p>
        </w:tc>
        <w:tc>
          <w:tcPr>
            <w:tcW w:w="780" w:type="pct"/>
            <w:tcBorders>
              <w:top w:val="nil"/>
              <w:left w:val="nil"/>
              <w:bottom w:val="single" w:sz="4" w:space="0" w:color="auto"/>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(0.0423)</w:t>
            </w:r>
          </w:p>
        </w:tc>
        <w:tc>
          <w:tcPr>
            <w:tcW w:w="670" w:type="pct"/>
            <w:tcBorders>
              <w:top w:val="nil"/>
              <w:left w:val="nil"/>
              <w:bottom w:val="single" w:sz="4" w:space="0" w:color="auto"/>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(0.0304)</w:t>
            </w:r>
          </w:p>
        </w:tc>
        <w:tc>
          <w:tcPr>
            <w:tcW w:w="770" w:type="pct"/>
            <w:tcBorders>
              <w:top w:val="nil"/>
              <w:left w:val="nil"/>
              <w:bottom w:val="single" w:sz="4" w:space="0" w:color="auto"/>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(0.7217)</w:t>
            </w:r>
          </w:p>
        </w:tc>
      </w:tr>
      <w:tr w:rsidR="006827B3" w:rsidRPr="009A45D5" w:rsidTr="001068B9">
        <w:trPr>
          <w:trHeight w:val="310"/>
        </w:trPr>
        <w:tc>
          <w:tcPr>
            <w:tcW w:w="2112" w:type="pct"/>
            <w:tcBorders>
              <w:top w:val="nil"/>
              <w:left w:val="nil"/>
              <w:bottom w:val="nil"/>
              <w:right w:val="nil"/>
            </w:tcBorders>
            <w:shd w:val="clear" w:color="auto" w:fill="auto"/>
            <w:vAlign w:val="bottom"/>
            <w:hideMark/>
          </w:tcPr>
          <w:p w:rsidR="009A45D5" w:rsidRPr="009A45D5" w:rsidRDefault="009A45D5" w:rsidP="009A45D5">
            <w:pPr>
              <w:jc w:val="center"/>
              <w:rPr>
                <w:rFonts w:ascii="Calibri" w:hAnsi="Calibri" w:cs="Calibri"/>
                <w:b/>
                <w:bCs/>
                <w:color w:val="000000"/>
                <w:u w:val="single"/>
              </w:rPr>
            </w:pPr>
            <w:r w:rsidRPr="009A45D5">
              <w:rPr>
                <w:rFonts w:ascii="Calibri" w:hAnsi="Calibri" w:cs="Calibri"/>
                <w:b/>
                <w:bCs/>
                <w:color w:val="000000"/>
                <w:u w:val="single"/>
              </w:rPr>
              <w:t>Some College or More</w:t>
            </w:r>
          </w:p>
        </w:tc>
        <w:tc>
          <w:tcPr>
            <w:tcW w:w="669"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b/>
                <w:bCs/>
                <w:color w:val="000000"/>
                <w:u w:val="single"/>
              </w:rPr>
            </w:pPr>
          </w:p>
        </w:tc>
        <w:tc>
          <w:tcPr>
            <w:tcW w:w="780" w:type="pct"/>
            <w:tcBorders>
              <w:top w:val="nil"/>
              <w:left w:val="nil"/>
              <w:bottom w:val="nil"/>
              <w:right w:val="nil"/>
            </w:tcBorders>
            <w:shd w:val="clear" w:color="auto" w:fill="auto"/>
            <w:noWrap/>
            <w:vAlign w:val="bottom"/>
            <w:hideMark/>
          </w:tcPr>
          <w:p w:rsidR="009A45D5" w:rsidRPr="009A45D5" w:rsidRDefault="009A45D5" w:rsidP="009A45D5">
            <w:pPr>
              <w:jc w:val="center"/>
              <w:rPr>
                <w:sz w:val="20"/>
                <w:szCs w:val="20"/>
              </w:rPr>
            </w:pPr>
          </w:p>
        </w:tc>
        <w:tc>
          <w:tcPr>
            <w:tcW w:w="670" w:type="pct"/>
            <w:tcBorders>
              <w:top w:val="nil"/>
              <w:left w:val="nil"/>
              <w:bottom w:val="nil"/>
              <w:right w:val="nil"/>
            </w:tcBorders>
            <w:shd w:val="clear" w:color="auto" w:fill="auto"/>
            <w:noWrap/>
            <w:vAlign w:val="bottom"/>
            <w:hideMark/>
          </w:tcPr>
          <w:p w:rsidR="009A45D5" w:rsidRPr="009A45D5" w:rsidRDefault="009A45D5" w:rsidP="009A45D5">
            <w:pPr>
              <w:jc w:val="center"/>
              <w:rPr>
                <w:sz w:val="20"/>
                <w:szCs w:val="20"/>
              </w:rPr>
            </w:pPr>
          </w:p>
        </w:tc>
        <w:tc>
          <w:tcPr>
            <w:tcW w:w="770" w:type="pct"/>
            <w:tcBorders>
              <w:top w:val="nil"/>
              <w:left w:val="nil"/>
              <w:bottom w:val="nil"/>
              <w:right w:val="nil"/>
            </w:tcBorders>
            <w:shd w:val="clear" w:color="auto" w:fill="auto"/>
            <w:noWrap/>
            <w:vAlign w:val="bottom"/>
            <w:hideMark/>
          </w:tcPr>
          <w:p w:rsidR="009A45D5" w:rsidRPr="009A45D5" w:rsidRDefault="009A45D5" w:rsidP="009A45D5">
            <w:pPr>
              <w:jc w:val="center"/>
              <w:rPr>
                <w:sz w:val="20"/>
                <w:szCs w:val="20"/>
              </w:rPr>
            </w:pPr>
          </w:p>
        </w:tc>
      </w:tr>
      <w:tr w:rsidR="006827B3" w:rsidRPr="009A45D5" w:rsidTr="001068B9">
        <w:trPr>
          <w:trHeight w:val="310"/>
        </w:trPr>
        <w:tc>
          <w:tcPr>
            <w:tcW w:w="2112" w:type="pct"/>
            <w:tcBorders>
              <w:top w:val="nil"/>
              <w:left w:val="nil"/>
              <w:bottom w:val="nil"/>
              <w:right w:val="nil"/>
            </w:tcBorders>
            <w:shd w:val="clear" w:color="auto" w:fill="auto"/>
            <w:vAlign w:val="bottom"/>
            <w:hideMark/>
          </w:tcPr>
          <w:p w:rsidR="009A45D5" w:rsidRPr="009A45D5" w:rsidRDefault="009A45D5" w:rsidP="009A45D5">
            <w:pPr>
              <w:rPr>
                <w:rFonts w:ascii="Calibri" w:hAnsi="Calibri" w:cs="Calibri"/>
                <w:color w:val="000000"/>
              </w:rPr>
            </w:pPr>
            <w:r w:rsidRPr="009A45D5">
              <w:rPr>
                <w:rFonts w:ascii="Calibri" w:hAnsi="Calibri" w:cs="Calibri"/>
                <w:color w:val="000000"/>
              </w:rPr>
              <w:t>Uninsured x Post</w:t>
            </w:r>
          </w:p>
        </w:tc>
        <w:tc>
          <w:tcPr>
            <w:tcW w:w="669"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-0.0458</w:t>
            </w:r>
          </w:p>
        </w:tc>
        <w:tc>
          <w:tcPr>
            <w:tcW w:w="780"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-0.00807</w:t>
            </w:r>
          </w:p>
        </w:tc>
        <w:tc>
          <w:tcPr>
            <w:tcW w:w="670"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0.0422*</w:t>
            </w:r>
          </w:p>
        </w:tc>
        <w:tc>
          <w:tcPr>
            <w:tcW w:w="770"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1.237*</w:t>
            </w:r>
          </w:p>
        </w:tc>
      </w:tr>
      <w:tr w:rsidR="006827B3" w:rsidRPr="009A45D5" w:rsidTr="001068B9">
        <w:trPr>
          <w:trHeight w:val="310"/>
        </w:trPr>
        <w:tc>
          <w:tcPr>
            <w:tcW w:w="2112" w:type="pct"/>
            <w:tcBorders>
              <w:top w:val="nil"/>
              <w:left w:val="nil"/>
              <w:bottom w:val="nil"/>
              <w:right w:val="nil"/>
            </w:tcBorders>
            <w:shd w:val="clear" w:color="auto" w:fill="auto"/>
            <w:vAlign w:val="bottom"/>
            <w:hideMark/>
          </w:tcPr>
          <w:p w:rsidR="009A45D5" w:rsidRPr="009A45D5" w:rsidRDefault="009A45D5" w:rsidP="009A45D5">
            <w:pPr>
              <w:jc w:val="center"/>
              <w:rPr>
                <w:rFonts w:ascii="Calibri" w:hAnsi="Calibri" w:cs="Calibri"/>
                <w:color w:val="000000"/>
              </w:rPr>
            </w:pPr>
          </w:p>
        </w:tc>
        <w:tc>
          <w:tcPr>
            <w:tcW w:w="669"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(0.0281)</w:t>
            </w:r>
          </w:p>
        </w:tc>
        <w:tc>
          <w:tcPr>
            <w:tcW w:w="780"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(0.0229)</w:t>
            </w:r>
          </w:p>
        </w:tc>
        <w:tc>
          <w:tcPr>
            <w:tcW w:w="670"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(0.0221)</w:t>
            </w:r>
          </w:p>
        </w:tc>
        <w:tc>
          <w:tcPr>
            <w:tcW w:w="770"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(0.7013)</w:t>
            </w:r>
          </w:p>
        </w:tc>
      </w:tr>
      <w:tr w:rsidR="006827B3" w:rsidRPr="009A45D5" w:rsidTr="001068B9">
        <w:trPr>
          <w:trHeight w:val="310"/>
        </w:trPr>
        <w:tc>
          <w:tcPr>
            <w:tcW w:w="2112" w:type="pct"/>
            <w:tcBorders>
              <w:top w:val="nil"/>
              <w:left w:val="nil"/>
              <w:bottom w:val="nil"/>
              <w:right w:val="nil"/>
            </w:tcBorders>
            <w:shd w:val="clear" w:color="auto" w:fill="auto"/>
            <w:vAlign w:val="bottom"/>
            <w:hideMark/>
          </w:tcPr>
          <w:p w:rsidR="009A45D5" w:rsidRPr="009A45D5" w:rsidRDefault="009A45D5" w:rsidP="009A45D5">
            <w:pPr>
              <w:jc w:val="center"/>
              <w:rPr>
                <w:rFonts w:ascii="Calibri" w:hAnsi="Calibri" w:cs="Calibri"/>
                <w:color w:val="000000"/>
              </w:rPr>
            </w:pPr>
          </w:p>
        </w:tc>
        <w:tc>
          <w:tcPr>
            <w:tcW w:w="669" w:type="pct"/>
            <w:tcBorders>
              <w:top w:val="nil"/>
              <w:left w:val="nil"/>
              <w:bottom w:val="nil"/>
              <w:right w:val="nil"/>
            </w:tcBorders>
            <w:shd w:val="clear" w:color="auto" w:fill="auto"/>
            <w:noWrap/>
            <w:vAlign w:val="bottom"/>
            <w:hideMark/>
          </w:tcPr>
          <w:p w:rsidR="009A45D5" w:rsidRPr="009A45D5" w:rsidRDefault="009A45D5" w:rsidP="009A45D5">
            <w:pPr>
              <w:rPr>
                <w:sz w:val="20"/>
                <w:szCs w:val="20"/>
              </w:rPr>
            </w:pPr>
          </w:p>
        </w:tc>
        <w:tc>
          <w:tcPr>
            <w:tcW w:w="780" w:type="pct"/>
            <w:tcBorders>
              <w:top w:val="nil"/>
              <w:left w:val="nil"/>
              <w:bottom w:val="nil"/>
              <w:right w:val="nil"/>
            </w:tcBorders>
            <w:shd w:val="clear" w:color="auto" w:fill="auto"/>
            <w:noWrap/>
            <w:vAlign w:val="bottom"/>
            <w:hideMark/>
          </w:tcPr>
          <w:p w:rsidR="009A45D5" w:rsidRPr="009A45D5" w:rsidRDefault="009A45D5" w:rsidP="009A45D5">
            <w:pPr>
              <w:jc w:val="center"/>
              <w:rPr>
                <w:sz w:val="20"/>
                <w:szCs w:val="20"/>
              </w:rPr>
            </w:pPr>
          </w:p>
        </w:tc>
        <w:tc>
          <w:tcPr>
            <w:tcW w:w="670" w:type="pct"/>
            <w:tcBorders>
              <w:top w:val="nil"/>
              <w:left w:val="nil"/>
              <w:bottom w:val="nil"/>
              <w:right w:val="nil"/>
            </w:tcBorders>
            <w:shd w:val="clear" w:color="auto" w:fill="auto"/>
            <w:noWrap/>
            <w:vAlign w:val="bottom"/>
            <w:hideMark/>
          </w:tcPr>
          <w:p w:rsidR="009A45D5" w:rsidRPr="009A45D5" w:rsidRDefault="009A45D5" w:rsidP="009A45D5">
            <w:pPr>
              <w:jc w:val="center"/>
              <w:rPr>
                <w:sz w:val="20"/>
                <w:szCs w:val="20"/>
              </w:rPr>
            </w:pPr>
          </w:p>
        </w:tc>
        <w:tc>
          <w:tcPr>
            <w:tcW w:w="770" w:type="pct"/>
            <w:tcBorders>
              <w:top w:val="nil"/>
              <w:left w:val="nil"/>
              <w:bottom w:val="nil"/>
              <w:right w:val="nil"/>
            </w:tcBorders>
            <w:shd w:val="clear" w:color="auto" w:fill="auto"/>
            <w:noWrap/>
            <w:vAlign w:val="bottom"/>
            <w:hideMark/>
          </w:tcPr>
          <w:p w:rsidR="009A45D5" w:rsidRPr="009A45D5" w:rsidRDefault="009A45D5" w:rsidP="009A45D5">
            <w:pPr>
              <w:jc w:val="center"/>
              <w:rPr>
                <w:sz w:val="20"/>
                <w:szCs w:val="20"/>
              </w:rPr>
            </w:pPr>
          </w:p>
        </w:tc>
      </w:tr>
      <w:tr w:rsidR="006827B3" w:rsidRPr="009A45D5" w:rsidTr="001068B9">
        <w:trPr>
          <w:trHeight w:val="290"/>
        </w:trPr>
        <w:tc>
          <w:tcPr>
            <w:tcW w:w="2112" w:type="pct"/>
            <w:tcBorders>
              <w:top w:val="nil"/>
              <w:left w:val="nil"/>
              <w:bottom w:val="nil"/>
              <w:right w:val="nil"/>
            </w:tcBorders>
            <w:shd w:val="clear" w:color="auto" w:fill="auto"/>
            <w:vAlign w:val="bottom"/>
            <w:hideMark/>
          </w:tcPr>
          <w:p w:rsidR="009A45D5" w:rsidRPr="009A45D5" w:rsidRDefault="009A45D5" w:rsidP="009A45D5">
            <w:pPr>
              <w:rPr>
                <w:rFonts w:ascii="Calibri" w:hAnsi="Calibri" w:cs="Calibri"/>
                <w:color w:val="000000"/>
              </w:rPr>
            </w:pPr>
            <w:r w:rsidRPr="009A45D5">
              <w:rPr>
                <w:rFonts w:ascii="Calibri" w:hAnsi="Calibri" w:cs="Calibri"/>
                <w:color w:val="000000"/>
              </w:rPr>
              <w:t>Medicaid x Uninsured x Post</w:t>
            </w:r>
          </w:p>
        </w:tc>
        <w:tc>
          <w:tcPr>
            <w:tcW w:w="669"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-0.0749**</w:t>
            </w:r>
          </w:p>
        </w:tc>
        <w:tc>
          <w:tcPr>
            <w:tcW w:w="780"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-0.00925</w:t>
            </w:r>
          </w:p>
        </w:tc>
        <w:tc>
          <w:tcPr>
            <w:tcW w:w="670"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0.0145</w:t>
            </w:r>
          </w:p>
        </w:tc>
        <w:tc>
          <w:tcPr>
            <w:tcW w:w="770"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-0.857</w:t>
            </w:r>
          </w:p>
        </w:tc>
      </w:tr>
      <w:tr w:rsidR="006827B3" w:rsidRPr="009A45D5" w:rsidTr="001068B9">
        <w:trPr>
          <w:trHeight w:val="290"/>
        </w:trPr>
        <w:tc>
          <w:tcPr>
            <w:tcW w:w="2112" w:type="pct"/>
            <w:tcBorders>
              <w:top w:val="nil"/>
              <w:left w:val="nil"/>
              <w:bottom w:val="single" w:sz="4" w:space="0" w:color="auto"/>
              <w:right w:val="nil"/>
            </w:tcBorders>
            <w:shd w:val="clear" w:color="auto" w:fill="auto"/>
            <w:vAlign w:val="bottom"/>
            <w:hideMark/>
          </w:tcPr>
          <w:p w:rsidR="009A45D5" w:rsidRPr="009A45D5" w:rsidRDefault="009A45D5" w:rsidP="009A45D5">
            <w:pPr>
              <w:rPr>
                <w:rFonts w:ascii="Calibri" w:hAnsi="Calibri" w:cs="Calibri"/>
                <w:color w:val="000000"/>
              </w:rPr>
            </w:pPr>
            <w:r w:rsidRPr="009A45D5">
              <w:rPr>
                <w:rFonts w:ascii="Calibri" w:hAnsi="Calibri" w:cs="Calibri"/>
                <w:color w:val="000000"/>
              </w:rPr>
              <w:t> </w:t>
            </w:r>
          </w:p>
        </w:tc>
        <w:tc>
          <w:tcPr>
            <w:tcW w:w="669" w:type="pct"/>
            <w:tcBorders>
              <w:top w:val="nil"/>
              <w:left w:val="nil"/>
              <w:bottom w:val="single" w:sz="4" w:space="0" w:color="auto"/>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(0.0315)</w:t>
            </w:r>
          </w:p>
        </w:tc>
        <w:tc>
          <w:tcPr>
            <w:tcW w:w="780" w:type="pct"/>
            <w:tcBorders>
              <w:top w:val="nil"/>
              <w:left w:val="nil"/>
              <w:bottom w:val="single" w:sz="4" w:space="0" w:color="auto"/>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(0.0240)</w:t>
            </w:r>
          </w:p>
        </w:tc>
        <w:tc>
          <w:tcPr>
            <w:tcW w:w="670" w:type="pct"/>
            <w:tcBorders>
              <w:top w:val="nil"/>
              <w:left w:val="nil"/>
              <w:bottom w:val="single" w:sz="4" w:space="0" w:color="auto"/>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(0.0248)</w:t>
            </w:r>
          </w:p>
        </w:tc>
        <w:tc>
          <w:tcPr>
            <w:tcW w:w="770" w:type="pct"/>
            <w:tcBorders>
              <w:top w:val="nil"/>
              <w:left w:val="nil"/>
              <w:bottom w:val="single" w:sz="4" w:space="0" w:color="auto"/>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(0.8248)</w:t>
            </w:r>
          </w:p>
        </w:tc>
      </w:tr>
      <w:tr w:rsidR="006827B3" w:rsidRPr="009A45D5" w:rsidTr="001068B9">
        <w:trPr>
          <w:trHeight w:val="310"/>
        </w:trPr>
        <w:tc>
          <w:tcPr>
            <w:tcW w:w="2112" w:type="pct"/>
            <w:tcBorders>
              <w:top w:val="nil"/>
              <w:left w:val="nil"/>
              <w:bottom w:val="nil"/>
              <w:right w:val="nil"/>
            </w:tcBorders>
            <w:shd w:val="clear" w:color="auto" w:fill="auto"/>
            <w:vAlign w:val="bottom"/>
            <w:hideMark/>
          </w:tcPr>
          <w:p w:rsidR="009A45D5" w:rsidRPr="009A45D5" w:rsidRDefault="009A45D5" w:rsidP="009A45D5">
            <w:pPr>
              <w:jc w:val="center"/>
              <w:rPr>
                <w:rFonts w:ascii="Calibri" w:hAnsi="Calibri" w:cs="Calibri"/>
                <w:b/>
                <w:bCs/>
                <w:color w:val="000000"/>
                <w:u w:val="single"/>
              </w:rPr>
            </w:pPr>
            <w:r w:rsidRPr="009A45D5">
              <w:rPr>
                <w:rFonts w:ascii="Calibri" w:hAnsi="Calibri" w:cs="Calibri"/>
                <w:b/>
                <w:bCs/>
                <w:color w:val="000000"/>
                <w:u w:val="single"/>
              </w:rPr>
              <w:t>Ages 25-45</w:t>
            </w:r>
          </w:p>
        </w:tc>
        <w:tc>
          <w:tcPr>
            <w:tcW w:w="669" w:type="pct"/>
            <w:tcBorders>
              <w:top w:val="nil"/>
              <w:left w:val="nil"/>
              <w:bottom w:val="nil"/>
              <w:right w:val="nil"/>
            </w:tcBorders>
            <w:shd w:val="clear" w:color="auto" w:fill="auto"/>
            <w:noWrap/>
            <w:vAlign w:val="bottom"/>
            <w:hideMark/>
          </w:tcPr>
          <w:p w:rsidR="009A45D5" w:rsidRPr="009A45D5" w:rsidRDefault="009A45D5" w:rsidP="009A45D5">
            <w:pPr>
              <w:rPr>
                <w:rFonts w:ascii="Calibri" w:hAnsi="Calibri" w:cs="Calibri"/>
                <w:b/>
                <w:bCs/>
                <w:color w:val="000000"/>
                <w:u w:val="single"/>
              </w:rPr>
            </w:pPr>
          </w:p>
        </w:tc>
        <w:tc>
          <w:tcPr>
            <w:tcW w:w="780" w:type="pct"/>
            <w:tcBorders>
              <w:top w:val="nil"/>
              <w:left w:val="nil"/>
              <w:bottom w:val="nil"/>
              <w:right w:val="nil"/>
            </w:tcBorders>
            <w:shd w:val="clear" w:color="auto" w:fill="auto"/>
            <w:noWrap/>
            <w:vAlign w:val="bottom"/>
            <w:hideMark/>
          </w:tcPr>
          <w:p w:rsidR="009A45D5" w:rsidRPr="009A45D5" w:rsidRDefault="009A45D5" w:rsidP="009A45D5">
            <w:pPr>
              <w:jc w:val="center"/>
              <w:rPr>
                <w:sz w:val="20"/>
                <w:szCs w:val="20"/>
              </w:rPr>
            </w:pPr>
          </w:p>
        </w:tc>
        <w:tc>
          <w:tcPr>
            <w:tcW w:w="670" w:type="pct"/>
            <w:tcBorders>
              <w:top w:val="nil"/>
              <w:left w:val="nil"/>
              <w:bottom w:val="nil"/>
              <w:right w:val="nil"/>
            </w:tcBorders>
            <w:shd w:val="clear" w:color="auto" w:fill="auto"/>
            <w:noWrap/>
            <w:vAlign w:val="bottom"/>
            <w:hideMark/>
          </w:tcPr>
          <w:p w:rsidR="009A45D5" w:rsidRPr="009A45D5" w:rsidRDefault="009A45D5" w:rsidP="009A45D5">
            <w:pPr>
              <w:jc w:val="center"/>
              <w:rPr>
                <w:sz w:val="20"/>
                <w:szCs w:val="20"/>
              </w:rPr>
            </w:pPr>
          </w:p>
        </w:tc>
        <w:tc>
          <w:tcPr>
            <w:tcW w:w="770" w:type="pct"/>
            <w:tcBorders>
              <w:top w:val="nil"/>
              <w:left w:val="nil"/>
              <w:bottom w:val="nil"/>
              <w:right w:val="nil"/>
            </w:tcBorders>
            <w:shd w:val="clear" w:color="auto" w:fill="auto"/>
            <w:noWrap/>
            <w:vAlign w:val="bottom"/>
            <w:hideMark/>
          </w:tcPr>
          <w:p w:rsidR="009A45D5" w:rsidRPr="009A45D5" w:rsidRDefault="009A45D5" w:rsidP="009A45D5">
            <w:pPr>
              <w:jc w:val="center"/>
              <w:rPr>
                <w:sz w:val="20"/>
                <w:szCs w:val="20"/>
              </w:rPr>
            </w:pPr>
          </w:p>
        </w:tc>
      </w:tr>
      <w:tr w:rsidR="006827B3" w:rsidRPr="009A45D5" w:rsidTr="001068B9">
        <w:trPr>
          <w:trHeight w:val="310"/>
        </w:trPr>
        <w:tc>
          <w:tcPr>
            <w:tcW w:w="2112" w:type="pct"/>
            <w:tcBorders>
              <w:top w:val="nil"/>
              <w:left w:val="nil"/>
              <w:bottom w:val="nil"/>
              <w:right w:val="nil"/>
            </w:tcBorders>
            <w:shd w:val="clear" w:color="auto" w:fill="auto"/>
            <w:vAlign w:val="bottom"/>
            <w:hideMark/>
          </w:tcPr>
          <w:p w:rsidR="009A45D5" w:rsidRPr="009A45D5" w:rsidRDefault="009A45D5" w:rsidP="009A45D5">
            <w:pPr>
              <w:rPr>
                <w:rFonts w:ascii="Calibri" w:hAnsi="Calibri" w:cs="Calibri"/>
                <w:color w:val="000000"/>
              </w:rPr>
            </w:pPr>
            <w:r w:rsidRPr="009A45D5">
              <w:rPr>
                <w:rFonts w:ascii="Calibri" w:hAnsi="Calibri" w:cs="Calibri"/>
                <w:color w:val="000000"/>
              </w:rPr>
              <w:t>Uninsured x Post</w:t>
            </w:r>
          </w:p>
        </w:tc>
        <w:tc>
          <w:tcPr>
            <w:tcW w:w="669"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-0.0573</w:t>
            </w:r>
          </w:p>
        </w:tc>
        <w:tc>
          <w:tcPr>
            <w:tcW w:w="780"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-0.00724</w:t>
            </w:r>
          </w:p>
        </w:tc>
        <w:tc>
          <w:tcPr>
            <w:tcW w:w="670"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0.0488*</w:t>
            </w:r>
          </w:p>
        </w:tc>
        <w:tc>
          <w:tcPr>
            <w:tcW w:w="770"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0.574</w:t>
            </w:r>
          </w:p>
        </w:tc>
      </w:tr>
      <w:tr w:rsidR="006827B3" w:rsidRPr="009A45D5" w:rsidTr="001068B9">
        <w:trPr>
          <w:trHeight w:val="310"/>
        </w:trPr>
        <w:tc>
          <w:tcPr>
            <w:tcW w:w="2112" w:type="pct"/>
            <w:tcBorders>
              <w:top w:val="nil"/>
              <w:left w:val="nil"/>
              <w:bottom w:val="nil"/>
              <w:right w:val="nil"/>
            </w:tcBorders>
            <w:shd w:val="clear" w:color="auto" w:fill="auto"/>
            <w:vAlign w:val="bottom"/>
            <w:hideMark/>
          </w:tcPr>
          <w:p w:rsidR="009A45D5" w:rsidRPr="009A45D5" w:rsidRDefault="009A45D5" w:rsidP="009A45D5">
            <w:pPr>
              <w:jc w:val="center"/>
              <w:rPr>
                <w:rFonts w:ascii="Calibri" w:hAnsi="Calibri" w:cs="Calibri"/>
                <w:color w:val="000000"/>
              </w:rPr>
            </w:pPr>
          </w:p>
        </w:tc>
        <w:tc>
          <w:tcPr>
            <w:tcW w:w="669"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(0.0379)</w:t>
            </w:r>
          </w:p>
        </w:tc>
        <w:tc>
          <w:tcPr>
            <w:tcW w:w="780"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(0.0151)</w:t>
            </w:r>
          </w:p>
        </w:tc>
        <w:tc>
          <w:tcPr>
            <w:tcW w:w="670"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(0.0211)</w:t>
            </w:r>
          </w:p>
        </w:tc>
        <w:tc>
          <w:tcPr>
            <w:tcW w:w="770"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(0.5981)</w:t>
            </w:r>
          </w:p>
        </w:tc>
      </w:tr>
      <w:tr w:rsidR="006827B3" w:rsidRPr="009A45D5" w:rsidTr="001068B9">
        <w:trPr>
          <w:trHeight w:val="310"/>
        </w:trPr>
        <w:tc>
          <w:tcPr>
            <w:tcW w:w="2112" w:type="pct"/>
            <w:tcBorders>
              <w:top w:val="nil"/>
              <w:left w:val="nil"/>
              <w:bottom w:val="nil"/>
              <w:right w:val="nil"/>
            </w:tcBorders>
            <w:shd w:val="clear" w:color="auto" w:fill="auto"/>
            <w:vAlign w:val="bottom"/>
            <w:hideMark/>
          </w:tcPr>
          <w:p w:rsidR="009A45D5" w:rsidRPr="009A45D5" w:rsidRDefault="009A45D5" w:rsidP="009A45D5">
            <w:pPr>
              <w:jc w:val="center"/>
              <w:rPr>
                <w:rFonts w:ascii="Calibri" w:hAnsi="Calibri" w:cs="Calibri"/>
                <w:color w:val="000000"/>
              </w:rPr>
            </w:pPr>
          </w:p>
        </w:tc>
        <w:tc>
          <w:tcPr>
            <w:tcW w:w="669" w:type="pct"/>
            <w:tcBorders>
              <w:top w:val="nil"/>
              <w:left w:val="nil"/>
              <w:bottom w:val="nil"/>
              <w:right w:val="nil"/>
            </w:tcBorders>
            <w:shd w:val="clear" w:color="auto" w:fill="auto"/>
            <w:noWrap/>
            <w:vAlign w:val="bottom"/>
            <w:hideMark/>
          </w:tcPr>
          <w:p w:rsidR="009A45D5" w:rsidRPr="009A45D5" w:rsidRDefault="009A45D5" w:rsidP="009A45D5">
            <w:pPr>
              <w:rPr>
                <w:sz w:val="20"/>
                <w:szCs w:val="20"/>
              </w:rPr>
            </w:pPr>
          </w:p>
        </w:tc>
        <w:tc>
          <w:tcPr>
            <w:tcW w:w="780" w:type="pct"/>
            <w:tcBorders>
              <w:top w:val="nil"/>
              <w:left w:val="nil"/>
              <w:bottom w:val="nil"/>
              <w:right w:val="nil"/>
            </w:tcBorders>
            <w:shd w:val="clear" w:color="auto" w:fill="auto"/>
            <w:noWrap/>
            <w:vAlign w:val="bottom"/>
            <w:hideMark/>
          </w:tcPr>
          <w:p w:rsidR="009A45D5" w:rsidRPr="009A45D5" w:rsidRDefault="009A45D5" w:rsidP="009A45D5">
            <w:pPr>
              <w:jc w:val="center"/>
              <w:rPr>
                <w:sz w:val="20"/>
                <w:szCs w:val="20"/>
              </w:rPr>
            </w:pPr>
          </w:p>
        </w:tc>
        <w:tc>
          <w:tcPr>
            <w:tcW w:w="670" w:type="pct"/>
            <w:tcBorders>
              <w:top w:val="nil"/>
              <w:left w:val="nil"/>
              <w:bottom w:val="nil"/>
              <w:right w:val="nil"/>
            </w:tcBorders>
            <w:shd w:val="clear" w:color="auto" w:fill="auto"/>
            <w:noWrap/>
            <w:vAlign w:val="bottom"/>
            <w:hideMark/>
          </w:tcPr>
          <w:p w:rsidR="009A45D5" w:rsidRPr="009A45D5" w:rsidRDefault="009A45D5" w:rsidP="009A45D5">
            <w:pPr>
              <w:jc w:val="center"/>
              <w:rPr>
                <w:sz w:val="20"/>
                <w:szCs w:val="20"/>
              </w:rPr>
            </w:pPr>
          </w:p>
        </w:tc>
        <w:tc>
          <w:tcPr>
            <w:tcW w:w="770" w:type="pct"/>
            <w:tcBorders>
              <w:top w:val="nil"/>
              <w:left w:val="nil"/>
              <w:bottom w:val="nil"/>
              <w:right w:val="nil"/>
            </w:tcBorders>
            <w:shd w:val="clear" w:color="auto" w:fill="auto"/>
            <w:noWrap/>
            <w:vAlign w:val="bottom"/>
            <w:hideMark/>
          </w:tcPr>
          <w:p w:rsidR="009A45D5" w:rsidRPr="009A45D5" w:rsidRDefault="009A45D5" w:rsidP="009A45D5">
            <w:pPr>
              <w:jc w:val="center"/>
              <w:rPr>
                <w:sz w:val="20"/>
                <w:szCs w:val="20"/>
              </w:rPr>
            </w:pPr>
          </w:p>
        </w:tc>
      </w:tr>
      <w:tr w:rsidR="006827B3" w:rsidRPr="009A45D5" w:rsidTr="001068B9">
        <w:trPr>
          <w:trHeight w:val="310"/>
        </w:trPr>
        <w:tc>
          <w:tcPr>
            <w:tcW w:w="2112" w:type="pct"/>
            <w:tcBorders>
              <w:top w:val="nil"/>
              <w:left w:val="nil"/>
              <w:bottom w:val="nil"/>
              <w:right w:val="nil"/>
            </w:tcBorders>
            <w:shd w:val="clear" w:color="auto" w:fill="auto"/>
            <w:vAlign w:val="bottom"/>
            <w:hideMark/>
          </w:tcPr>
          <w:p w:rsidR="009A45D5" w:rsidRPr="009A45D5" w:rsidRDefault="009A45D5" w:rsidP="009A45D5">
            <w:pPr>
              <w:rPr>
                <w:rFonts w:ascii="Calibri" w:hAnsi="Calibri" w:cs="Calibri"/>
                <w:color w:val="000000"/>
              </w:rPr>
            </w:pPr>
            <w:r w:rsidRPr="009A45D5">
              <w:rPr>
                <w:rFonts w:ascii="Calibri" w:hAnsi="Calibri" w:cs="Calibri"/>
                <w:color w:val="000000"/>
              </w:rPr>
              <w:t>Medicaid x Uninsured x Post</w:t>
            </w:r>
          </w:p>
        </w:tc>
        <w:tc>
          <w:tcPr>
            <w:tcW w:w="669"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0.0280</w:t>
            </w:r>
          </w:p>
        </w:tc>
        <w:tc>
          <w:tcPr>
            <w:tcW w:w="780"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-0.0137</w:t>
            </w:r>
          </w:p>
        </w:tc>
        <w:tc>
          <w:tcPr>
            <w:tcW w:w="670"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-0.0130</w:t>
            </w:r>
          </w:p>
        </w:tc>
        <w:tc>
          <w:tcPr>
            <w:tcW w:w="770"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-1.058</w:t>
            </w:r>
          </w:p>
        </w:tc>
      </w:tr>
      <w:tr w:rsidR="006827B3" w:rsidRPr="009A45D5" w:rsidTr="001068B9">
        <w:trPr>
          <w:trHeight w:val="310"/>
        </w:trPr>
        <w:tc>
          <w:tcPr>
            <w:tcW w:w="2112" w:type="pct"/>
            <w:tcBorders>
              <w:top w:val="nil"/>
              <w:left w:val="nil"/>
              <w:bottom w:val="nil"/>
              <w:right w:val="nil"/>
            </w:tcBorders>
            <w:shd w:val="clear" w:color="auto" w:fill="auto"/>
            <w:vAlign w:val="bottom"/>
            <w:hideMark/>
          </w:tcPr>
          <w:p w:rsidR="009A45D5" w:rsidRPr="009A45D5" w:rsidRDefault="009A45D5" w:rsidP="009A45D5">
            <w:pPr>
              <w:jc w:val="center"/>
              <w:rPr>
                <w:rFonts w:ascii="Calibri" w:hAnsi="Calibri" w:cs="Calibri"/>
                <w:color w:val="000000"/>
              </w:rPr>
            </w:pPr>
          </w:p>
        </w:tc>
        <w:tc>
          <w:tcPr>
            <w:tcW w:w="669" w:type="pct"/>
            <w:tcBorders>
              <w:top w:val="nil"/>
              <w:left w:val="nil"/>
              <w:bottom w:val="single" w:sz="4" w:space="0" w:color="auto"/>
              <w:right w:val="nil"/>
            </w:tcBorders>
            <w:shd w:val="clear" w:color="auto" w:fill="auto"/>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(0.0467)</w:t>
            </w:r>
          </w:p>
        </w:tc>
        <w:tc>
          <w:tcPr>
            <w:tcW w:w="780" w:type="pct"/>
            <w:tcBorders>
              <w:top w:val="nil"/>
              <w:left w:val="nil"/>
              <w:bottom w:val="single" w:sz="4" w:space="0" w:color="auto"/>
              <w:right w:val="nil"/>
            </w:tcBorders>
            <w:shd w:val="clear" w:color="auto" w:fill="auto"/>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(0.0265)</w:t>
            </w:r>
          </w:p>
        </w:tc>
        <w:tc>
          <w:tcPr>
            <w:tcW w:w="670" w:type="pct"/>
            <w:tcBorders>
              <w:top w:val="nil"/>
              <w:left w:val="nil"/>
              <w:bottom w:val="single" w:sz="4" w:space="0" w:color="auto"/>
              <w:right w:val="nil"/>
            </w:tcBorders>
            <w:shd w:val="clear" w:color="auto" w:fill="auto"/>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(0.0266)</w:t>
            </w:r>
          </w:p>
        </w:tc>
        <w:tc>
          <w:tcPr>
            <w:tcW w:w="770" w:type="pct"/>
            <w:tcBorders>
              <w:top w:val="nil"/>
              <w:left w:val="nil"/>
              <w:bottom w:val="single" w:sz="4" w:space="0" w:color="auto"/>
              <w:right w:val="nil"/>
            </w:tcBorders>
            <w:shd w:val="clear" w:color="auto" w:fill="auto"/>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(0.7155)</w:t>
            </w:r>
          </w:p>
        </w:tc>
      </w:tr>
      <w:tr w:rsidR="006827B3" w:rsidRPr="009A45D5" w:rsidTr="001068B9">
        <w:trPr>
          <w:trHeight w:val="310"/>
        </w:trPr>
        <w:tc>
          <w:tcPr>
            <w:tcW w:w="2112" w:type="pct"/>
            <w:tcBorders>
              <w:top w:val="nil"/>
              <w:left w:val="nil"/>
              <w:bottom w:val="nil"/>
              <w:right w:val="nil"/>
            </w:tcBorders>
            <w:shd w:val="clear" w:color="auto" w:fill="auto"/>
            <w:vAlign w:val="bottom"/>
            <w:hideMark/>
          </w:tcPr>
          <w:p w:rsidR="009A45D5" w:rsidRPr="009A45D5" w:rsidRDefault="009A45D5" w:rsidP="009A45D5">
            <w:pPr>
              <w:jc w:val="center"/>
              <w:rPr>
                <w:rFonts w:ascii="Calibri" w:hAnsi="Calibri" w:cs="Calibri"/>
                <w:b/>
                <w:bCs/>
                <w:color w:val="000000"/>
                <w:u w:val="single"/>
              </w:rPr>
            </w:pPr>
            <w:r w:rsidRPr="009A45D5">
              <w:rPr>
                <w:rFonts w:ascii="Calibri" w:hAnsi="Calibri" w:cs="Calibri"/>
                <w:b/>
                <w:bCs/>
                <w:color w:val="000000"/>
                <w:u w:val="single"/>
              </w:rPr>
              <w:t>Ages 45-55</w:t>
            </w:r>
          </w:p>
        </w:tc>
        <w:tc>
          <w:tcPr>
            <w:tcW w:w="669" w:type="pct"/>
            <w:tcBorders>
              <w:top w:val="nil"/>
              <w:left w:val="nil"/>
              <w:bottom w:val="nil"/>
              <w:right w:val="nil"/>
            </w:tcBorders>
            <w:shd w:val="clear" w:color="auto" w:fill="auto"/>
            <w:noWrap/>
            <w:vAlign w:val="bottom"/>
            <w:hideMark/>
          </w:tcPr>
          <w:p w:rsidR="009A45D5" w:rsidRPr="009A45D5" w:rsidRDefault="009A45D5" w:rsidP="009A45D5">
            <w:pPr>
              <w:rPr>
                <w:rFonts w:ascii="Calibri" w:hAnsi="Calibri" w:cs="Calibri"/>
                <w:b/>
                <w:bCs/>
                <w:color w:val="000000"/>
                <w:u w:val="single"/>
              </w:rPr>
            </w:pPr>
          </w:p>
        </w:tc>
        <w:tc>
          <w:tcPr>
            <w:tcW w:w="780" w:type="pct"/>
            <w:tcBorders>
              <w:top w:val="nil"/>
              <w:left w:val="nil"/>
              <w:bottom w:val="nil"/>
              <w:right w:val="nil"/>
            </w:tcBorders>
            <w:shd w:val="clear" w:color="auto" w:fill="auto"/>
            <w:noWrap/>
            <w:vAlign w:val="bottom"/>
            <w:hideMark/>
          </w:tcPr>
          <w:p w:rsidR="009A45D5" w:rsidRPr="009A45D5" w:rsidRDefault="009A45D5" w:rsidP="009A45D5">
            <w:pPr>
              <w:jc w:val="center"/>
              <w:rPr>
                <w:sz w:val="20"/>
                <w:szCs w:val="20"/>
              </w:rPr>
            </w:pPr>
          </w:p>
        </w:tc>
        <w:tc>
          <w:tcPr>
            <w:tcW w:w="670" w:type="pct"/>
            <w:tcBorders>
              <w:top w:val="nil"/>
              <w:left w:val="nil"/>
              <w:bottom w:val="nil"/>
              <w:right w:val="nil"/>
            </w:tcBorders>
            <w:shd w:val="clear" w:color="auto" w:fill="auto"/>
            <w:noWrap/>
            <w:vAlign w:val="bottom"/>
            <w:hideMark/>
          </w:tcPr>
          <w:p w:rsidR="009A45D5" w:rsidRPr="009A45D5" w:rsidRDefault="009A45D5" w:rsidP="009A45D5">
            <w:pPr>
              <w:jc w:val="center"/>
              <w:rPr>
                <w:sz w:val="20"/>
                <w:szCs w:val="20"/>
              </w:rPr>
            </w:pPr>
          </w:p>
        </w:tc>
        <w:tc>
          <w:tcPr>
            <w:tcW w:w="770" w:type="pct"/>
            <w:tcBorders>
              <w:top w:val="nil"/>
              <w:left w:val="nil"/>
              <w:bottom w:val="nil"/>
              <w:right w:val="nil"/>
            </w:tcBorders>
            <w:shd w:val="clear" w:color="auto" w:fill="auto"/>
            <w:noWrap/>
            <w:vAlign w:val="bottom"/>
            <w:hideMark/>
          </w:tcPr>
          <w:p w:rsidR="009A45D5" w:rsidRPr="009A45D5" w:rsidRDefault="009A45D5" w:rsidP="009A45D5">
            <w:pPr>
              <w:jc w:val="center"/>
              <w:rPr>
                <w:sz w:val="20"/>
                <w:szCs w:val="20"/>
              </w:rPr>
            </w:pPr>
          </w:p>
        </w:tc>
      </w:tr>
      <w:tr w:rsidR="006827B3" w:rsidRPr="009A45D5" w:rsidTr="001068B9">
        <w:trPr>
          <w:trHeight w:val="310"/>
        </w:trPr>
        <w:tc>
          <w:tcPr>
            <w:tcW w:w="2112" w:type="pct"/>
            <w:tcBorders>
              <w:top w:val="nil"/>
              <w:left w:val="nil"/>
              <w:bottom w:val="nil"/>
              <w:right w:val="nil"/>
            </w:tcBorders>
            <w:shd w:val="clear" w:color="auto" w:fill="auto"/>
            <w:vAlign w:val="bottom"/>
            <w:hideMark/>
          </w:tcPr>
          <w:p w:rsidR="009A45D5" w:rsidRPr="009A45D5" w:rsidRDefault="009A45D5" w:rsidP="009A45D5">
            <w:pPr>
              <w:rPr>
                <w:rFonts w:ascii="Calibri" w:hAnsi="Calibri" w:cs="Calibri"/>
                <w:color w:val="000000"/>
              </w:rPr>
            </w:pPr>
            <w:r w:rsidRPr="009A45D5">
              <w:rPr>
                <w:rFonts w:ascii="Calibri" w:hAnsi="Calibri" w:cs="Calibri"/>
                <w:color w:val="000000"/>
              </w:rPr>
              <w:t>Uninsured x Post</w:t>
            </w:r>
          </w:p>
        </w:tc>
        <w:tc>
          <w:tcPr>
            <w:tcW w:w="669"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0.0509</w:t>
            </w:r>
          </w:p>
        </w:tc>
        <w:tc>
          <w:tcPr>
            <w:tcW w:w="780"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-0.0172</w:t>
            </w:r>
          </w:p>
        </w:tc>
        <w:tc>
          <w:tcPr>
            <w:tcW w:w="670"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0.0491**</w:t>
            </w:r>
          </w:p>
        </w:tc>
        <w:tc>
          <w:tcPr>
            <w:tcW w:w="770"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0.441</w:t>
            </w:r>
          </w:p>
        </w:tc>
      </w:tr>
      <w:tr w:rsidR="006827B3" w:rsidRPr="009A45D5" w:rsidTr="001068B9">
        <w:trPr>
          <w:trHeight w:val="310"/>
        </w:trPr>
        <w:tc>
          <w:tcPr>
            <w:tcW w:w="2112" w:type="pct"/>
            <w:tcBorders>
              <w:top w:val="nil"/>
              <w:left w:val="nil"/>
              <w:bottom w:val="nil"/>
              <w:right w:val="nil"/>
            </w:tcBorders>
            <w:shd w:val="clear" w:color="auto" w:fill="auto"/>
            <w:vAlign w:val="bottom"/>
            <w:hideMark/>
          </w:tcPr>
          <w:p w:rsidR="009A45D5" w:rsidRPr="009A45D5" w:rsidRDefault="009A45D5" w:rsidP="009A45D5">
            <w:pPr>
              <w:jc w:val="center"/>
              <w:rPr>
                <w:rFonts w:ascii="Calibri" w:hAnsi="Calibri" w:cs="Calibri"/>
                <w:color w:val="000000"/>
              </w:rPr>
            </w:pPr>
          </w:p>
        </w:tc>
        <w:tc>
          <w:tcPr>
            <w:tcW w:w="669"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(0.0401)</w:t>
            </w:r>
          </w:p>
        </w:tc>
        <w:tc>
          <w:tcPr>
            <w:tcW w:w="780"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(0.0166)</w:t>
            </w:r>
          </w:p>
        </w:tc>
        <w:tc>
          <w:tcPr>
            <w:tcW w:w="670"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(0.0184)</w:t>
            </w:r>
          </w:p>
        </w:tc>
        <w:tc>
          <w:tcPr>
            <w:tcW w:w="770" w:type="pct"/>
            <w:tcBorders>
              <w:top w:val="nil"/>
              <w:left w:val="nil"/>
              <w:bottom w:val="nil"/>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(0.5789)</w:t>
            </w:r>
          </w:p>
        </w:tc>
      </w:tr>
      <w:tr w:rsidR="006827B3" w:rsidRPr="009A45D5" w:rsidTr="001068B9">
        <w:trPr>
          <w:trHeight w:val="310"/>
        </w:trPr>
        <w:tc>
          <w:tcPr>
            <w:tcW w:w="2112" w:type="pct"/>
            <w:tcBorders>
              <w:top w:val="nil"/>
              <w:left w:val="nil"/>
              <w:bottom w:val="nil"/>
              <w:right w:val="nil"/>
            </w:tcBorders>
            <w:shd w:val="clear" w:color="auto" w:fill="auto"/>
            <w:vAlign w:val="bottom"/>
            <w:hideMark/>
          </w:tcPr>
          <w:p w:rsidR="009A45D5" w:rsidRPr="009A45D5" w:rsidRDefault="009A45D5" w:rsidP="009A45D5">
            <w:pPr>
              <w:jc w:val="center"/>
              <w:rPr>
                <w:rFonts w:ascii="Calibri" w:hAnsi="Calibri" w:cs="Calibri"/>
                <w:color w:val="000000"/>
              </w:rPr>
            </w:pPr>
          </w:p>
        </w:tc>
        <w:tc>
          <w:tcPr>
            <w:tcW w:w="669" w:type="pct"/>
            <w:tcBorders>
              <w:top w:val="nil"/>
              <w:left w:val="nil"/>
              <w:bottom w:val="nil"/>
              <w:right w:val="nil"/>
            </w:tcBorders>
            <w:shd w:val="clear" w:color="auto" w:fill="auto"/>
            <w:noWrap/>
            <w:vAlign w:val="bottom"/>
            <w:hideMark/>
          </w:tcPr>
          <w:p w:rsidR="009A45D5" w:rsidRPr="009A45D5" w:rsidRDefault="009A45D5" w:rsidP="009A45D5">
            <w:pPr>
              <w:rPr>
                <w:sz w:val="20"/>
                <w:szCs w:val="20"/>
              </w:rPr>
            </w:pPr>
          </w:p>
        </w:tc>
        <w:tc>
          <w:tcPr>
            <w:tcW w:w="780" w:type="pct"/>
            <w:tcBorders>
              <w:top w:val="nil"/>
              <w:left w:val="nil"/>
              <w:bottom w:val="nil"/>
              <w:right w:val="nil"/>
            </w:tcBorders>
            <w:shd w:val="clear" w:color="auto" w:fill="auto"/>
            <w:noWrap/>
            <w:vAlign w:val="bottom"/>
            <w:hideMark/>
          </w:tcPr>
          <w:p w:rsidR="009A45D5" w:rsidRPr="009A45D5" w:rsidRDefault="009A45D5" w:rsidP="009A45D5">
            <w:pPr>
              <w:jc w:val="center"/>
              <w:rPr>
                <w:sz w:val="20"/>
                <w:szCs w:val="20"/>
              </w:rPr>
            </w:pPr>
          </w:p>
        </w:tc>
        <w:tc>
          <w:tcPr>
            <w:tcW w:w="670" w:type="pct"/>
            <w:tcBorders>
              <w:top w:val="nil"/>
              <w:left w:val="nil"/>
              <w:bottom w:val="nil"/>
              <w:right w:val="nil"/>
            </w:tcBorders>
            <w:shd w:val="clear" w:color="auto" w:fill="auto"/>
            <w:noWrap/>
            <w:vAlign w:val="bottom"/>
            <w:hideMark/>
          </w:tcPr>
          <w:p w:rsidR="009A45D5" w:rsidRPr="009A45D5" w:rsidRDefault="009A45D5" w:rsidP="009A45D5">
            <w:pPr>
              <w:jc w:val="center"/>
              <w:rPr>
                <w:sz w:val="20"/>
                <w:szCs w:val="20"/>
              </w:rPr>
            </w:pPr>
          </w:p>
        </w:tc>
        <w:tc>
          <w:tcPr>
            <w:tcW w:w="770" w:type="pct"/>
            <w:tcBorders>
              <w:top w:val="nil"/>
              <w:left w:val="nil"/>
              <w:bottom w:val="nil"/>
              <w:right w:val="nil"/>
            </w:tcBorders>
            <w:shd w:val="clear" w:color="auto" w:fill="auto"/>
            <w:noWrap/>
            <w:vAlign w:val="bottom"/>
            <w:hideMark/>
          </w:tcPr>
          <w:p w:rsidR="009A45D5" w:rsidRPr="009A45D5" w:rsidRDefault="009A45D5" w:rsidP="009A45D5">
            <w:pPr>
              <w:jc w:val="center"/>
              <w:rPr>
                <w:sz w:val="20"/>
                <w:szCs w:val="20"/>
              </w:rPr>
            </w:pPr>
          </w:p>
        </w:tc>
      </w:tr>
      <w:tr w:rsidR="006827B3" w:rsidRPr="009A45D5" w:rsidTr="001068B9">
        <w:trPr>
          <w:trHeight w:val="290"/>
        </w:trPr>
        <w:tc>
          <w:tcPr>
            <w:tcW w:w="2112" w:type="pct"/>
            <w:tcBorders>
              <w:top w:val="nil"/>
              <w:left w:val="nil"/>
              <w:bottom w:val="nil"/>
              <w:right w:val="nil"/>
            </w:tcBorders>
            <w:shd w:val="clear" w:color="auto" w:fill="auto"/>
            <w:vAlign w:val="bottom"/>
            <w:hideMark/>
          </w:tcPr>
          <w:p w:rsidR="009A45D5" w:rsidRPr="009A45D5" w:rsidRDefault="009A45D5" w:rsidP="009A45D5">
            <w:pPr>
              <w:rPr>
                <w:rFonts w:ascii="Calibri" w:hAnsi="Calibri" w:cs="Calibri"/>
                <w:color w:val="000000"/>
              </w:rPr>
            </w:pPr>
            <w:r w:rsidRPr="009A45D5">
              <w:rPr>
                <w:rFonts w:ascii="Calibri" w:hAnsi="Calibri" w:cs="Calibri"/>
                <w:color w:val="000000"/>
              </w:rPr>
              <w:t>Medicaid x Uninsured x Post</w:t>
            </w:r>
          </w:p>
        </w:tc>
        <w:tc>
          <w:tcPr>
            <w:tcW w:w="669" w:type="pct"/>
            <w:tcBorders>
              <w:top w:val="nil"/>
              <w:left w:val="nil"/>
              <w:bottom w:val="nil"/>
              <w:right w:val="nil"/>
            </w:tcBorders>
            <w:shd w:val="clear" w:color="auto" w:fill="auto"/>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-0.0874</w:t>
            </w:r>
          </w:p>
        </w:tc>
        <w:tc>
          <w:tcPr>
            <w:tcW w:w="780" w:type="pct"/>
            <w:tcBorders>
              <w:top w:val="nil"/>
              <w:left w:val="nil"/>
              <w:bottom w:val="nil"/>
              <w:right w:val="nil"/>
            </w:tcBorders>
            <w:shd w:val="clear" w:color="auto" w:fill="auto"/>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-0.00397</w:t>
            </w:r>
          </w:p>
        </w:tc>
        <w:tc>
          <w:tcPr>
            <w:tcW w:w="670" w:type="pct"/>
            <w:tcBorders>
              <w:top w:val="nil"/>
              <w:left w:val="nil"/>
              <w:bottom w:val="nil"/>
              <w:right w:val="nil"/>
            </w:tcBorders>
            <w:shd w:val="clear" w:color="auto" w:fill="auto"/>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0.0127</w:t>
            </w:r>
          </w:p>
        </w:tc>
        <w:tc>
          <w:tcPr>
            <w:tcW w:w="770" w:type="pct"/>
            <w:tcBorders>
              <w:top w:val="nil"/>
              <w:left w:val="nil"/>
              <w:bottom w:val="nil"/>
              <w:right w:val="nil"/>
            </w:tcBorders>
            <w:shd w:val="clear" w:color="auto" w:fill="auto"/>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1.013</w:t>
            </w:r>
          </w:p>
        </w:tc>
      </w:tr>
      <w:tr w:rsidR="006827B3" w:rsidRPr="009A45D5" w:rsidTr="001068B9">
        <w:trPr>
          <w:trHeight w:val="310"/>
        </w:trPr>
        <w:tc>
          <w:tcPr>
            <w:tcW w:w="2112" w:type="pct"/>
            <w:tcBorders>
              <w:top w:val="nil"/>
              <w:left w:val="nil"/>
              <w:bottom w:val="single" w:sz="4" w:space="0" w:color="auto"/>
              <w:right w:val="nil"/>
            </w:tcBorders>
            <w:shd w:val="clear" w:color="auto" w:fill="auto"/>
            <w:vAlign w:val="bottom"/>
            <w:hideMark/>
          </w:tcPr>
          <w:p w:rsidR="009A45D5" w:rsidRPr="009A45D5" w:rsidRDefault="009A45D5" w:rsidP="009A45D5">
            <w:pPr>
              <w:rPr>
                <w:rFonts w:ascii="Calibri" w:hAnsi="Calibri" w:cs="Calibri"/>
                <w:color w:val="000000"/>
              </w:rPr>
            </w:pPr>
            <w:r w:rsidRPr="009A45D5">
              <w:rPr>
                <w:rFonts w:ascii="Calibri" w:hAnsi="Calibri" w:cs="Calibri"/>
                <w:color w:val="000000"/>
              </w:rPr>
              <w:t> </w:t>
            </w:r>
          </w:p>
        </w:tc>
        <w:tc>
          <w:tcPr>
            <w:tcW w:w="669" w:type="pct"/>
            <w:tcBorders>
              <w:top w:val="nil"/>
              <w:left w:val="nil"/>
              <w:bottom w:val="single" w:sz="4" w:space="0" w:color="auto"/>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(0.0518)</w:t>
            </w:r>
          </w:p>
        </w:tc>
        <w:tc>
          <w:tcPr>
            <w:tcW w:w="780" w:type="pct"/>
            <w:tcBorders>
              <w:top w:val="nil"/>
              <w:left w:val="nil"/>
              <w:bottom w:val="single" w:sz="4" w:space="0" w:color="auto"/>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(0.0271)</w:t>
            </w:r>
          </w:p>
        </w:tc>
        <w:tc>
          <w:tcPr>
            <w:tcW w:w="670" w:type="pct"/>
            <w:tcBorders>
              <w:top w:val="nil"/>
              <w:left w:val="nil"/>
              <w:bottom w:val="single" w:sz="4" w:space="0" w:color="auto"/>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(0.0222)</w:t>
            </w:r>
          </w:p>
        </w:tc>
        <w:tc>
          <w:tcPr>
            <w:tcW w:w="770" w:type="pct"/>
            <w:tcBorders>
              <w:top w:val="nil"/>
              <w:left w:val="nil"/>
              <w:bottom w:val="single" w:sz="4" w:space="0" w:color="auto"/>
              <w:right w:val="nil"/>
            </w:tcBorders>
            <w:shd w:val="clear" w:color="auto" w:fill="auto"/>
            <w:noWrap/>
            <w:vAlign w:val="bottom"/>
            <w:hideMark/>
          </w:tcPr>
          <w:p w:rsidR="009A45D5" w:rsidRPr="009A45D5" w:rsidRDefault="009A45D5" w:rsidP="009A45D5">
            <w:pPr>
              <w:jc w:val="center"/>
              <w:rPr>
                <w:rFonts w:ascii="Calibri" w:hAnsi="Calibri" w:cs="Calibri"/>
                <w:color w:val="000000"/>
              </w:rPr>
            </w:pPr>
            <w:r w:rsidRPr="009A45D5">
              <w:rPr>
                <w:rFonts w:ascii="Calibri" w:hAnsi="Calibri" w:cs="Calibri"/>
                <w:color w:val="000000"/>
              </w:rPr>
              <w:t>(0.9322)</w:t>
            </w:r>
          </w:p>
        </w:tc>
      </w:tr>
    </w:tbl>
    <w:p w:rsidR="009A45D5" w:rsidRPr="001068B9" w:rsidRDefault="001068B9" w:rsidP="001068B9">
      <w:pPr>
        <w:spacing w:line="276" w:lineRule="auto"/>
        <w:rPr>
          <w:sz w:val="16"/>
          <w:szCs w:val="16"/>
        </w:rPr>
      </w:pPr>
      <w:r w:rsidRPr="005A43BD">
        <w:rPr>
          <w:i/>
          <w:sz w:val="16"/>
          <w:szCs w:val="16"/>
        </w:rPr>
        <w:t xml:space="preserve">Notes: </w:t>
      </w:r>
      <w:r>
        <w:rPr>
          <w:sz w:val="16"/>
          <w:szCs w:val="16"/>
        </w:rPr>
        <w:t>Standard errors, heteroskedasticity-robust and clustered at the state level, are in parentheses. *** Denotes statistical significance at 1 percent level, ** Denotes statistical significance at 5 percent level,</w:t>
      </w:r>
      <w:r w:rsidRPr="005A43BD">
        <w:rPr>
          <w:sz w:val="16"/>
          <w:szCs w:val="16"/>
        </w:rPr>
        <w:t xml:space="preserve"> </w:t>
      </w:r>
      <w:r>
        <w:rPr>
          <w:sz w:val="16"/>
          <w:szCs w:val="16"/>
        </w:rPr>
        <w:t>* Denotes statistical significance at 10 percent level</w:t>
      </w:r>
      <w:r w:rsidR="00344AFD">
        <w:rPr>
          <w:sz w:val="16"/>
          <w:szCs w:val="16"/>
        </w:rPr>
        <w:t xml:space="preserve">. </w:t>
      </w:r>
    </w:p>
    <w:p w:rsidR="004609DF" w:rsidRDefault="004609DF">
      <w:r>
        <w:br w:type="page"/>
      </w:r>
    </w:p>
    <w:tbl>
      <w:tblPr>
        <w:tblW w:w="0" w:type="auto"/>
        <w:tblLook w:val="04A0" w:firstRow="1" w:lastRow="0" w:firstColumn="1" w:lastColumn="0" w:noHBand="0" w:noVBand="1"/>
      </w:tblPr>
      <w:tblGrid>
        <w:gridCol w:w="3780"/>
        <w:gridCol w:w="1350"/>
        <w:gridCol w:w="1513"/>
        <w:gridCol w:w="1187"/>
        <w:gridCol w:w="1530"/>
      </w:tblGrid>
      <w:tr w:rsidR="004650EE" w:rsidTr="004650EE">
        <w:trPr>
          <w:trHeight w:val="290"/>
        </w:trPr>
        <w:tc>
          <w:tcPr>
            <w:tcW w:w="0" w:type="auto"/>
            <w:gridSpan w:val="5"/>
            <w:tcBorders>
              <w:top w:val="nil"/>
              <w:left w:val="nil"/>
              <w:bottom w:val="single" w:sz="4" w:space="0" w:color="auto"/>
              <w:right w:val="nil"/>
            </w:tcBorders>
            <w:shd w:val="clear" w:color="auto" w:fill="auto"/>
            <w:vAlign w:val="bottom"/>
            <w:hideMark/>
          </w:tcPr>
          <w:p w:rsidR="004650EE" w:rsidRDefault="004650EE">
            <w:pPr>
              <w:jc w:val="center"/>
              <w:rPr>
                <w:rFonts w:ascii="Calibri" w:hAnsi="Calibri" w:cs="Calibri"/>
                <w:b/>
                <w:bCs/>
                <w:color w:val="000000"/>
                <w:sz w:val="22"/>
                <w:szCs w:val="22"/>
                <w:u w:val="single"/>
              </w:rPr>
            </w:pPr>
            <w:r>
              <w:rPr>
                <w:rFonts w:ascii="Calibri" w:hAnsi="Calibri" w:cs="Calibri"/>
                <w:b/>
                <w:bCs/>
                <w:color w:val="000000"/>
                <w:sz w:val="22"/>
                <w:szCs w:val="22"/>
                <w:u w:val="single"/>
              </w:rPr>
              <w:lastRenderedPageBreak/>
              <w:t xml:space="preserve">Table </w:t>
            </w:r>
            <w:r w:rsidR="00613475">
              <w:rPr>
                <w:rFonts w:ascii="Calibri" w:hAnsi="Calibri" w:cs="Calibri"/>
                <w:b/>
                <w:bCs/>
                <w:color w:val="000000"/>
                <w:sz w:val="22"/>
                <w:szCs w:val="22"/>
                <w:u w:val="single"/>
              </w:rPr>
              <w:t>4</w:t>
            </w:r>
            <w:r>
              <w:rPr>
                <w:rFonts w:ascii="Calibri" w:hAnsi="Calibri" w:cs="Calibri"/>
                <w:b/>
                <w:bCs/>
                <w:color w:val="000000"/>
                <w:sz w:val="22"/>
                <w:szCs w:val="22"/>
                <w:u w:val="single"/>
              </w:rPr>
              <w:t>b: Heterogeneity Results Continued</w:t>
            </w:r>
          </w:p>
        </w:tc>
      </w:tr>
      <w:tr w:rsidR="004650EE" w:rsidTr="004650EE">
        <w:trPr>
          <w:trHeight w:val="620"/>
        </w:trPr>
        <w:tc>
          <w:tcPr>
            <w:tcW w:w="3780" w:type="dxa"/>
            <w:tcBorders>
              <w:top w:val="nil"/>
              <w:left w:val="nil"/>
              <w:bottom w:val="single" w:sz="4" w:space="0" w:color="auto"/>
              <w:right w:val="nil"/>
            </w:tcBorders>
            <w:shd w:val="clear" w:color="auto" w:fill="auto"/>
            <w:noWrap/>
            <w:vAlign w:val="bottom"/>
            <w:hideMark/>
          </w:tcPr>
          <w:p w:rsidR="004650EE" w:rsidRDefault="004650EE">
            <w:pPr>
              <w:rPr>
                <w:rFonts w:ascii="Calibri" w:hAnsi="Calibri" w:cs="Calibri"/>
                <w:color w:val="000000"/>
              </w:rPr>
            </w:pPr>
            <w:r>
              <w:rPr>
                <w:rFonts w:ascii="Calibri" w:hAnsi="Calibri" w:cs="Calibri"/>
                <w:color w:val="000000"/>
              </w:rPr>
              <w:t> </w:t>
            </w:r>
          </w:p>
        </w:tc>
        <w:tc>
          <w:tcPr>
            <w:tcW w:w="1350" w:type="dxa"/>
            <w:tcBorders>
              <w:top w:val="nil"/>
              <w:left w:val="nil"/>
              <w:bottom w:val="single" w:sz="4" w:space="0" w:color="auto"/>
              <w:right w:val="nil"/>
            </w:tcBorders>
            <w:shd w:val="clear" w:color="auto" w:fill="auto"/>
            <w:vAlign w:val="bottom"/>
            <w:hideMark/>
          </w:tcPr>
          <w:p w:rsidR="004650EE" w:rsidRDefault="004650EE">
            <w:pPr>
              <w:jc w:val="center"/>
              <w:rPr>
                <w:rFonts w:ascii="Calibri" w:hAnsi="Calibri" w:cs="Calibri"/>
                <w:color w:val="000000"/>
              </w:rPr>
            </w:pPr>
            <w:proofErr w:type="gramStart"/>
            <w:r>
              <w:rPr>
                <w:rFonts w:ascii="Calibri" w:hAnsi="Calibri" w:cs="Calibri"/>
                <w:color w:val="000000"/>
              </w:rPr>
              <w:t>ln(</w:t>
            </w:r>
            <w:proofErr w:type="gramEnd"/>
            <w:r>
              <w:rPr>
                <w:rFonts w:ascii="Calibri" w:hAnsi="Calibri" w:cs="Calibri"/>
                <w:color w:val="000000"/>
              </w:rPr>
              <w:t>Wage)</w:t>
            </w:r>
          </w:p>
        </w:tc>
        <w:tc>
          <w:tcPr>
            <w:tcW w:w="1513" w:type="dxa"/>
            <w:tcBorders>
              <w:top w:val="nil"/>
              <w:left w:val="nil"/>
              <w:bottom w:val="single" w:sz="4" w:space="0" w:color="auto"/>
              <w:right w:val="nil"/>
            </w:tcBorders>
            <w:shd w:val="clear" w:color="auto" w:fill="auto"/>
            <w:vAlign w:val="bottom"/>
            <w:hideMark/>
          </w:tcPr>
          <w:p w:rsidR="004650EE" w:rsidRDefault="004650EE">
            <w:pPr>
              <w:jc w:val="center"/>
              <w:rPr>
                <w:rFonts w:ascii="Calibri" w:hAnsi="Calibri" w:cs="Calibri"/>
                <w:color w:val="000000"/>
              </w:rPr>
            </w:pPr>
            <w:r>
              <w:rPr>
                <w:rFonts w:ascii="Calibri" w:hAnsi="Calibri" w:cs="Calibri"/>
                <w:color w:val="000000"/>
              </w:rPr>
              <w:t>Labor Force Participation</w:t>
            </w:r>
          </w:p>
        </w:tc>
        <w:tc>
          <w:tcPr>
            <w:tcW w:w="1187" w:type="dxa"/>
            <w:tcBorders>
              <w:top w:val="nil"/>
              <w:left w:val="nil"/>
              <w:bottom w:val="single" w:sz="4" w:space="0" w:color="auto"/>
              <w:right w:val="nil"/>
            </w:tcBorders>
            <w:shd w:val="clear" w:color="auto" w:fill="auto"/>
            <w:vAlign w:val="bottom"/>
            <w:hideMark/>
          </w:tcPr>
          <w:p w:rsidR="004650EE" w:rsidRDefault="004650EE">
            <w:pPr>
              <w:jc w:val="center"/>
              <w:rPr>
                <w:rFonts w:ascii="Calibri" w:hAnsi="Calibri" w:cs="Calibri"/>
                <w:color w:val="000000"/>
              </w:rPr>
            </w:pPr>
            <w:r>
              <w:rPr>
                <w:rFonts w:ascii="Calibri" w:hAnsi="Calibri" w:cs="Calibri"/>
                <w:color w:val="000000"/>
              </w:rPr>
              <w:t>Employed</w:t>
            </w:r>
          </w:p>
        </w:tc>
        <w:tc>
          <w:tcPr>
            <w:tcW w:w="1530" w:type="dxa"/>
            <w:tcBorders>
              <w:top w:val="nil"/>
              <w:left w:val="nil"/>
              <w:bottom w:val="single" w:sz="4" w:space="0" w:color="auto"/>
              <w:right w:val="nil"/>
            </w:tcBorders>
            <w:shd w:val="clear" w:color="auto" w:fill="auto"/>
            <w:vAlign w:val="bottom"/>
            <w:hideMark/>
          </w:tcPr>
          <w:p w:rsidR="004650EE" w:rsidRDefault="004650EE">
            <w:pPr>
              <w:jc w:val="center"/>
              <w:rPr>
                <w:rFonts w:ascii="Calibri" w:hAnsi="Calibri" w:cs="Calibri"/>
                <w:color w:val="000000"/>
              </w:rPr>
            </w:pPr>
            <w:r>
              <w:rPr>
                <w:rFonts w:ascii="Calibri" w:hAnsi="Calibri" w:cs="Calibri"/>
                <w:color w:val="000000"/>
              </w:rPr>
              <w:t>Usual Hours Worked</w:t>
            </w:r>
          </w:p>
        </w:tc>
      </w:tr>
      <w:tr w:rsidR="004650EE" w:rsidTr="004650EE">
        <w:trPr>
          <w:trHeight w:val="310"/>
        </w:trPr>
        <w:tc>
          <w:tcPr>
            <w:tcW w:w="3780" w:type="dxa"/>
            <w:tcBorders>
              <w:top w:val="nil"/>
              <w:left w:val="nil"/>
              <w:bottom w:val="nil"/>
              <w:right w:val="nil"/>
            </w:tcBorders>
            <w:shd w:val="clear" w:color="auto" w:fill="auto"/>
            <w:vAlign w:val="bottom"/>
            <w:hideMark/>
          </w:tcPr>
          <w:p w:rsidR="004650EE" w:rsidRDefault="004650EE">
            <w:pPr>
              <w:jc w:val="center"/>
              <w:rPr>
                <w:rFonts w:ascii="Calibri" w:hAnsi="Calibri" w:cs="Calibri"/>
                <w:b/>
                <w:bCs/>
                <w:color w:val="000000"/>
                <w:u w:val="single"/>
              </w:rPr>
            </w:pPr>
            <w:r>
              <w:rPr>
                <w:rFonts w:ascii="Calibri" w:hAnsi="Calibri" w:cs="Calibri"/>
                <w:b/>
                <w:bCs/>
                <w:color w:val="000000"/>
                <w:u w:val="single"/>
              </w:rPr>
              <w:t>Non-White</w:t>
            </w:r>
          </w:p>
        </w:tc>
        <w:tc>
          <w:tcPr>
            <w:tcW w:w="1350" w:type="dxa"/>
            <w:tcBorders>
              <w:top w:val="nil"/>
              <w:left w:val="nil"/>
              <w:bottom w:val="nil"/>
              <w:right w:val="nil"/>
            </w:tcBorders>
            <w:shd w:val="clear" w:color="auto" w:fill="auto"/>
            <w:noWrap/>
            <w:vAlign w:val="bottom"/>
            <w:hideMark/>
          </w:tcPr>
          <w:p w:rsidR="004650EE" w:rsidRDefault="004650EE">
            <w:pPr>
              <w:jc w:val="center"/>
              <w:rPr>
                <w:rFonts w:ascii="Calibri" w:hAnsi="Calibri" w:cs="Calibri"/>
                <w:b/>
                <w:bCs/>
                <w:color w:val="000000"/>
                <w:u w:val="single"/>
              </w:rPr>
            </w:pPr>
          </w:p>
        </w:tc>
        <w:tc>
          <w:tcPr>
            <w:tcW w:w="1513" w:type="dxa"/>
            <w:tcBorders>
              <w:top w:val="nil"/>
              <w:left w:val="nil"/>
              <w:bottom w:val="nil"/>
              <w:right w:val="nil"/>
            </w:tcBorders>
            <w:shd w:val="clear" w:color="auto" w:fill="auto"/>
            <w:noWrap/>
            <w:vAlign w:val="bottom"/>
            <w:hideMark/>
          </w:tcPr>
          <w:p w:rsidR="004650EE" w:rsidRDefault="004650EE">
            <w:pPr>
              <w:jc w:val="center"/>
              <w:rPr>
                <w:sz w:val="20"/>
                <w:szCs w:val="20"/>
              </w:rPr>
            </w:pPr>
          </w:p>
        </w:tc>
        <w:tc>
          <w:tcPr>
            <w:tcW w:w="1187" w:type="dxa"/>
            <w:tcBorders>
              <w:top w:val="nil"/>
              <w:left w:val="nil"/>
              <w:bottom w:val="nil"/>
              <w:right w:val="nil"/>
            </w:tcBorders>
            <w:shd w:val="clear" w:color="auto" w:fill="auto"/>
            <w:noWrap/>
            <w:vAlign w:val="bottom"/>
            <w:hideMark/>
          </w:tcPr>
          <w:p w:rsidR="004650EE" w:rsidRDefault="004650EE">
            <w:pPr>
              <w:jc w:val="center"/>
              <w:rPr>
                <w:sz w:val="20"/>
                <w:szCs w:val="20"/>
              </w:rPr>
            </w:pPr>
          </w:p>
        </w:tc>
        <w:tc>
          <w:tcPr>
            <w:tcW w:w="1530" w:type="dxa"/>
            <w:tcBorders>
              <w:top w:val="nil"/>
              <w:left w:val="nil"/>
              <w:bottom w:val="nil"/>
              <w:right w:val="nil"/>
            </w:tcBorders>
            <w:shd w:val="clear" w:color="auto" w:fill="auto"/>
            <w:noWrap/>
            <w:vAlign w:val="bottom"/>
            <w:hideMark/>
          </w:tcPr>
          <w:p w:rsidR="004650EE" w:rsidRDefault="004650EE">
            <w:pPr>
              <w:jc w:val="center"/>
              <w:rPr>
                <w:sz w:val="20"/>
                <w:szCs w:val="20"/>
              </w:rPr>
            </w:pPr>
          </w:p>
        </w:tc>
      </w:tr>
      <w:tr w:rsidR="004650EE" w:rsidTr="004650EE">
        <w:trPr>
          <w:trHeight w:val="310"/>
        </w:trPr>
        <w:tc>
          <w:tcPr>
            <w:tcW w:w="3780" w:type="dxa"/>
            <w:tcBorders>
              <w:top w:val="nil"/>
              <w:left w:val="nil"/>
              <w:bottom w:val="nil"/>
              <w:right w:val="nil"/>
            </w:tcBorders>
            <w:shd w:val="clear" w:color="auto" w:fill="auto"/>
            <w:vAlign w:val="bottom"/>
            <w:hideMark/>
          </w:tcPr>
          <w:p w:rsidR="004650EE" w:rsidRDefault="004650EE">
            <w:pPr>
              <w:rPr>
                <w:rFonts w:ascii="Calibri" w:hAnsi="Calibri" w:cs="Calibri"/>
                <w:color w:val="000000"/>
              </w:rPr>
            </w:pPr>
            <w:r>
              <w:rPr>
                <w:rFonts w:ascii="Calibri" w:hAnsi="Calibri" w:cs="Calibri"/>
                <w:color w:val="000000"/>
              </w:rPr>
              <w:t>Uninsured x Post</w:t>
            </w:r>
          </w:p>
        </w:tc>
        <w:tc>
          <w:tcPr>
            <w:tcW w:w="1350" w:type="dxa"/>
            <w:tcBorders>
              <w:top w:val="nil"/>
              <w:left w:val="nil"/>
              <w:bottom w:val="nil"/>
              <w:right w:val="nil"/>
            </w:tcBorders>
            <w:shd w:val="clear" w:color="auto" w:fill="auto"/>
            <w:noWrap/>
            <w:vAlign w:val="bottom"/>
            <w:hideMark/>
          </w:tcPr>
          <w:p w:rsidR="004650EE" w:rsidRDefault="004650EE">
            <w:pPr>
              <w:jc w:val="center"/>
              <w:rPr>
                <w:rFonts w:ascii="Calibri" w:hAnsi="Calibri" w:cs="Calibri"/>
                <w:color w:val="000000"/>
              </w:rPr>
            </w:pPr>
            <w:r>
              <w:rPr>
                <w:rFonts w:ascii="Calibri" w:hAnsi="Calibri" w:cs="Calibri"/>
                <w:color w:val="000000"/>
              </w:rPr>
              <w:t>0.0597</w:t>
            </w:r>
          </w:p>
        </w:tc>
        <w:tc>
          <w:tcPr>
            <w:tcW w:w="1513" w:type="dxa"/>
            <w:tcBorders>
              <w:top w:val="nil"/>
              <w:left w:val="nil"/>
              <w:bottom w:val="nil"/>
              <w:right w:val="nil"/>
            </w:tcBorders>
            <w:shd w:val="clear" w:color="auto" w:fill="auto"/>
            <w:noWrap/>
            <w:vAlign w:val="bottom"/>
            <w:hideMark/>
          </w:tcPr>
          <w:p w:rsidR="004650EE" w:rsidRDefault="004650EE">
            <w:pPr>
              <w:jc w:val="center"/>
              <w:rPr>
                <w:rFonts w:ascii="Calibri" w:hAnsi="Calibri" w:cs="Calibri"/>
                <w:color w:val="000000"/>
              </w:rPr>
            </w:pPr>
            <w:r>
              <w:rPr>
                <w:rFonts w:ascii="Calibri" w:hAnsi="Calibri" w:cs="Calibri"/>
                <w:color w:val="000000"/>
              </w:rPr>
              <w:t>-0.00614</w:t>
            </w:r>
          </w:p>
        </w:tc>
        <w:tc>
          <w:tcPr>
            <w:tcW w:w="1187" w:type="dxa"/>
            <w:tcBorders>
              <w:top w:val="nil"/>
              <w:left w:val="nil"/>
              <w:bottom w:val="nil"/>
              <w:right w:val="nil"/>
            </w:tcBorders>
            <w:shd w:val="clear" w:color="auto" w:fill="auto"/>
            <w:noWrap/>
            <w:vAlign w:val="bottom"/>
            <w:hideMark/>
          </w:tcPr>
          <w:p w:rsidR="004650EE" w:rsidRDefault="004650EE">
            <w:pPr>
              <w:jc w:val="center"/>
              <w:rPr>
                <w:rFonts w:ascii="Calibri" w:hAnsi="Calibri" w:cs="Calibri"/>
                <w:color w:val="000000"/>
              </w:rPr>
            </w:pPr>
            <w:r>
              <w:rPr>
                <w:rFonts w:ascii="Calibri" w:hAnsi="Calibri" w:cs="Calibri"/>
                <w:color w:val="000000"/>
              </w:rPr>
              <w:t>0.0460**</w:t>
            </w:r>
          </w:p>
        </w:tc>
        <w:tc>
          <w:tcPr>
            <w:tcW w:w="1530" w:type="dxa"/>
            <w:tcBorders>
              <w:top w:val="nil"/>
              <w:left w:val="nil"/>
              <w:bottom w:val="nil"/>
              <w:right w:val="nil"/>
            </w:tcBorders>
            <w:shd w:val="clear" w:color="auto" w:fill="auto"/>
            <w:noWrap/>
            <w:vAlign w:val="bottom"/>
            <w:hideMark/>
          </w:tcPr>
          <w:p w:rsidR="004650EE" w:rsidRDefault="004650EE">
            <w:pPr>
              <w:jc w:val="center"/>
              <w:rPr>
                <w:rFonts w:ascii="Calibri" w:hAnsi="Calibri" w:cs="Calibri"/>
                <w:color w:val="000000"/>
              </w:rPr>
            </w:pPr>
            <w:r>
              <w:rPr>
                <w:rFonts w:ascii="Calibri" w:hAnsi="Calibri" w:cs="Calibri"/>
                <w:color w:val="000000"/>
              </w:rPr>
              <w:t>1.366*</w:t>
            </w:r>
          </w:p>
        </w:tc>
      </w:tr>
      <w:tr w:rsidR="004650EE" w:rsidTr="004650EE">
        <w:trPr>
          <w:trHeight w:val="310"/>
        </w:trPr>
        <w:tc>
          <w:tcPr>
            <w:tcW w:w="3780" w:type="dxa"/>
            <w:tcBorders>
              <w:top w:val="nil"/>
              <w:left w:val="nil"/>
              <w:bottom w:val="nil"/>
              <w:right w:val="nil"/>
            </w:tcBorders>
            <w:shd w:val="clear" w:color="auto" w:fill="auto"/>
            <w:vAlign w:val="bottom"/>
            <w:hideMark/>
          </w:tcPr>
          <w:p w:rsidR="004650EE" w:rsidRDefault="004650EE">
            <w:pPr>
              <w:jc w:val="center"/>
              <w:rPr>
                <w:rFonts w:ascii="Calibri" w:hAnsi="Calibri" w:cs="Calibri"/>
                <w:color w:val="000000"/>
              </w:rPr>
            </w:pPr>
          </w:p>
        </w:tc>
        <w:tc>
          <w:tcPr>
            <w:tcW w:w="1350" w:type="dxa"/>
            <w:tcBorders>
              <w:top w:val="nil"/>
              <w:left w:val="nil"/>
              <w:bottom w:val="nil"/>
              <w:right w:val="nil"/>
            </w:tcBorders>
            <w:shd w:val="clear" w:color="auto" w:fill="auto"/>
            <w:noWrap/>
            <w:vAlign w:val="bottom"/>
            <w:hideMark/>
          </w:tcPr>
          <w:p w:rsidR="004650EE" w:rsidRDefault="004650EE">
            <w:pPr>
              <w:jc w:val="center"/>
              <w:rPr>
                <w:rFonts w:ascii="Calibri" w:hAnsi="Calibri" w:cs="Calibri"/>
                <w:color w:val="000000"/>
              </w:rPr>
            </w:pPr>
            <w:r>
              <w:rPr>
                <w:rFonts w:ascii="Calibri" w:hAnsi="Calibri" w:cs="Calibri"/>
                <w:color w:val="000000"/>
              </w:rPr>
              <w:t>(0.0496)</w:t>
            </w:r>
          </w:p>
        </w:tc>
        <w:tc>
          <w:tcPr>
            <w:tcW w:w="1513" w:type="dxa"/>
            <w:tcBorders>
              <w:top w:val="nil"/>
              <w:left w:val="nil"/>
              <w:bottom w:val="nil"/>
              <w:right w:val="nil"/>
            </w:tcBorders>
            <w:shd w:val="clear" w:color="auto" w:fill="auto"/>
            <w:noWrap/>
            <w:vAlign w:val="bottom"/>
            <w:hideMark/>
          </w:tcPr>
          <w:p w:rsidR="004650EE" w:rsidRDefault="004650EE">
            <w:pPr>
              <w:jc w:val="center"/>
              <w:rPr>
                <w:rFonts w:ascii="Calibri" w:hAnsi="Calibri" w:cs="Calibri"/>
                <w:color w:val="000000"/>
              </w:rPr>
            </w:pPr>
            <w:r>
              <w:rPr>
                <w:rFonts w:ascii="Calibri" w:hAnsi="Calibri" w:cs="Calibri"/>
                <w:color w:val="000000"/>
              </w:rPr>
              <w:t>(0.0236)</w:t>
            </w:r>
          </w:p>
        </w:tc>
        <w:tc>
          <w:tcPr>
            <w:tcW w:w="1187" w:type="dxa"/>
            <w:tcBorders>
              <w:top w:val="nil"/>
              <w:left w:val="nil"/>
              <w:bottom w:val="nil"/>
              <w:right w:val="nil"/>
            </w:tcBorders>
            <w:shd w:val="clear" w:color="auto" w:fill="auto"/>
            <w:noWrap/>
            <w:vAlign w:val="bottom"/>
            <w:hideMark/>
          </w:tcPr>
          <w:p w:rsidR="004650EE" w:rsidRDefault="004650EE">
            <w:pPr>
              <w:jc w:val="center"/>
              <w:rPr>
                <w:rFonts w:ascii="Calibri" w:hAnsi="Calibri" w:cs="Calibri"/>
                <w:color w:val="000000"/>
              </w:rPr>
            </w:pPr>
            <w:r>
              <w:rPr>
                <w:rFonts w:ascii="Calibri" w:hAnsi="Calibri" w:cs="Calibri"/>
                <w:color w:val="000000"/>
              </w:rPr>
              <w:t>(0.0209)</w:t>
            </w:r>
          </w:p>
        </w:tc>
        <w:tc>
          <w:tcPr>
            <w:tcW w:w="1530" w:type="dxa"/>
            <w:tcBorders>
              <w:top w:val="nil"/>
              <w:left w:val="nil"/>
              <w:bottom w:val="nil"/>
              <w:right w:val="nil"/>
            </w:tcBorders>
            <w:shd w:val="clear" w:color="auto" w:fill="auto"/>
            <w:noWrap/>
            <w:vAlign w:val="bottom"/>
            <w:hideMark/>
          </w:tcPr>
          <w:p w:rsidR="004650EE" w:rsidRDefault="004650EE">
            <w:pPr>
              <w:jc w:val="center"/>
              <w:rPr>
                <w:rFonts w:ascii="Calibri" w:hAnsi="Calibri" w:cs="Calibri"/>
                <w:color w:val="000000"/>
              </w:rPr>
            </w:pPr>
            <w:r>
              <w:rPr>
                <w:rFonts w:ascii="Calibri" w:hAnsi="Calibri" w:cs="Calibri"/>
                <w:color w:val="000000"/>
              </w:rPr>
              <w:t>(0.7194)</w:t>
            </w:r>
          </w:p>
        </w:tc>
      </w:tr>
      <w:tr w:rsidR="004650EE" w:rsidTr="004650EE">
        <w:trPr>
          <w:trHeight w:val="310"/>
        </w:trPr>
        <w:tc>
          <w:tcPr>
            <w:tcW w:w="3780" w:type="dxa"/>
            <w:tcBorders>
              <w:top w:val="nil"/>
              <w:left w:val="nil"/>
              <w:bottom w:val="nil"/>
              <w:right w:val="nil"/>
            </w:tcBorders>
            <w:shd w:val="clear" w:color="auto" w:fill="auto"/>
            <w:vAlign w:val="bottom"/>
            <w:hideMark/>
          </w:tcPr>
          <w:p w:rsidR="004650EE" w:rsidRDefault="004650EE">
            <w:pPr>
              <w:jc w:val="center"/>
              <w:rPr>
                <w:rFonts w:ascii="Calibri" w:hAnsi="Calibri" w:cs="Calibri"/>
                <w:color w:val="000000"/>
              </w:rPr>
            </w:pPr>
          </w:p>
        </w:tc>
        <w:tc>
          <w:tcPr>
            <w:tcW w:w="1350" w:type="dxa"/>
            <w:tcBorders>
              <w:top w:val="nil"/>
              <w:left w:val="nil"/>
              <w:bottom w:val="nil"/>
              <w:right w:val="nil"/>
            </w:tcBorders>
            <w:shd w:val="clear" w:color="auto" w:fill="auto"/>
            <w:noWrap/>
            <w:vAlign w:val="bottom"/>
            <w:hideMark/>
          </w:tcPr>
          <w:p w:rsidR="004650EE" w:rsidRDefault="004650EE">
            <w:pPr>
              <w:rPr>
                <w:sz w:val="20"/>
                <w:szCs w:val="20"/>
              </w:rPr>
            </w:pPr>
          </w:p>
        </w:tc>
        <w:tc>
          <w:tcPr>
            <w:tcW w:w="1513" w:type="dxa"/>
            <w:tcBorders>
              <w:top w:val="nil"/>
              <w:left w:val="nil"/>
              <w:bottom w:val="nil"/>
              <w:right w:val="nil"/>
            </w:tcBorders>
            <w:shd w:val="clear" w:color="auto" w:fill="auto"/>
            <w:noWrap/>
            <w:vAlign w:val="bottom"/>
            <w:hideMark/>
          </w:tcPr>
          <w:p w:rsidR="004650EE" w:rsidRDefault="004650EE">
            <w:pPr>
              <w:jc w:val="center"/>
              <w:rPr>
                <w:sz w:val="20"/>
                <w:szCs w:val="20"/>
              </w:rPr>
            </w:pPr>
          </w:p>
        </w:tc>
        <w:tc>
          <w:tcPr>
            <w:tcW w:w="1187" w:type="dxa"/>
            <w:tcBorders>
              <w:top w:val="nil"/>
              <w:left w:val="nil"/>
              <w:bottom w:val="nil"/>
              <w:right w:val="nil"/>
            </w:tcBorders>
            <w:shd w:val="clear" w:color="auto" w:fill="auto"/>
            <w:noWrap/>
            <w:vAlign w:val="bottom"/>
            <w:hideMark/>
          </w:tcPr>
          <w:p w:rsidR="004650EE" w:rsidRDefault="004650EE">
            <w:pPr>
              <w:jc w:val="center"/>
              <w:rPr>
                <w:sz w:val="20"/>
                <w:szCs w:val="20"/>
              </w:rPr>
            </w:pPr>
          </w:p>
        </w:tc>
        <w:tc>
          <w:tcPr>
            <w:tcW w:w="1530" w:type="dxa"/>
            <w:tcBorders>
              <w:top w:val="nil"/>
              <w:left w:val="nil"/>
              <w:bottom w:val="nil"/>
              <w:right w:val="nil"/>
            </w:tcBorders>
            <w:shd w:val="clear" w:color="auto" w:fill="auto"/>
            <w:noWrap/>
            <w:vAlign w:val="bottom"/>
            <w:hideMark/>
          </w:tcPr>
          <w:p w:rsidR="004650EE" w:rsidRDefault="004650EE">
            <w:pPr>
              <w:jc w:val="center"/>
              <w:rPr>
                <w:sz w:val="20"/>
                <w:szCs w:val="20"/>
              </w:rPr>
            </w:pPr>
          </w:p>
        </w:tc>
      </w:tr>
      <w:tr w:rsidR="004650EE" w:rsidTr="004650EE">
        <w:trPr>
          <w:trHeight w:val="310"/>
        </w:trPr>
        <w:tc>
          <w:tcPr>
            <w:tcW w:w="3780" w:type="dxa"/>
            <w:tcBorders>
              <w:top w:val="nil"/>
              <w:left w:val="nil"/>
              <w:bottom w:val="nil"/>
              <w:right w:val="nil"/>
            </w:tcBorders>
            <w:shd w:val="clear" w:color="auto" w:fill="auto"/>
            <w:vAlign w:val="bottom"/>
            <w:hideMark/>
          </w:tcPr>
          <w:p w:rsidR="004650EE" w:rsidRDefault="004650EE">
            <w:pPr>
              <w:rPr>
                <w:rFonts w:ascii="Calibri" w:hAnsi="Calibri" w:cs="Calibri"/>
                <w:color w:val="000000"/>
              </w:rPr>
            </w:pPr>
            <w:r>
              <w:rPr>
                <w:rFonts w:ascii="Calibri" w:hAnsi="Calibri" w:cs="Calibri"/>
                <w:color w:val="000000"/>
              </w:rPr>
              <w:t>Medicaid x Uninsured x Post</w:t>
            </w:r>
          </w:p>
        </w:tc>
        <w:tc>
          <w:tcPr>
            <w:tcW w:w="1350" w:type="dxa"/>
            <w:tcBorders>
              <w:top w:val="nil"/>
              <w:left w:val="nil"/>
              <w:bottom w:val="nil"/>
              <w:right w:val="nil"/>
            </w:tcBorders>
            <w:shd w:val="clear" w:color="auto" w:fill="auto"/>
            <w:noWrap/>
            <w:vAlign w:val="bottom"/>
            <w:hideMark/>
          </w:tcPr>
          <w:p w:rsidR="004650EE" w:rsidRDefault="004650EE">
            <w:pPr>
              <w:jc w:val="center"/>
              <w:rPr>
                <w:rFonts w:ascii="Calibri" w:hAnsi="Calibri" w:cs="Calibri"/>
                <w:color w:val="000000"/>
              </w:rPr>
            </w:pPr>
            <w:r>
              <w:rPr>
                <w:rFonts w:ascii="Calibri" w:hAnsi="Calibri" w:cs="Calibri"/>
                <w:color w:val="000000"/>
              </w:rPr>
              <w:t>-0.0719</w:t>
            </w:r>
          </w:p>
        </w:tc>
        <w:tc>
          <w:tcPr>
            <w:tcW w:w="1513" w:type="dxa"/>
            <w:tcBorders>
              <w:top w:val="nil"/>
              <w:left w:val="nil"/>
              <w:bottom w:val="nil"/>
              <w:right w:val="nil"/>
            </w:tcBorders>
            <w:shd w:val="clear" w:color="auto" w:fill="auto"/>
            <w:noWrap/>
            <w:vAlign w:val="bottom"/>
            <w:hideMark/>
          </w:tcPr>
          <w:p w:rsidR="004650EE" w:rsidRDefault="004650EE">
            <w:pPr>
              <w:jc w:val="center"/>
              <w:rPr>
                <w:rFonts w:ascii="Calibri" w:hAnsi="Calibri" w:cs="Calibri"/>
                <w:color w:val="000000"/>
              </w:rPr>
            </w:pPr>
            <w:r>
              <w:rPr>
                <w:rFonts w:ascii="Calibri" w:hAnsi="Calibri" w:cs="Calibri"/>
                <w:color w:val="000000"/>
              </w:rPr>
              <w:t>0.0111</w:t>
            </w:r>
          </w:p>
        </w:tc>
        <w:tc>
          <w:tcPr>
            <w:tcW w:w="1187" w:type="dxa"/>
            <w:tcBorders>
              <w:top w:val="nil"/>
              <w:left w:val="nil"/>
              <w:bottom w:val="nil"/>
              <w:right w:val="nil"/>
            </w:tcBorders>
            <w:shd w:val="clear" w:color="auto" w:fill="auto"/>
            <w:noWrap/>
            <w:vAlign w:val="bottom"/>
            <w:hideMark/>
          </w:tcPr>
          <w:p w:rsidR="004650EE" w:rsidRDefault="004650EE">
            <w:pPr>
              <w:jc w:val="center"/>
              <w:rPr>
                <w:rFonts w:ascii="Calibri" w:hAnsi="Calibri" w:cs="Calibri"/>
                <w:color w:val="000000"/>
              </w:rPr>
            </w:pPr>
            <w:r>
              <w:rPr>
                <w:rFonts w:ascii="Calibri" w:hAnsi="Calibri" w:cs="Calibri"/>
                <w:color w:val="000000"/>
              </w:rPr>
              <w:t>0.00225</w:t>
            </w:r>
          </w:p>
        </w:tc>
        <w:tc>
          <w:tcPr>
            <w:tcW w:w="1530" w:type="dxa"/>
            <w:tcBorders>
              <w:top w:val="nil"/>
              <w:left w:val="nil"/>
              <w:bottom w:val="nil"/>
              <w:right w:val="nil"/>
            </w:tcBorders>
            <w:shd w:val="clear" w:color="auto" w:fill="auto"/>
            <w:noWrap/>
            <w:vAlign w:val="bottom"/>
            <w:hideMark/>
          </w:tcPr>
          <w:p w:rsidR="004650EE" w:rsidRDefault="004650EE">
            <w:pPr>
              <w:jc w:val="center"/>
              <w:rPr>
                <w:rFonts w:ascii="Calibri" w:hAnsi="Calibri" w:cs="Calibri"/>
                <w:color w:val="000000"/>
              </w:rPr>
            </w:pPr>
            <w:r>
              <w:rPr>
                <w:rFonts w:ascii="Calibri" w:hAnsi="Calibri" w:cs="Calibri"/>
                <w:color w:val="000000"/>
              </w:rPr>
              <w:t>-0.577</w:t>
            </w:r>
          </w:p>
        </w:tc>
      </w:tr>
      <w:tr w:rsidR="004650EE" w:rsidTr="004650EE">
        <w:trPr>
          <w:trHeight w:val="310"/>
        </w:trPr>
        <w:tc>
          <w:tcPr>
            <w:tcW w:w="3780" w:type="dxa"/>
            <w:tcBorders>
              <w:top w:val="nil"/>
              <w:left w:val="nil"/>
              <w:bottom w:val="nil"/>
              <w:right w:val="nil"/>
            </w:tcBorders>
            <w:shd w:val="clear" w:color="auto" w:fill="auto"/>
            <w:vAlign w:val="bottom"/>
            <w:hideMark/>
          </w:tcPr>
          <w:p w:rsidR="004650EE" w:rsidRDefault="004650EE">
            <w:pPr>
              <w:jc w:val="center"/>
              <w:rPr>
                <w:rFonts w:ascii="Calibri" w:hAnsi="Calibri" w:cs="Calibri"/>
                <w:color w:val="000000"/>
              </w:rPr>
            </w:pPr>
          </w:p>
        </w:tc>
        <w:tc>
          <w:tcPr>
            <w:tcW w:w="1350" w:type="dxa"/>
            <w:tcBorders>
              <w:top w:val="nil"/>
              <w:left w:val="nil"/>
              <w:bottom w:val="single" w:sz="4" w:space="0" w:color="auto"/>
              <w:right w:val="nil"/>
            </w:tcBorders>
            <w:shd w:val="clear" w:color="auto" w:fill="auto"/>
            <w:noWrap/>
            <w:vAlign w:val="bottom"/>
            <w:hideMark/>
          </w:tcPr>
          <w:p w:rsidR="004650EE" w:rsidRDefault="004650EE">
            <w:pPr>
              <w:jc w:val="center"/>
              <w:rPr>
                <w:rFonts w:ascii="Calibri" w:hAnsi="Calibri" w:cs="Calibri"/>
                <w:color w:val="000000"/>
              </w:rPr>
            </w:pPr>
            <w:r>
              <w:rPr>
                <w:rFonts w:ascii="Calibri" w:hAnsi="Calibri" w:cs="Calibri"/>
                <w:color w:val="000000"/>
              </w:rPr>
              <w:t>(0.0639)</w:t>
            </w:r>
          </w:p>
        </w:tc>
        <w:tc>
          <w:tcPr>
            <w:tcW w:w="1513" w:type="dxa"/>
            <w:tcBorders>
              <w:top w:val="nil"/>
              <w:left w:val="nil"/>
              <w:bottom w:val="single" w:sz="4" w:space="0" w:color="auto"/>
              <w:right w:val="nil"/>
            </w:tcBorders>
            <w:shd w:val="clear" w:color="auto" w:fill="auto"/>
            <w:noWrap/>
            <w:vAlign w:val="bottom"/>
            <w:hideMark/>
          </w:tcPr>
          <w:p w:rsidR="004650EE" w:rsidRDefault="004650EE">
            <w:pPr>
              <w:jc w:val="center"/>
              <w:rPr>
                <w:rFonts w:ascii="Calibri" w:hAnsi="Calibri" w:cs="Calibri"/>
                <w:color w:val="000000"/>
              </w:rPr>
            </w:pPr>
            <w:r>
              <w:rPr>
                <w:rFonts w:ascii="Calibri" w:hAnsi="Calibri" w:cs="Calibri"/>
                <w:color w:val="000000"/>
              </w:rPr>
              <w:t>(0.0310)</w:t>
            </w:r>
          </w:p>
        </w:tc>
        <w:tc>
          <w:tcPr>
            <w:tcW w:w="1187" w:type="dxa"/>
            <w:tcBorders>
              <w:top w:val="nil"/>
              <w:left w:val="nil"/>
              <w:bottom w:val="single" w:sz="4" w:space="0" w:color="auto"/>
              <w:right w:val="nil"/>
            </w:tcBorders>
            <w:shd w:val="clear" w:color="auto" w:fill="auto"/>
            <w:noWrap/>
            <w:vAlign w:val="bottom"/>
            <w:hideMark/>
          </w:tcPr>
          <w:p w:rsidR="004650EE" w:rsidRDefault="004650EE">
            <w:pPr>
              <w:jc w:val="center"/>
              <w:rPr>
                <w:rFonts w:ascii="Calibri" w:hAnsi="Calibri" w:cs="Calibri"/>
                <w:color w:val="000000"/>
              </w:rPr>
            </w:pPr>
            <w:r>
              <w:rPr>
                <w:rFonts w:ascii="Calibri" w:hAnsi="Calibri" w:cs="Calibri"/>
                <w:color w:val="000000"/>
              </w:rPr>
              <w:t>(0.0274)</w:t>
            </w:r>
          </w:p>
        </w:tc>
        <w:tc>
          <w:tcPr>
            <w:tcW w:w="1530" w:type="dxa"/>
            <w:tcBorders>
              <w:top w:val="nil"/>
              <w:left w:val="nil"/>
              <w:bottom w:val="single" w:sz="4" w:space="0" w:color="auto"/>
              <w:right w:val="nil"/>
            </w:tcBorders>
            <w:shd w:val="clear" w:color="auto" w:fill="auto"/>
            <w:noWrap/>
            <w:vAlign w:val="bottom"/>
            <w:hideMark/>
          </w:tcPr>
          <w:p w:rsidR="004650EE" w:rsidRDefault="004650EE">
            <w:pPr>
              <w:jc w:val="center"/>
              <w:rPr>
                <w:rFonts w:ascii="Calibri" w:hAnsi="Calibri" w:cs="Calibri"/>
                <w:color w:val="000000"/>
              </w:rPr>
            </w:pPr>
            <w:r>
              <w:rPr>
                <w:rFonts w:ascii="Calibri" w:hAnsi="Calibri" w:cs="Calibri"/>
                <w:color w:val="000000"/>
              </w:rPr>
              <w:t>(1.0100)</w:t>
            </w:r>
          </w:p>
        </w:tc>
      </w:tr>
      <w:tr w:rsidR="004650EE" w:rsidTr="004650EE">
        <w:trPr>
          <w:trHeight w:val="310"/>
        </w:trPr>
        <w:tc>
          <w:tcPr>
            <w:tcW w:w="3780" w:type="dxa"/>
            <w:tcBorders>
              <w:top w:val="nil"/>
              <w:left w:val="nil"/>
              <w:bottom w:val="nil"/>
              <w:right w:val="nil"/>
            </w:tcBorders>
            <w:shd w:val="clear" w:color="auto" w:fill="auto"/>
            <w:vAlign w:val="bottom"/>
            <w:hideMark/>
          </w:tcPr>
          <w:p w:rsidR="004650EE" w:rsidRDefault="004650EE">
            <w:pPr>
              <w:jc w:val="center"/>
              <w:rPr>
                <w:rFonts w:ascii="Calibri" w:hAnsi="Calibri" w:cs="Calibri"/>
                <w:b/>
                <w:bCs/>
                <w:color w:val="000000"/>
                <w:u w:val="single"/>
              </w:rPr>
            </w:pPr>
            <w:r>
              <w:rPr>
                <w:rFonts w:ascii="Calibri" w:hAnsi="Calibri" w:cs="Calibri"/>
                <w:b/>
                <w:bCs/>
                <w:color w:val="000000"/>
                <w:u w:val="single"/>
              </w:rPr>
              <w:t>White</w:t>
            </w:r>
          </w:p>
        </w:tc>
        <w:tc>
          <w:tcPr>
            <w:tcW w:w="1350" w:type="dxa"/>
            <w:tcBorders>
              <w:top w:val="nil"/>
              <w:left w:val="nil"/>
              <w:bottom w:val="nil"/>
              <w:right w:val="nil"/>
            </w:tcBorders>
            <w:shd w:val="clear" w:color="auto" w:fill="auto"/>
            <w:noWrap/>
            <w:vAlign w:val="bottom"/>
            <w:hideMark/>
          </w:tcPr>
          <w:p w:rsidR="004650EE" w:rsidRDefault="004650EE">
            <w:pPr>
              <w:jc w:val="center"/>
              <w:rPr>
                <w:rFonts w:ascii="Calibri" w:hAnsi="Calibri" w:cs="Calibri"/>
                <w:b/>
                <w:bCs/>
                <w:color w:val="000000"/>
                <w:u w:val="single"/>
              </w:rPr>
            </w:pPr>
          </w:p>
        </w:tc>
        <w:tc>
          <w:tcPr>
            <w:tcW w:w="1513" w:type="dxa"/>
            <w:tcBorders>
              <w:top w:val="nil"/>
              <w:left w:val="nil"/>
              <w:bottom w:val="nil"/>
              <w:right w:val="nil"/>
            </w:tcBorders>
            <w:shd w:val="clear" w:color="auto" w:fill="auto"/>
            <w:noWrap/>
            <w:vAlign w:val="bottom"/>
            <w:hideMark/>
          </w:tcPr>
          <w:p w:rsidR="004650EE" w:rsidRDefault="004650EE">
            <w:pPr>
              <w:jc w:val="center"/>
              <w:rPr>
                <w:sz w:val="20"/>
                <w:szCs w:val="20"/>
              </w:rPr>
            </w:pPr>
          </w:p>
        </w:tc>
        <w:tc>
          <w:tcPr>
            <w:tcW w:w="1187" w:type="dxa"/>
            <w:tcBorders>
              <w:top w:val="nil"/>
              <w:left w:val="nil"/>
              <w:bottom w:val="nil"/>
              <w:right w:val="nil"/>
            </w:tcBorders>
            <w:shd w:val="clear" w:color="auto" w:fill="auto"/>
            <w:noWrap/>
            <w:vAlign w:val="bottom"/>
            <w:hideMark/>
          </w:tcPr>
          <w:p w:rsidR="004650EE" w:rsidRDefault="004650EE">
            <w:pPr>
              <w:jc w:val="center"/>
              <w:rPr>
                <w:sz w:val="20"/>
                <w:szCs w:val="20"/>
              </w:rPr>
            </w:pPr>
          </w:p>
        </w:tc>
        <w:tc>
          <w:tcPr>
            <w:tcW w:w="1530" w:type="dxa"/>
            <w:tcBorders>
              <w:top w:val="nil"/>
              <w:left w:val="nil"/>
              <w:bottom w:val="nil"/>
              <w:right w:val="nil"/>
            </w:tcBorders>
            <w:shd w:val="clear" w:color="auto" w:fill="auto"/>
            <w:noWrap/>
            <w:vAlign w:val="bottom"/>
            <w:hideMark/>
          </w:tcPr>
          <w:p w:rsidR="004650EE" w:rsidRDefault="004650EE">
            <w:pPr>
              <w:jc w:val="center"/>
              <w:rPr>
                <w:sz w:val="20"/>
                <w:szCs w:val="20"/>
              </w:rPr>
            </w:pPr>
          </w:p>
        </w:tc>
      </w:tr>
      <w:tr w:rsidR="004650EE" w:rsidTr="004650EE">
        <w:trPr>
          <w:trHeight w:val="310"/>
        </w:trPr>
        <w:tc>
          <w:tcPr>
            <w:tcW w:w="3780" w:type="dxa"/>
            <w:tcBorders>
              <w:top w:val="nil"/>
              <w:left w:val="nil"/>
              <w:bottom w:val="nil"/>
              <w:right w:val="nil"/>
            </w:tcBorders>
            <w:shd w:val="clear" w:color="auto" w:fill="auto"/>
            <w:vAlign w:val="bottom"/>
            <w:hideMark/>
          </w:tcPr>
          <w:p w:rsidR="004650EE" w:rsidRDefault="004650EE">
            <w:pPr>
              <w:rPr>
                <w:rFonts w:ascii="Calibri" w:hAnsi="Calibri" w:cs="Calibri"/>
                <w:color w:val="000000"/>
              </w:rPr>
            </w:pPr>
            <w:r>
              <w:rPr>
                <w:rFonts w:ascii="Calibri" w:hAnsi="Calibri" w:cs="Calibri"/>
                <w:color w:val="000000"/>
              </w:rPr>
              <w:t>Uninsured x Post</w:t>
            </w:r>
          </w:p>
        </w:tc>
        <w:tc>
          <w:tcPr>
            <w:tcW w:w="1350" w:type="dxa"/>
            <w:tcBorders>
              <w:top w:val="nil"/>
              <w:left w:val="nil"/>
              <w:bottom w:val="nil"/>
              <w:right w:val="nil"/>
            </w:tcBorders>
            <w:shd w:val="clear" w:color="auto" w:fill="auto"/>
            <w:noWrap/>
            <w:vAlign w:val="bottom"/>
            <w:hideMark/>
          </w:tcPr>
          <w:p w:rsidR="004650EE" w:rsidRDefault="004650EE">
            <w:pPr>
              <w:jc w:val="center"/>
              <w:rPr>
                <w:rFonts w:ascii="Calibri" w:hAnsi="Calibri" w:cs="Calibri"/>
                <w:color w:val="000000"/>
              </w:rPr>
            </w:pPr>
            <w:r>
              <w:rPr>
                <w:rFonts w:ascii="Calibri" w:hAnsi="Calibri" w:cs="Calibri"/>
                <w:color w:val="000000"/>
              </w:rPr>
              <w:t>-0.0535</w:t>
            </w:r>
          </w:p>
        </w:tc>
        <w:tc>
          <w:tcPr>
            <w:tcW w:w="1513" w:type="dxa"/>
            <w:tcBorders>
              <w:top w:val="nil"/>
              <w:left w:val="nil"/>
              <w:bottom w:val="nil"/>
              <w:right w:val="nil"/>
            </w:tcBorders>
            <w:shd w:val="clear" w:color="auto" w:fill="auto"/>
            <w:noWrap/>
            <w:vAlign w:val="bottom"/>
            <w:hideMark/>
          </w:tcPr>
          <w:p w:rsidR="004650EE" w:rsidRDefault="004650EE">
            <w:pPr>
              <w:jc w:val="center"/>
              <w:rPr>
                <w:rFonts w:ascii="Calibri" w:hAnsi="Calibri" w:cs="Calibri"/>
                <w:color w:val="000000"/>
              </w:rPr>
            </w:pPr>
            <w:r>
              <w:rPr>
                <w:rFonts w:ascii="Calibri" w:hAnsi="Calibri" w:cs="Calibri"/>
                <w:color w:val="000000"/>
              </w:rPr>
              <w:t>-0.0136</w:t>
            </w:r>
          </w:p>
        </w:tc>
        <w:tc>
          <w:tcPr>
            <w:tcW w:w="1187" w:type="dxa"/>
            <w:tcBorders>
              <w:top w:val="nil"/>
              <w:left w:val="nil"/>
              <w:bottom w:val="nil"/>
              <w:right w:val="nil"/>
            </w:tcBorders>
            <w:shd w:val="clear" w:color="auto" w:fill="auto"/>
            <w:noWrap/>
            <w:vAlign w:val="bottom"/>
            <w:hideMark/>
          </w:tcPr>
          <w:p w:rsidR="004650EE" w:rsidRDefault="004650EE">
            <w:pPr>
              <w:jc w:val="center"/>
              <w:rPr>
                <w:rFonts w:ascii="Calibri" w:hAnsi="Calibri" w:cs="Calibri"/>
                <w:color w:val="000000"/>
              </w:rPr>
            </w:pPr>
            <w:r>
              <w:rPr>
                <w:rFonts w:ascii="Calibri" w:hAnsi="Calibri" w:cs="Calibri"/>
                <w:color w:val="000000"/>
              </w:rPr>
              <w:t>0.0338**</w:t>
            </w:r>
          </w:p>
        </w:tc>
        <w:tc>
          <w:tcPr>
            <w:tcW w:w="1530" w:type="dxa"/>
            <w:tcBorders>
              <w:top w:val="nil"/>
              <w:left w:val="nil"/>
              <w:bottom w:val="nil"/>
              <w:right w:val="nil"/>
            </w:tcBorders>
            <w:shd w:val="clear" w:color="auto" w:fill="auto"/>
            <w:noWrap/>
            <w:vAlign w:val="bottom"/>
            <w:hideMark/>
          </w:tcPr>
          <w:p w:rsidR="004650EE" w:rsidRDefault="004650EE">
            <w:pPr>
              <w:jc w:val="center"/>
              <w:rPr>
                <w:rFonts w:ascii="Calibri" w:hAnsi="Calibri" w:cs="Calibri"/>
                <w:color w:val="000000"/>
              </w:rPr>
            </w:pPr>
            <w:r>
              <w:rPr>
                <w:rFonts w:ascii="Calibri" w:hAnsi="Calibri" w:cs="Calibri"/>
                <w:color w:val="000000"/>
              </w:rPr>
              <w:t>0.0146</w:t>
            </w:r>
          </w:p>
        </w:tc>
      </w:tr>
      <w:tr w:rsidR="004650EE" w:rsidTr="004650EE">
        <w:trPr>
          <w:trHeight w:val="310"/>
        </w:trPr>
        <w:tc>
          <w:tcPr>
            <w:tcW w:w="3780" w:type="dxa"/>
            <w:tcBorders>
              <w:top w:val="nil"/>
              <w:left w:val="nil"/>
              <w:bottom w:val="nil"/>
              <w:right w:val="nil"/>
            </w:tcBorders>
            <w:shd w:val="clear" w:color="auto" w:fill="auto"/>
            <w:vAlign w:val="bottom"/>
            <w:hideMark/>
          </w:tcPr>
          <w:p w:rsidR="004650EE" w:rsidRDefault="004650EE">
            <w:pPr>
              <w:jc w:val="center"/>
              <w:rPr>
                <w:rFonts w:ascii="Calibri" w:hAnsi="Calibri" w:cs="Calibri"/>
                <w:color w:val="000000"/>
              </w:rPr>
            </w:pPr>
          </w:p>
        </w:tc>
        <w:tc>
          <w:tcPr>
            <w:tcW w:w="1350" w:type="dxa"/>
            <w:tcBorders>
              <w:top w:val="nil"/>
              <w:left w:val="nil"/>
              <w:bottom w:val="nil"/>
              <w:right w:val="nil"/>
            </w:tcBorders>
            <w:shd w:val="clear" w:color="auto" w:fill="auto"/>
            <w:noWrap/>
            <w:vAlign w:val="bottom"/>
            <w:hideMark/>
          </w:tcPr>
          <w:p w:rsidR="004650EE" w:rsidRDefault="004650EE">
            <w:pPr>
              <w:jc w:val="center"/>
              <w:rPr>
                <w:rFonts w:ascii="Calibri" w:hAnsi="Calibri" w:cs="Calibri"/>
                <w:color w:val="000000"/>
              </w:rPr>
            </w:pPr>
            <w:r>
              <w:rPr>
                <w:rFonts w:ascii="Calibri" w:hAnsi="Calibri" w:cs="Calibri"/>
                <w:color w:val="000000"/>
              </w:rPr>
              <w:t>(0.0457)</w:t>
            </w:r>
          </w:p>
        </w:tc>
        <w:tc>
          <w:tcPr>
            <w:tcW w:w="1513" w:type="dxa"/>
            <w:tcBorders>
              <w:top w:val="nil"/>
              <w:left w:val="nil"/>
              <w:bottom w:val="nil"/>
              <w:right w:val="nil"/>
            </w:tcBorders>
            <w:shd w:val="clear" w:color="auto" w:fill="auto"/>
            <w:noWrap/>
            <w:vAlign w:val="bottom"/>
            <w:hideMark/>
          </w:tcPr>
          <w:p w:rsidR="004650EE" w:rsidRDefault="004650EE">
            <w:pPr>
              <w:jc w:val="center"/>
              <w:rPr>
                <w:rFonts w:ascii="Calibri" w:hAnsi="Calibri" w:cs="Calibri"/>
                <w:color w:val="000000"/>
              </w:rPr>
            </w:pPr>
            <w:r>
              <w:rPr>
                <w:rFonts w:ascii="Calibri" w:hAnsi="Calibri" w:cs="Calibri"/>
                <w:color w:val="000000"/>
              </w:rPr>
              <w:t>(0.0203)</w:t>
            </w:r>
          </w:p>
        </w:tc>
        <w:tc>
          <w:tcPr>
            <w:tcW w:w="1187" w:type="dxa"/>
            <w:tcBorders>
              <w:top w:val="nil"/>
              <w:left w:val="nil"/>
              <w:bottom w:val="nil"/>
              <w:right w:val="nil"/>
            </w:tcBorders>
            <w:shd w:val="clear" w:color="auto" w:fill="auto"/>
            <w:noWrap/>
            <w:vAlign w:val="bottom"/>
            <w:hideMark/>
          </w:tcPr>
          <w:p w:rsidR="004650EE" w:rsidRDefault="004650EE">
            <w:pPr>
              <w:jc w:val="center"/>
              <w:rPr>
                <w:rFonts w:ascii="Calibri" w:hAnsi="Calibri" w:cs="Calibri"/>
                <w:color w:val="000000"/>
              </w:rPr>
            </w:pPr>
            <w:r>
              <w:rPr>
                <w:rFonts w:ascii="Calibri" w:hAnsi="Calibri" w:cs="Calibri"/>
                <w:color w:val="000000"/>
              </w:rPr>
              <w:t>(0.0143)</w:t>
            </w:r>
          </w:p>
        </w:tc>
        <w:tc>
          <w:tcPr>
            <w:tcW w:w="1530" w:type="dxa"/>
            <w:tcBorders>
              <w:top w:val="nil"/>
              <w:left w:val="nil"/>
              <w:bottom w:val="nil"/>
              <w:right w:val="nil"/>
            </w:tcBorders>
            <w:shd w:val="clear" w:color="auto" w:fill="auto"/>
            <w:noWrap/>
            <w:vAlign w:val="bottom"/>
            <w:hideMark/>
          </w:tcPr>
          <w:p w:rsidR="004650EE" w:rsidRDefault="004650EE">
            <w:pPr>
              <w:jc w:val="center"/>
              <w:rPr>
                <w:rFonts w:ascii="Calibri" w:hAnsi="Calibri" w:cs="Calibri"/>
                <w:color w:val="000000"/>
              </w:rPr>
            </w:pPr>
            <w:r>
              <w:rPr>
                <w:rFonts w:ascii="Calibri" w:hAnsi="Calibri" w:cs="Calibri"/>
                <w:color w:val="000000"/>
              </w:rPr>
              <w:t>(0.5615)</w:t>
            </w:r>
          </w:p>
        </w:tc>
      </w:tr>
      <w:tr w:rsidR="004650EE" w:rsidTr="004650EE">
        <w:trPr>
          <w:trHeight w:val="310"/>
        </w:trPr>
        <w:tc>
          <w:tcPr>
            <w:tcW w:w="3780" w:type="dxa"/>
            <w:tcBorders>
              <w:top w:val="nil"/>
              <w:left w:val="nil"/>
              <w:bottom w:val="nil"/>
              <w:right w:val="nil"/>
            </w:tcBorders>
            <w:shd w:val="clear" w:color="auto" w:fill="auto"/>
            <w:vAlign w:val="bottom"/>
            <w:hideMark/>
          </w:tcPr>
          <w:p w:rsidR="004650EE" w:rsidRDefault="004650EE">
            <w:pPr>
              <w:jc w:val="center"/>
              <w:rPr>
                <w:rFonts w:ascii="Calibri" w:hAnsi="Calibri" w:cs="Calibri"/>
                <w:color w:val="000000"/>
              </w:rPr>
            </w:pPr>
          </w:p>
        </w:tc>
        <w:tc>
          <w:tcPr>
            <w:tcW w:w="1350" w:type="dxa"/>
            <w:tcBorders>
              <w:top w:val="nil"/>
              <w:left w:val="nil"/>
              <w:bottom w:val="nil"/>
              <w:right w:val="nil"/>
            </w:tcBorders>
            <w:shd w:val="clear" w:color="auto" w:fill="auto"/>
            <w:noWrap/>
            <w:vAlign w:val="bottom"/>
            <w:hideMark/>
          </w:tcPr>
          <w:p w:rsidR="004650EE" w:rsidRDefault="004650EE">
            <w:pPr>
              <w:rPr>
                <w:sz w:val="20"/>
                <w:szCs w:val="20"/>
              </w:rPr>
            </w:pPr>
          </w:p>
        </w:tc>
        <w:tc>
          <w:tcPr>
            <w:tcW w:w="1513" w:type="dxa"/>
            <w:tcBorders>
              <w:top w:val="nil"/>
              <w:left w:val="nil"/>
              <w:bottom w:val="nil"/>
              <w:right w:val="nil"/>
            </w:tcBorders>
            <w:shd w:val="clear" w:color="auto" w:fill="auto"/>
            <w:noWrap/>
            <w:vAlign w:val="bottom"/>
            <w:hideMark/>
          </w:tcPr>
          <w:p w:rsidR="004650EE" w:rsidRDefault="004650EE">
            <w:pPr>
              <w:jc w:val="center"/>
              <w:rPr>
                <w:sz w:val="20"/>
                <w:szCs w:val="20"/>
              </w:rPr>
            </w:pPr>
          </w:p>
        </w:tc>
        <w:tc>
          <w:tcPr>
            <w:tcW w:w="1187" w:type="dxa"/>
            <w:tcBorders>
              <w:top w:val="nil"/>
              <w:left w:val="nil"/>
              <w:bottom w:val="nil"/>
              <w:right w:val="nil"/>
            </w:tcBorders>
            <w:shd w:val="clear" w:color="auto" w:fill="auto"/>
            <w:noWrap/>
            <w:vAlign w:val="bottom"/>
            <w:hideMark/>
          </w:tcPr>
          <w:p w:rsidR="004650EE" w:rsidRDefault="004650EE">
            <w:pPr>
              <w:jc w:val="center"/>
              <w:rPr>
                <w:sz w:val="20"/>
                <w:szCs w:val="20"/>
              </w:rPr>
            </w:pPr>
          </w:p>
        </w:tc>
        <w:tc>
          <w:tcPr>
            <w:tcW w:w="1530" w:type="dxa"/>
            <w:tcBorders>
              <w:top w:val="nil"/>
              <w:left w:val="nil"/>
              <w:bottom w:val="nil"/>
              <w:right w:val="nil"/>
            </w:tcBorders>
            <w:shd w:val="clear" w:color="auto" w:fill="auto"/>
            <w:noWrap/>
            <w:vAlign w:val="bottom"/>
            <w:hideMark/>
          </w:tcPr>
          <w:p w:rsidR="004650EE" w:rsidRDefault="004650EE">
            <w:pPr>
              <w:jc w:val="center"/>
              <w:rPr>
                <w:sz w:val="20"/>
                <w:szCs w:val="20"/>
              </w:rPr>
            </w:pPr>
          </w:p>
        </w:tc>
      </w:tr>
      <w:tr w:rsidR="004650EE" w:rsidTr="004650EE">
        <w:trPr>
          <w:trHeight w:val="310"/>
        </w:trPr>
        <w:tc>
          <w:tcPr>
            <w:tcW w:w="3780" w:type="dxa"/>
            <w:tcBorders>
              <w:top w:val="nil"/>
              <w:left w:val="nil"/>
              <w:bottom w:val="nil"/>
              <w:right w:val="nil"/>
            </w:tcBorders>
            <w:shd w:val="clear" w:color="auto" w:fill="auto"/>
            <w:vAlign w:val="bottom"/>
            <w:hideMark/>
          </w:tcPr>
          <w:p w:rsidR="004650EE" w:rsidRDefault="004650EE">
            <w:pPr>
              <w:rPr>
                <w:rFonts w:ascii="Calibri" w:hAnsi="Calibri" w:cs="Calibri"/>
                <w:color w:val="000000"/>
              </w:rPr>
            </w:pPr>
            <w:r>
              <w:rPr>
                <w:rFonts w:ascii="Calibri" w:hAnsi="Calibri" w:cs="Calibri"/>
                <w:color w:val="000000"/>
              </w:rPr>
              <w:t>Medicaid x Uninsured x Post</w:t>
            </w:r>
          </w:p>
        </w:tc>
        <w:tc>
          <w:tcPr>
            <w:tcW w:w="1350" w:type="dxa"/>
            <w:tcBorders>
              <w:top w:val="nil"/>
              <w:left w:val="nil"/>
              <w:bottom w:val="nil"/>
              <w:right w:val="nil"/>
            </w:tcBorders>
            <w:shd w:val="clear" w:color="auto" w:fill="auto"/>
            <w:noWrap/>
            <w:vAlign w:val="bottom"/>
            <w:hideMark/>
          </w:tcPr>
          <w:p w:rsidR="004650EE" w:rsidRDefault="004650EE">
            <w:pPr>
              <w:jc w:val="center"/>
              <w:rPr>
                <w:rFonts w:ascii="Calibri" w:hAnsi="Calibri" w:cs="Calibri"/>
                <w:color w:val="000000"/>
              </w:rPr>
            </w:pPr>
            <w:r>
              <w:rPr>
                <w:rFonts w:ascii="Calibri" w:hAnsi="Calibri" w:cs="Calibri"/>
                <w:color w:val="000000"/>
              </w:rPr>
              <w:t>0.0862</w:t>
            </w:r>
          </w:p>
        </w:tc>
        <w:tc>
          <w:tcPr>
            <w:tcW w:w="1513" w:type="dxa"/>
            <w:tcBorders>
              <w:top w:val="nil"/>
              <w:left w:val="nil"/>
              <w:bottom w:val="nil"/>
              <w:right w:val="nil"/>
            </w:tcBorders>
            <w:shd w:val="clear" w:color="auto" w:fill="auto"/>
            <w:noWrap/>
            <w:vAlign w:val="bottom"/>
            <w:hideMark/>
          </w:tcPr>
          <w:p w:rsidR="004650EE" w:rsidRDefault="004650EE">
            <w:pPr>
              <w:jc w:val="center"/>
              <w:rPr>
                <w:rFonts w:ascii="Calibri" w:hAnsi="Calibri" w:cs="Calibri"/>
                <w:color w:val="000000"/>
              </w:rPr>
            </w:pPr>
            <w:r>
              <w:rPr>
                <w:rFonts w:ascii="Calibri" w:hAnsi="Calibri" w:cs="Calibri"/>
                <w:color w:val="000000"/>
              </w:rPr>
              <w:t>-0.0105</w:t>
            </w:r>
          </w:p>
        </w:tc>
        <w:tc>
          <w:tcPr>
            <w:tcW w:w="1187" w:type="dxa"/>
            <w:tcBorders>
              <w:top w:val="nil"/>
              <w:left w:val="nil"/>
              <w:bottom w:val="nil"/>
              <w:right w:val="nil"/>
            </w:tcBorders>
            <w:shd w:val="clear" w:color="auto" w:fill="auto"/>
            <w:noWrap/>
            <w:vAlign w:val="bottom"/>
            <w:hideMark/>
          </w:tcPr>
          <w:p w:rsidR="004650EE" w:rsidRDefault="004650EE">
            <w:pPr>
              <w:jc w:val="center"/>
              <w:rPr>
                <w:rFonts w:ascii="Calibri" w:hAnsi="Calibri" w:cs="Calibri"/>
                <w:color w:val="000000"/>
              </w:rPr>
            </w:pPr>
            <w:r>
              <w:rPr>
                <w:rFonts w:ascii="Calibri" w:hAnsi="Calibri" w:cs="Calibri"/>
                <w:color w:val="000000"/>
              </w:rPr>
              <w:t>-0.0306</w:t>
            </w:r>
          </w:p>
        </w:tc>
        <w:tc>
          <w:tcPr>
            <w:tcW w:w="1530" w:type="dxa"/>
            <w:tcBorders>
              <w:top w:val="nil"/>
              <w:left w:val="nil"/>
              <w:bottom w:val="nil"/>
              <w:right w:val="nil"/>
            </w:tcBorders>
            <w:shd w:val="clear" w:color="auto" w:fill="auto"/>
            <w:noWrap/>
            <w:vAlign w:val="bottom"/>
            <w:hideMark/>
          </w:tcPr>
          <w:p w:rsidR="004650EE" w:rsidRDefault="004650EE">
            <w:pPr>
              <w:jc w:val="center"/>
              <w:rPr>
                <w:rFonts w:ascii="Calibri" w:hAnsi="Calibri" w:cs="Calibri"/>
                <w:color w:val="000000"/>
              </w:rPr>
            </w:pPr>
            <w:r>
              <w:rPr>
                <w:rFonts w:ascii="Calibri" w:hAnsi="Calibri" w:cs="Calibri"/>
                <w:color w:val="000000"/>
              </w:rPr>
              <w:t>0.341</w:t>
            </w:r>
          </w:p>
        </w:tc>
      </w:tr>
      <w:tr w:rsidR="004650EE" w:rsidTr="004650EE">
        <w:trPr>
          <w:trHeight w:val="310"/>
        </w:trPr>
        <w:tc>
          <w:tcPr>
            <w:tcW w:w="3780" w:type="dxa"/>
            <w:tcBorders>
              <w:top w:val="nil"/>
              <w:left w:val="nil"/>
              <w:bottom w:val="single" w:sz="4" w:space="0" w:color="auto"/>
              <w:right w:val="nil"/>
            </w:tcBorders>
            <w:shd w:val="clear" w:color="auto" w:fill="auto"/>
            <w:vAlign w:val="bottom"/>
            <w:hideMark/>
          </w:tcPr>
          <w:p w:rsidR="004650EE" w:rsidRDefault="004650EE">
            <w:pPr>
              <w:rPr>
                <w:rFonts w:ascii="Calibri" w:hAnsi="Calibri" w:cs="Calibri"/>
                <w:color w:val="000000"/>
              </w:rPr>
            </w:pPr>
            <w:r>
              <w:rPr>
                <w:rFonts w:ascii="Calibri" w:hAnsi="Calibri" w:cs="Calibri"/>
                <w:color w:val="000000"/>
              </w:rPr>
              <w:t> </w:t>
            </w:r>
          </w:p>
        </w:tc>
        <w:tc>
          <w:tcPr>
            <w:tcW w:w="1350" w:type="dxa"/>
            <w:tcBorders>
              <w:top w:val="nil"/>
              <w:left w:val="nil"/>
              <w:bottom w:val="single" w:sz="4" w:space="0" w:color="auto"/>
              <w:right w:val="nil"/>
            </w:tcBorders>
            <w:shd w:val="clear" w:color="auto" w:fill="auto"/>
            <w:noWrap/>
            <w:vAlign w:val="bottom"/>
            <w:hideMark/>
          </w:tcPr>
          <w:p w:rsidR="004650EE" w:rsidRDefault="004650EE">
            <w:pPr>
              <w:jc w:val="center"/>
              <w:rPr>
                <w:rFonts w:ascii="Calibri" w:hAnsi="Calibri" w:cs="Calibri"/>
                <w:color w:val="000000"/>
              </w:rPr>
            </w:pPr>
            <w:r>
              <w:rPr>
                <w:rFonts w:ascii="Calibri" w:hAnsi="Calibri" w:cs="Calibri"/>
                <w:color w:val="000000"/>
              </w:rPr>
              <w:t>(0.0626)</w:t>
            </w:r>
          </w:p>
        </w:tc>
        <w:tc>
          <w:tcPr>
            <w:tcW w:w="1513" w:type="dxa"/>
            <w:tcBorders>
              <w:top w:val="nil"/>
              <w:left w:val="nil"/>
              <w:bottom w:val="single" w:sz="4" w:space="0" w:color="auto"/>
              <w:right w:val="nil"/>
            </w:tcBorders>
            <w:shd w:val="clear" w:color="auto" w:fill="auto"/>
            <w:noWrap/>
            <w:vAlign w:val="bottom"/>
            <w:hideMark/>
          </w:tcPr>
          <w:p w:rsidR="004650EE" w:rsidRDefault="004650EE">
            <w:pPr>
              <w:jc w:val="center"/>
              <w:rPr>
                <w:rFonts w:ascii="Calibri" w:hAnsi="Calibri" w:cs="Calibri"/>
                <w:color w:val="000000"/>
              </w:rPr>
            </w:pPr>
            <w:r>
              <w:rPr>
                <w:rFonts w:ascii="Calibri" w:hAnsi="Calibri" w:cs="Calibri"/>
                <w:color w:val="000000"/>
              </w:rPr>
              <w:t>(0.0282)</w:t>
            </w:r>
          </w:p>
        </w:tc>
        <w:tc>
          <w:tcPr>
            <w:tcW w:w="1187" w:type="dxa"/>
            <w:tcBorders>
              <w:top w:val="nil"/>
              <w:left w:val="nil"/>
              <w:bottom w:val="single" w:sz="4" w:space="0" w:color="auto"/>
              <w:right w:val="nil"/>
            </w:tcBorders>
            <w:shd w:val="clear" w:color="auto" w:fill="auto"/>
            <w:noWrap/>
            <w:vAlign w:val="bottom"/>
            <w:hideMark/>
          </w:tcPr>
          <w:p w:rsidR="004650EE" w:rsidRDefault="004650EE">
            <w:pPr>
              <w:jc w:val="center"/>
              <w:rPr>
                <w:rFonts w:ascii="Calibri" w:hAnsi="Calibri" w:cs="Calibri"/>
                <w:color w:val="000000"/>
              </w:rPr>
            </w:pPr>
            <w:r>
              <w:rPr>
                <w:rFonts w:ascii="Calibri" w:hAnsi="Calibri" w:cs="Calibri"/>
                <w:color w:val="000000"/>
              </w:rPr>
              <w:t>(0.0261)</w:t>
            </w:r>
          </w:p>
        </w:tc>
        <w:tc>
          <w:tcPr>
            <w:tcW w:w="1530" w:type="dxa"/>
            <w:tcBorders>
              <w:top w:val="nil"/>
              <w:left w:val="nil"/>
              <w:bottom w:val="single" w:sz="4" w:space="0" w:color="auto"/>
              <w:right w:val="nil"/>
            </w:tcBorders>
            <w:shd w:val="clear" w:color="auto" w:fill="auto"/>
            <w:noWrap/>
            <w:vAlign w:val="bottom"/>
            <w:hideMark/>
          </w:tcPr>
          <w:p w:rsidR="004650EE" w:rsidRDefault="004650EE">
            <w:pPr>
              <w:jc w:val="center"/>
              <w:rPr>
                <w:rFonts w:ascii="Calibri" w:hAnsi="Calibri" w:cs="Calibri"/>
                <w:color w:val="000000"/>
              </w:rPr>
            </w:pPr>
            <w:r>
              <w:rPr>
                <w:rFonts w:ascii="Calibri" w:hAnsi="Calibri" w:cs="Calibri"/>
                <w:color w:val="000000"/>
              </w:rPr>
              <w:t>(0.7497)</w:t>
            </w:r>
          </w:p>
        </w:tc>
      </w:tr>
    </w:tbl>
    <w:p w:rsidR="004650EE" w:rsidRPr="004650EE" w:rsidRDefault="004650EE" w:rsidP="001068B9">
      <w:pPr>
        <w:spacing w:line="276" w:lineRule="auto"/>
        <w:rPr>
          <w:sz w:val="16"/>
          <w:szCs w:val="16"/>
        </w:rPr>
      </w:pPr>
    </w:p>
    <w:p w:rsidR="001068B9" w:rsidRDefault="001068B9" w:rsidP="001068B9">
      <w:pPr>
        <w:spacing w:line="276" w:lineRule="auto"/>
        <w:rPr>
          <w:sz w:val="16"/>
          <w:szCs w:val="16"/>
        </w:rPr>
      </w:pPr>
      <w:r w:rsidRPr="005A43BD">
        <w:rPr>
          <w:i/>
          <w:sz w:val="16"/>
          <w:szCs w:val="16"/>
        </w:rPr>
        <w:t xml:space="preserve">Notes: </w:t>
      </w:r>
      <w:r>
        <w:rPr>
          <w:sz w:val="16"/>
          <w:szCs w:val="16"/>
        </w:rPr>
        <w:t>Standard errors, heteroskedasticity-robust and clustered at the state level, are in parentheses. *** Denotes statistical significance at 1 percent level, ** Denotes statistical significance at 5 percent level,</w:t>
      </w:r>
      <w:r w:rsidRPr="005A43BD">
        <w:rPr>
          <w:sz w:val="16"/>
          <w:szCs w:val="16"/>
        </w:rPr>
        <w:t xml:space="preserve"> </w:t>
      </w:r>
      <w:r>
        <w:rPr>
          <w:sz w:val="16"/>
          <w:szCs w:val="16"/>
        </w:rPr>
        <w:t>* Denotes statistical significance at 10 percent level</w:t>
      </w:r>
    </w:p>
    <w:p w:rsidR="006969B9" w:rsidRDefault="006969B9">
      <w:pPr>
        <w:spacing w:after="160" w:line="259" w:lineRule="auto"/>
        <w:rPr>
          <w:color w:val="FF0000"/>
        </w:rPr>
      </w:pPr>
    </w:p>
    <w:p w:rsidR="00C053B4" w:rsidRPr="00C053B4" w:rsidRDefault="00C053B4" w:rsidP="00C053B4">
      <w:pPr>
        <w:spacing w:line="480" w:lineRule="auto"/>
        <w:rPr>
          <w:b/>
          <w:u w:val="single"/>
        </w:rPr>
      </w:pPr>
    </w:p>
    <w:p w:rsidR="00052C7C" w:rsidRPr="00D14B2C" w:rsidRDefault="002B658D" w:rsidP="007A67E2">
      <w:pPr>
        <w:pStyle w:val="ListParagraph"/>
        <w:numPr>
          <w:ilvl w:val="0"/>
          <w:numId w:val="4"/>
        </w:numPr>
        <w:spacing w:line="480" w:lineRule="auto"/>
        <w:rPr>
          <w:b/>
          <w:u w:val="single"/>
        </w:rPr>
      </w:pPr>
      <w:r w:rsidRPr="007E0CC0">
        <w:rPr>
          <w:b/>
          <w:u w:val="single"/>
        </w:rPr>
        <w:t>Robustness Checks</w:t>
      </w:r>
    </w:p>
    <w:p w:rsidR="005B7BE2" w:rsidRDefault="00052C7C" w:rsidP="007A67E2">
      <w:pPr>
        <w:spacing w:line="480" w:lineRule="auto"/>
        <w:ind w:firstLine="720"/>
      </w:pPr>
      <w:r>
        <w:t xml:space="preserve">In order to test the </w:t>
      </w:r>
      <w:r w:rsidR="001C72D8">
        <w:t>strength</w:t>
      </w:r>
      <w:r>
        <w:t xml:space="preserve"> of my results, I perform two robustness checks. </w:t>
      </w:r>
      <w:r w:rsidR="000515FF" w:rsidRPr="00646C18">
        <w:t xml:space="preserve">Tables </w:t>
      </w:r>
      <w:r w:rsidR="0057611C">
        <w:t>5</w:t>
      </w:r>
      <w:r w:rsidR="000515FF" w:rsidRPr="00646C18">
        <w:t xml:space="preserve"> and </w:t>
      </w:r>
      <w:r w:rsidR="0057611C">
        <w:t>6</w:t>
      </w:r>
      <w:r w:rsidR="000515FF" w:rsidRPr="00646C18">
        <w:t xml:space="preserve"> </w:t>
      </w:r>
      <w:r w:rsidR="000515FF">
        <w:t>present th</w:t>
      </w:r>
      <w:r w:rsidR="005A3853">
        <w:t>e results of re-estimating the DiDiD</w:t>
      </w:r>
      <w:r w:rsidR="000515FF">
        <w:t xml:space="preserve"> </w:t>
      </w:r>
      <w:r w:rsidR="005A3853">
        <w:t xml:space="preserve">model and its event study </w:t>
      </w:r>
      <w:r w:rsidR="000515FF">
        <w:t xml:space="preserve">on the </w:t>
      </w:r>
      <w:r w:rsidR="004546BE">
        <w:t>main</w:t>
      </w:r>
      <w:r w:rsidR="000515FF">
        <w:t xml:space="preserve"> sample with </w:t>
      </w:r>
      <w:r w:rsidR="00FA7B08">
        <w:t>two additional pre-years (</w:t>
      </w:r>
      <w:r w:rsidR="000515FF">
        <w:t>2009 &amp; 2010</w:t>
      </w:r>
      <w:r w:rsidR="00FA7B08">
        <w:t>)</w:t>
      </w:r>
      <w:r w:rsidR="000515FF">
        <w:t xml:space="preserve"> </w:t>
      </w:r>
      <w:r w:rsidR="00FA7B08">
        <w:t xml:space="preserve">of </w:t>
      </w:r>
      <w:r w:rsidR="000515FF">
        <w:t xml:space="preserve">data added in. </w:t>
      </w:r>
      <w:r w:rsidR="006E6015">
        <w:t>I examine how well the DiDiD estimates match up with my main results, and utilize the event study primarily as a further test of parallel trends, as there are now four pre-treatment years to examine.</w:t>
      </w:r>
      <w:r w:rsidR="002548AF">
        <w:t xml:space="preserve"> </w:t>
      </w:r>
    </w:p>
    <w:p w:rsidR="005B778F" w:rsidRDefault="002548AF" w:rsidP="007A67E2">
      <w:pPr>
        <w:spacing w:line="480" w:lineRule="auto"/>
        <w:ind w:firstLine="720"/>
      </w:pPr>
      <w:r>
        <w:t xml:space="preserve">The estimate of the non-Medicaid effect on employment has decreased in magnitude slightly, but taken together with the event study estimates, these estimates are quite consistent with my main results. </w:t>
      </w:r>
      <w:r w:rsidR="008A45D2">
        <w:t>One notable difference here is the negative and statistically significant estimate of t</w:t>
      </w:r>
      <w:r w:rsidR="00296B50">
        <w:t>he non-Medicaid effect on labor force participation</w:t>
      </w:r>
      <w:r w:rsidR="00791386">
        <w:t xml:space="preserve"> of (-0.299)</w:t>
      </w:r>
      <w:r w:rsidR="00296B50">
        <w:t xml:space="preserve">. </w:t>
      </w:r>
      <w:r w:rsidR="00791386">
        <w:t xml:space="preserve">This implies that the non-Medicaid ACA provisions are associate with a decrease of </w:t>
      </w:r>
      <w:r w:rsidR="00DA7496">
        <w:t xml:space="preserve">0.6% for the average PUMA, or up to a 1.5% decrease for the maximum uninsured PUMA. </w:t>
      </w:r>
      <w:r w:rsidR="005B7BE2">
        <w:t xml:space="preserve">The event study estimates for this </w:t>
      </w:r>
      <w:r w:rsidR="005B7BE2">
        <w:lastRenderedPageBreak/>
        <w:t xml:space="preserve">effect look pretty good. Only the estimate for 2009 is significant, and the estimates for 2011 &amp; 2012 are not only insignificant, but near-zero. </w:t>
      </w:r>
      <w:r w:rsidR="005B778F">
        <w:t>This modest decrease in labor force participation associated with the non-Medicaid ACA provisions is consistent with the effect found by Duggan et al. (2017)</w:t>
      </w:r>
    </w:p>
    <w:p w:rsidR="00077C59" w:rsidRDefault="00E50014" w:rsidP="007A67E2">
      <w:pPr>
        <w:spacing w:line="480" w:lineRule="auto"/>
        <w:ind w:firstLine="720"/>
      </w:pPr>
      <w:r>
        <w:t>The estimate for the Medicaid effect on wages is again, sizable and nearing statistical significance. Looking at the event study, the coefficient estimates are far more consistent in the post treatment years (~ 5-6%), although standard errors are quite large.</w:t>
      </w:r>
    </w:p>
    <w:p w:rsidR="009F4B4D" w:rsidRDefault="009F4B4D"/>
    <w:p w:rsidR="007A67E2" w:rsidRDefault="007A67E2"/>
    <w:tbl>
      <w:tblPr>
        <w:tblW w:w="0" w:type="auto"/>
        <w:tblLook w:val="04A0" w:firstRow="1" w:lastRow="0" w:firstColumn="1" w:lastColumn="0" w:noHBand="0" w:noVBand="1"/>
      </w:tblPr>
      <w:tblGrid>
        <w:gridCol w:w="2980"/>
        <w:gridCol w:w="1062"/>
        <w:gridCol w:w="2282"/>
        <w:gridCol w:w="1187"/>
        <w:gridCol w:w="1849"/>
      </w:tblGrid>
      <w:tr w:rsidR="00D05C78" w:rsidTr="00D05C78">
        <w:trPr>
          <w:trHeight w:val="310"/>
        </w:trPr>
        <w:tc>
          <w:tcPr>
            <w:tcW w:w="0" w:type="auto"/>
            <w:gridSpan w:val="5"/>
            <w:tcBorders>
              <w:top w:val="nil"/>
              <w:left w:val="nil"/>
              <w:bottom w:val="single" w:sz="4" w:space="0" w:color="auto"/>
              <w:right w:val="nil"/>
            </w:tcBorders>
            <w:shd w:val="clear" w:color="auto" w:fill="auto"/>
            <w:noWrap/>
            <w:vAlign w:val="bottom"/>
            <w:hideMark/>
          </w:tcPr>
          <w:p w:rsidR="00D05C78" w:rsidRDefault="00D05C78">
            <w:pPr>
              <w:jc w:val="center"/>
              <w:rPr>
                <w:rFonts w:ascii="Calibri" w:hAnsi="Calibri" w:cs="Calibri"/>
                <w:b/>
                <w:bCs/>
                <w:color w:val="000000"/>
                <w:u w:val="single"/>
              </w:rPr>
            </w:pPr>
            <w:r>
              <w:rPr>
                <w:rFonts w:ascii="Calibri" w:hAnsi="Calibri" w:cs="Calibri"/>
                <w:b/>
                <w:bCs/>
                <w:color w:val="000000"/>
                <w:u w:val="single"/>
              </w:rPr>
              <w:t xml:space="preserve">Table </w:t>
            </w:r>
            <w:r w:rsidR="00613475">
              <w:rPr>
                <w:rFonts w:ascii="Calibri" w:hAnsi="Calibri" w:cs="Calibri"/>
                <w:b/>
                <w:bCs/>
                <w:color w:val="000000"/>
                <w:u w:val="single"/>
              </w:rPr>
              <w:t>5</w:t>
            </w:r>
            <w:r>
              <w:rPr>
                <w:rFonts w:ascii="Calibri" w:hAnsi="Calibri" w:cs="Calibri"/>
                <w:b/>
                <w:bCs/>
                <w:color w:val="000000"/>
                <w:u w:val="single"/>
              </w:rPr>
              <w:t>: 2009-2016 Sample</w:t>
            </w:r>
            <w:r w:rsidR="00054874">
              <w:rPr>
                <w:rFonts w:ascii="Calibri" w:hAnsi="Calibri" w:cs="Calibri"/>
                <w:b/>
                <w:bCs/>
                <w:color w:val="000000"/>
                <w:u w:val="single"/>
              </w:rPr>
              <w:t xml:space="preserve"> - DiDiD </w:t>
            </w:r>
            <w:r>
              <w:rPr>
                <w:rFonts w:ascii="Calibri" w:hAnsi="Calibri" w:cs="Calibri"/>
                <w:b/>
                <w:bCs/>
                <w:color w:val="000000"/>
                <w:u w:val="single"/>
              </w:rPr>
              <w:t>Estimates</w:t>
            </w:r>
          </w:p>
        </w:tc>
      </w:tr>
      <w:tr w:rsidR="00D05C78" w:rsidTr="00D05C78">
        <w:trPr>
          <w:trHeight w:val="530"/>
        </w:trPr>
        <w:tc>
          <w:tcPr>
            <w:tcW w:w="0" w:type="auto"/>
            <w:tcBorders>
              <w:top w:val="nil"/>
              <w:left w:val="nil"/>
              <w:bottom w:val="nil"/>
              <w:right w:val="nil"/>
            </w:tcBorders>
            <w:shd w:val="clear" w:color="auto" w:fill="auto"/>
            <w:vAlign w:val="bottom"/>
            <w:hideMark/>
          </w:tcPr>
          <w:p w:rsidR="00D05C78" w:rsidRDefault="00D05C78">
            <w:pPr>
              <w:jc w:val="center"/>
              <w:rPr>
                <w:rFonts w:ascii="Calibri" w:hAnsi="Calibri" w:cs="Calibri"/>
                <w:b/>
                <w:bCs/>
                <w:color w:val="000000"/>
                <w:u w:val="single"/>
              </w:rPr>
            </w:pPr>
          </w:p>
        </w:tc>
        <w:tc>
          <w:tcPr>
            <w:tcW w:w="0" w:type="auto"/>
            <w:tcBorders>
              <w:top w:val="nil"/>
              <w:left w:val="nil"/>
              <w:bottom w:val="single" w:sz="4" w:space="0" w:color="auto"/>
              <w:right w:val="nil"/>
            </w:tcBorders>
            <w:shd w:val="clear" w:color="auto" w:fill="auto"/>
            <w:vAlign w:val="bottom"/>
            <w:hideMark/>
          </w:tcPr>
          <w:p w:rsidR="00D05C78" w:rsidRDefault="00D05C78">
            <w:pPr>
              <w:jc w:val="center"/>
              <w:rPr>
                <w:rFonts w:ascii="Calibri" w:hAnsi="Calibri" w:cs="Calibri"/>
                <w:color w:val="000000"/>
              </w:rPr>
            </w:pPr>
            <w:r>
              <w:rPr>
                <w:rFonts w:ascii="Calibri" w:hAnsi="Calibri" w:cs="Calibri"/>
                <w:color w:val="000000"/>
              </w:rPr>
              <w:t>ln(wage)</w:t>
            </w:r>
          </w:p>
        </w:tc>
        <w:tc>
          <w:tcPr>
            <w:tcW w:w="0" w:type="auto"/>
            <w:tcBorders>
              <w:top w:val="nil"/>
              <w:left w:val="nil"/>
              <w:bottom w:val="single" w:sz="4" w:space="0" w:color="auto"/>
              <w:right w:val="nil"/>
            </w:tcBorders>
            <w:shd w:val="clear" w:color="auto" w:fill="auto"/>
            <w:vAlign w:val="bottom"/>
            <w:hideMark/>
          </w:tcPr>
          <w:p w:rsidR="00D05C78" w:rsidRDefault="00D05C78">
            <w:pPr>
              <w:jc w:val="center"/>
              <w:rPr>
                <w:rFonts w:ascii="Calibri" w:hAnsi="Calibri" w:cs="Calibri"/>
                <w:color w:val="000000"/>
              </w:rPr>
            </w:pPr>
            <w:r>
              <w:rPr>
                <w:rFonts w:ascii="Calibri" w:hAnsi="Calibri" w:cs="Calibri"/>
                <w:color w:val="000000"/>
              </w:rPr>
              <w:t>Labor Force Participation</w:t>
            </w:r>
          </w:p>
        </w:tc>
        <w:tc>
          <w:tcPr>
            <w:tcW w:w="0" w:type="auto"/>
            <w:tcBorders>
              <w:top w:val="nil"/>
              <w:left w:val="nil"/>
              <w:bottom w:val="single" w:sz="4" w:space="0" w:color="auto"/>
              <w:right w:val="nil"/>
            </w:tcBorders>
            <w:shd w:val="clear" w:color="auto" w:fill="auto"/>
            <w:vAlign w:val="bottom"/>
            <w:hideMark/>
          </w:tcPr>
          <w:p w:rsidR="00D05C78" w:rsidRDefault="00D05C78">
            <w:pPr>
              <w:jc w:val="center"/>
              <w:rPr>
                <w:rFonts w:ascii="Calibri" w:hAnsi="Calibri" w:cs="Calibri"/>
                <w:color w:val="000000"/>
              </w:rPr>
            </w:pPr>
            <w:r>
              <w:rPr>
                <w:rFonts w:ascii="Calibri" w:hAnsi="Calibri" w:cs="Calibri"/>
                <w:color w:val="000000"/>
              </w:rPr>
              <w:t>Employed</w:t>
            </w:r>
          </w:p>
        </w:tc>
        <w:tc>
          <w:tcPr>
            <w:tcW w:w="0" w:type="auto"/>
            <w:tcBorders>
              <w:top w:val="nil"/>
              <w:left w:val="nil"/>
              <w:bottom w:val="single" w:sz="4" w:space="0" w:color="auto"/>
              <w:right w:val="nil"/>
            </w:tcBorders>
            <w:shd w:val="clear" w:color="auto" w:fill="auto"/>
            <w:vAlign w:val="bottom"/>
            <w:hideMark/>
          </w:tcPr>
          <w:p w:rsidR="00D05C78" w:rsidRDefault="00D05C78">
            <w:pPr>
              <w:jc w:val="center"/>
              <w:rPr>
                <w:rFonts w:ascii="Calibri" w:hAnsi="Calibri" w:cs="Calibri"/>
                <w:color w:val="000000"/>
              </w:rPr>
            </w:pPr>
            <w:r>
              <w:rPr>
                <w:rFonts w:ascii="Calibri" w:hAnsi="Calibri" w:cs="Calibri"/>
                <w:color w:val="000000"/>
              </w:rPr>
              <w:t>Usual Hours Worked</w:t>
            </w:r>
          </w:p>
        </w:tc>
      </w:tr>
      <w:tr w:rsidR="00D05C78" w:rsidTr="00D05C78">
        <w:trPr>
          <w:trHeight w:val="310"/>
        </w:trPr>
        <w:tc>
          <w:tcPr>
            <w:tcW w:w="0" w:type="auto"/>
            <w:tcBorders>
              <w:top w:val="nil"/>
              <w:left w:val="nil"/>
              <w:bottom w:val="nil"/>
              <w:right w:val="nil"/>
            </w:tcBorders>
            <w:shd w:val="clear" w:color="auto" w:fill="auto"/>
            <w:noWrap/>
            <w:vAlign w:val="bottom"/>
            <w:hideMark/>
          </w:tcPr>
          <w:p w:rsidR="00D05C78" w:rsidRDefault="00D05C78">
            <w:pPr>
              <w:jc w:val="center"/>
              <w:rPr>
                <w:rFonts w:ascii="Calibri" w:hAnsi="Calibri" w:cs="Calibri"/>
                <w:b/>
                <w:bCs/>
                <w:color w:val="000000"/>
                <w:u w:val="single"/>
              </w:rPr>
            </w:pPr>
            <w:r>
              <w:rPr>
                <w:rFonts w:ascii="Calibri" w:hAnsi="Calibri" w:cs="Calibri"/>
                <w:b/>
                <w:bCs/>
                <w:color w:val="000000"/>
                <w:u w:val="single"/>
              </w:rPr>
              <w:t>DiDiD</w:t>
            </w:r>
          </w:p>
        </w:tc>
        <w:tc>
          <w:tcPr>
            <w:tcW w:w="0" w:type="auto"/>
            <w:tcBorders>
              <w:top w:val="nil"/>
              <w:left w:val="nil"/>
              <w:bottom w:val="nil"/>
              <w:right w:val="nil"/>
            </w:tcBorders>
            <w:shd w:val="clear" w:color="auto" w:fill="auto"/>
            <w:noWrap/>
            <w:vAlign w:val="bottom"/>
            <w:hideMark/>
          </w:tcPr>
          <w:p w:rsidR="00D05C78" w:rsidRDefault="00D05C78">
            <w:pPr>
              <w:jc w:val="center"/>
              <w:rPr>
                <w:rFonts w:ascii="Calibri" w:hAnsi="Calibri" w:cs="Calibri"/>
                <w:b/>
                <w:bCs/>
                <w:color w:val="000000"/>
                <w:u w:val="single"/>
              </w:rPr>
            </w:pPr>
          </w:p>
        </w:tc>
        <w:tc>
          <w:tcPr>
            <w:tcW w:w="0" w:type="auto"/>
            <w:tcBorders>
              <w:top w:val="nil"/>
              <w:left w:val="nil"/>
              <w:bottom w:val="nil"/>
              <w:right w:val="nil"/>
            </w:tcBorders>
            <w:shd w:val="clear" w:color="auto" w:fill="auto"/>
            <w:noWrap/>
            <w:vAlign w:val="bottom"/>
            <w:hideMark/>
          </w:tcPr>
          <w:p w:rsidR="00D05C78" w:rsidRDefault="00D05C78">
            <w:pPr>
              <w:jc w:val="center"/>
              <w:rPr>
                <w:sz w:val="20"/>
                <w:szCs w:val="20"/>
              </w:rPr>
            </w:pPr>
          </w:p>
        </w:tc>
        <w:tc>
          <w:tcPr>
            <w:tcW w:w="0" w:type="auto"/>
            <w:tcBorders>
              <w:top w:val="nil"/>
              <w:left w:val="nil"/>
              <w:bottom w:val="nil"/>
              <w:right w:val="nil"/>
            </w:tcBorders>
            <w:shd w:val="clear" w:color="auto" w:fill="auto"/>
            <w:noWrap/>
            <w:vAlign w:val="bottom"/>
            <w:hideMark/>
          </w:tcPr>
          <w:p w:rsidR="00D05C78" w:rsidRDefault="00D05C78">
            <w:pPr>
              <w:jc w:val="center"/>
              <w:rPr>
                <w:sz w:val="20"/>
                <w:szCs w:val="20"/>
              </w:rPr>
            </w:pPr>
          </w:p>
        </w:tc>
        <w:tc>
          <w:tcPr>
            <w:tcW w:w="0" w:type="auto"/>
            <w:tcBorders>
              <w:top w:val="nil"/>
              <w:left w:val="nil"/>
              <w:bottom w:val="nil"/>
              <w:right w:val="nil"/>
            </w:tcBorders>
            <w:shd w:val="clear" w:color="auto" w:fill="auto"/>
            <w:noWrap/>
            <w:vAlign w:val="bottom"/>
            <w:hideMark/>
          </w:tcPr>
          <w:p w:rsidR="00D05C78" w:rsidRDefault="00D05C78">
            <w:pPr>
              <w:jc w:val="center"/>
              <w:rPr>
                <w:sz w:val="20"/>
                <w:szCs w:val="20"/>
              </w:rPr>
            </w:pPr>
          </w:p>
        </w:tc>
      </w:tr>
      <w:tr w:rsidR="00D05C78" w:rsidTr="00D05C78">
        <w:trPr>
          <w:trHeight w:val="310"/>
        </w:trPr>
        <w:tc>
          <w:tcPr>
            <w:tcW w:w="0" w:type="auto"/>
            <w:tcBorders>
              <w:top w:val="nil"/>
              <w:left w:val="nil"/>
              <w:bottom w:val="nil"/>
              <w:right w:val="nil"/>
            </w:tcBorders>
            <w:shd w:val="clear" w:color="auto" w:fill="auto"/>
            <w:noWrap/>
            <w:vAlign w:val="bottom"/>
            <w:hideMark/>
          </w:tcPr>
          <w:p w:rsidR="00D05C78" w:rsidRDefault="00D05C78">
            <w:pPr>
              <w:rPr>
                <w:rFonts w:ascii="Calibri" w:hAnsi="Calibri" w:cs="Calibri"/>
                <w:color w:val="000000"/>
              </w:rPr>
            </w:pPr>
            <w:r>
              <w:rPr>
                <w:rFonts w:ascii="Calibri" w:hAnsi="Calibri" w:cs="Calibri"/>
                <w:color w:val="000000"/>
              </w:rPr>
              <w:t>Uninsured x Post</w:t>
            </w:r>
          </w:p>
        </w:tc>
        <w:tc>
          <w:tcPr>
            <w:tcW w:w="0" w:type="auto"/>
            <w:tcBorders>
              <w:top w:val="nil"/>
              <w:left w:val="nil"/>
              <w:bottom w:val="nil"/>
              <w:right w:val="nil"/>
            </w:tcBorders>
            <w:shd w:val="clear" w:color="auto" w:fill="auto"/>
            <w:noWrap/>
            <w:vAlign w:val="bottom"/>
            <w:hideMark/>
          </w:tcPr>
          <w:p w:rsidR="00D05C78" w:rsidRDefault="00D05C78">
            <w:pPr>
              <w:jc w:val="center"/>
              <w:rPr>
                <w:rFonts w:ascii="Calibri" w:hAnsi="Calibri" w:cs="Calibri"/>
                <w:color w:val="000000"/>
              </w:rPr>
            </w:pPr>
            <w:r>
              <w:rPr>
                <w:rFonts w:ascii="Calibri" w:hAnsi="Calibri" w:cs="Calibri"/>
                <w:color w:val="000000"/>
              </w:rPr>
              <w:t>-0.0269</w:t>
            </w:r>
          </w:p>
        </w:tc>
        <w:tc>
          <w:tcPr>
            <w:tcW w:w="0" w:type="auto"/>
            <w:tcBorders>
              <w:top w:val="nil"/>
              <w:left w:val="nil"/>
              <w:bottom w:val="nil"/>
              <w:right w:val="nil"/>
            </w:tcBorders>
            <w:shd w:val="clear" w:color="auto" w:fill="auto"/>
            <w:noWrap/>
            <w:vAlign w:val="bottom"/>
            <w:hideMark/>
          </w:tcPr>
          <w:p w:rsidR="00D05C78" w:rsidRDefault="00D05C78">
            <w:pPr>
              <w:jc w:val="center"/>
              <w:rPr>
                <w:rFonts w:ascii="Calibri" w:hAnsi="Calibri" w:cs="Calibri"/>
                <w:color w:val="000000"/>
              </w:rPr>
            </w:pPr>
            <w:r>
              <w:rPr>
                <w:rFonts w:ascii="Calibri" w:hAnsi="Calibri" w:cs="Calibri"/>
                <w:color w:val="000000"/>
              </w:rPr>
              <w:t>-0.0299**</w:t>
            </w:r>
          </w:p>
        </w:tc>
        <w:tc>
          <w:tcPr>
            <w:tcW w:w="0" w:type="auto"/>
            <w:tcBorders>
              <w:top w:val="nil"/>
              <w:left w:val="nil"/>
              <w:bottom w:val="nil"/>
              <w:right w:val="nil"/>
            </w:tcBorders>
            <w:shd w:val="clear" w:color="auto" w:fill="auto"/>
            <w:noWrap/>
            <w:vAlign w:val="bottom"/>
            <w:hideMark/>
          </w:tcPr>
          <w:p w:rsidR="00D05C78" w:rsidRDefault="00D05C78">
            <w:pPr>
              <w:jc w:val="center"/>
              <w:rPr>
                <w:rFonts w:ascii="Calibri" w:hAnsi="Calibri" w:cs="Calibri"/>
                <w:color w:val="000000"/>
              </w:rPr>
            </w:pPr>
            <w:r>
              <w:rPr>
                <w:rFonts w:ascii="Calibri" w:hAnsi="Calibri" w:cs="Calibri"/>
                <w:color w:val="000000"/>
              </w:rPr>
              <w:t>0.0435*</w:t>
            </w:r>
          </w:p>
        </w:tc>
        <w:tc>
          <w:tcPr>
            <w:tcW w:w="0" w:type="auto"/>
            <w:tcBorders>
              <w:top w:val="nil"/>
              <w:left w:val="nil"/>
              <w:bottom w:val="nil"/>
              <w:right w:val="nil"/>
            </w:tcBorders>
            <w:shd w:val="clear" w:color="auto" w:fill="auto"/>
            <w:noWrap/>
            <w:vAlign w:val="bottom"/>
            <w:hideMark/>
          </w:tcPr>
          <w:p w:rsidR="00D05C78" w:rsidRDefault="00D05C78">
            <w:pPr>
              <w:jc w:val="center"/>
              <w:rPr>
                <w:rFonts w:ascii="Calibri" w:hAnsi="Calibri" w:cs="Calibri"/>
                <w:color w:val="000000"/>
              </w:rPr>
            </w:pPr>
            <w:r>
              <w:rPr>
                <w:rFonts w:ascii="Calibri" w:hAnsi="Calibri" w:cs="Calibri"/>
                <w:color w:val="000000"/>
              </w:rPr>
              <w:t>0.218</w:t>
            </w:r>
          </w:p>
        </w:tc>
      </w:tr>
      <w:tr w:rsidR="00D05C78" w:rsidTr="00D05C78">
        <w:trPr>
          <w:trHeight w:val="310"/>
        </w:trPr>
        <w:tc>
          <w:tcPr>
            <w:tcW w:w="0" w:type="auto"/>
            <w:tcBorders>
              <w:top w:val="nil"/>
              <w:left w:val="nil"/>
              <w:bottom w:val="nil"/>
              <w:right w:val="nil"/>
            </w:tcBorders>
            <w:shd w:val="clear" w:color="auto" w:fill="auto"/>
            <w:noWrap/>
            <w:vAlign w:val="bottom"/>
            <w:hideMark/>
          </w:tcPr>
          <w:p w:rsidR="00D05C78" w:rsidRDefault="00D05C78">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D05C78" w:rsidRDefault="00D05C78">
            <w:pPr>
              <w:jc w:val="center"/>
              <w:rPr>
                <w:rFonts w:ascii="Calibri" w:hAnsi="Calibri" w:cs="Calibri"/>
                <w:color w:val="000000"/>
              </w:rPr>
            </w:pPr>
            <w:r>
              <w:rPr>
                <w:rFonts w:ascii="Calibri" w:hAnsi="Calibri" w:cs="Calibri"/>
                <w:color w:val="000000"/>
              </w:rPr>
              <w:t>(0.0177)</w:t>
            </w:r>
          </w:p>
        </w:tc>
        <w:tc>
          <w:tcPr>
            <w:tcW w:w="0" w:type="auto"/>
            <w:tcBorders>
              <w:top w:val="nil"/>
              <w:left w:val="nil"/>
              <w:bottom w:val="nil"/>
              <w:right w:val="nil"/>
            </w:tcBorders>
            <w:shd w:val="clear" w:color="auto" w:fill="auto"/>
            <w:noWrap/>
            <w:vAlign w:val="bottom"/>
            <w:hideMark/>
          </w:tcPr>
          <w:p w:rsidR="00D05C78" w:rsidRDefault="00D05C78">
            <w:pPr>
              <w:jc w:val="center"/>
              <w:rPr>
                <w:rFonts w:ascii="Calibri" w:hAnsi="Calibri" w:cs="Calibri"/>
                <w:color w:val="000000"/>
              </w:rPr>
            </w:pPr>
            <w:r>
              <w:rPr>
                <w:rFonts w:ascii="Calibri" w:hAnsi="Calibri" w:cs="Calibri"/>
                <w:color w:val="000000"/>
              </w:rPr>
              <w:t>(0.0118)</w:t>
            </w:r>
          </w:p>
        </w:tc>
        <w:tc>
          <w:tcPr>
            <w:tcW w:w="0" w:type="auto"/>
            <w:tcBorders>
              <w:top w:val="nil"/>
              <w:left w:val="nil"/>
              <w:bottom w:val="nil"/>
              <w:right w:val="nil"/>
            </w:tcBorders>
            <w:shd w:val="clear" w:color="auto" w:fill="auto"/>
            <w:noWrap/>
            <w:vAlign w:val="bottom"/>
            <w:hideMark/>
          </w:tcPr>
          <w:p w:rsidR="00D05C78" w:rsidRDefault="00D05C78">
            <w:pPr>
              <w:jc w:val="center"/>
              <w:rPr>
                <w:rFonts w:ascii="Calibri" w:hAnsi="Calibri" w:cs="Calibri"/>
                <w:color w:val="000000"/>
              </w:rPr>
            </w:pPr>
            <w:r>
              <w:rPr>
                <w:rFonts w:ascii="Calibri" w:hAnsi="Calibri" w:cs="Calibri"/>
                <w:color w:val="000000"/>
              </w:rPr>
              <w:t>(0.0216)</w:t>
            </w:r>
          </w:p>
        </w:tc>
        <w:tc>
          <w:tcPr>
            <w:tcW w:w="0" w:type="auto"/>
            <w:tcBorders>
              <w:top w:val="nil"/>
              <w:left w:val="nil"/>
              <w:bottom w:val="nil"/>
              <w:right w:val="nil"/>
            </w:tcBorders>
            <w:shd w:val="clear" w:color="auto" w:fill="auto"/>
            <w:noWrap/>
            <w:vAlign w:val="bottom"/>
            <w:hideMark/>
          </w:tcPr>
          <w:p w:rsidR="00D05C78" w:rsidRDefault="00D05C78">
            <w:pPr>
              <w:jc w:val="center"/>
              <w:rPr>
                <w:rFonts w:ascii="Calibri" w:hAnsi="Calibri" w:cs="Calibri"/>
                <w:color w:val="000000"/>
              </w:rPr>
            </w:pPr>
            <w:r>
              <w:rPr>
                <w:rFonts w:ascii="Calibri" w:hAnsi="Calibri" w:cs="Calibri"/>
                <w:color w:val="000000"/>
              </w:rPr>
              <w:t>(0.3790)</w:t>
            </w:r>
          </w:p>
        </w:tc>
      </w:tr>
      <w:tr w:rsidR="00D05C78" w:rsidTr="00D05C78">
        <w:trPr>
          <w:trHeight w:val="310"/>
        </w:trPr>
        <w:tc>
          <w:tcPr>
            <w:tcW w:w="0" w:type="auto"/>
            <w:tcBorders>
              <w:top w:val="nil"/>
              <w:left w:val="nil"/>
              <w:bottom w:val="nil"/>
              <w:right w:val="nil"/>
            </w:tcBorders>
            <w:shd w:val="clear" w:color="auto" w:fill="auto"/>
            <w:noWrap/>
            <w:vAlign w:val="bottom"/>
            <w:hideMark/>
          </w:tcPr>
          <w:p w:rsidR="00D05C78" w:rsidRDefault="00D05C78">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D05C78" w:rsidRDefault="00D05C78">
            <w:pPr>
              <w:rPr>
                <w:sz w:val="20"/>
                <w:szCs w:val="20"/>
              </w:rPr>
            </w:pPr>
          </w:p>
        </w:tc>
        <w:tc>
          <w:tcPr>
            <w:tcW w:w="0" w:type="auto"/>
            <w:tcBorders>
              <w:top w:val="nil"/>
              <w:left w:val="nil"/>
              <w:bottom w:val="nil"/>
              <w:right w:val="nil"/>
            </w:tcBorders>
            <w:shd w:val="clear" w:color="auto" w:fill="auto"/>
            <w:noWrap/>
            <w:vAlign w:val="bottom"/>
            <w:hideMark/>
          </w:tcPr>
          <w:p w:rsidR="00D05C78" w:rsidRDefault="00D05C78">
            <w:pPr>
              <w:jc w:val="center"/>
              <w:rPr>
                <w:sz w:val="20"/>
                <w:szCs w:val="20"/>
              </w:rPr>
            </w:pPr>
          </w:p>
        </w:tc>
        <w:tc>
          <w:tcPr>
            <w:tcW w:w="0" w:type="auto"/>
            <w:tcBorders>
              <w:top w:val="nil"/>
              <w:left w:val="nil"/>
              <w:bottom w:val="nil"/>
              <w:right w:val="nil"/>
            </w:tcBorders>
            <w:shd w:val="clear" w:color="auto" w:fill="auto"/>
            <w:noWrap/>
            <w:vAlign w:val="bottom"/>
            <w:hideMark/>
          </w:tcPr>
          <w:p w:rsidR="00D05C78" w:rsidRDefault="00D05C78">
            <w:pPr>
              <w:jc w:val="center"/>
              <w:rPr>
                <w:sz w:val="20"/>
                <w:szCs w:val="20"/>
              </w:rPr>
            </w:pPr>
          </w:p>
        </w:tc>
        <w:tc>
          <w:tcPr>
            <w:tcW w:w="0" w:type="auto"/>
            <w:tcBorders>
              <w:top w:val="nil"/>
              <w:left w:val="nil"/>
              <w:bottom w:val="nil"/>
              <w:right w:val="nil"/>
            </w:tcBorders>
            <w:shd w:val="clear" w:color="auto" w:fill="auto"/>
            <w:noWrap/>
            <w:vAlign w:val="bottom"/>
            <w:hideMark/>
          </w:tcPr>
          <w:p w:rsidR="00D05C78" w:rsidRDefault="00D05C78">
            <w:pPr>
              <w:jc w:val="center"/>
              <w:rPr>
                <w:sz w:val="20"/>
                <w:szCs w:val="20"/>
              </w:rPr>
            </w:pPr>
          </w:p>
        </w:tc>
      </w:tr>
      <w:tr w:rsidR="00D05C78" w:rsidTr="00D05C78">
        <w:trPr>
          <w:trHeight w:val="310"/>
        </w:trPr>
        <w:tc>
          <w:tcPr>
            <w:tcW w:w="0" w:type="auto"/>
            <w:tcBorders>
              <w:top w:val="nil"/>
              <w:left w:val="nil"/>
              <w:bottom w:val="nil"/>
              <w:right w:val="nil"/>
            </w:tcBorders>
            <w:shd w:val="clear" w:color="auto" w:fill="auto"/>
            <w:noWrap/>
            <w:vAlign w:val="bottom"/>
            <w:hideMark/>
          </w:tcPr>
          <w:p w:rsidR="00D05C78" w:rsidRDefault="00D05C78">
            <w:pPr>
              <w:rPr>
                <w:rFonts w:ascii="Calibri" w:hAnsi="Calibri" w:cs="Calibri"/>
                <w:color w:val="000000"/>
              </w:rPr>
            </w:pPr>
            <w:r>
              <w:rPr>
                <w:rFonts w:ascii="Calibri" w:hAnsi="Calibri" w:cs="Calibri"/>
                <w:color w:val="000000"/>
              </w:rPr>
              <w:t>Medicaid x Uninsured x Post</w:t>
            </w:r>
          </w:p>
        </w:tc>
        <w:tc>
          <w:tcPr>
            <w:tcW w:w="0" w:type="auto"/>
            <w:tcBorders>
              <w:top w:val="nil"/>
              <w:left w:val="nil"/>
              <w:bottom w:val="nil"/>
              <w:right w:val="nil"/>
            </w:tcBorders>
            <w:shd w:val="clear" w:color="auto" w:fill="auto"/>
            <w:noWrap/>
            <w:vAlign w:val="bottom"/>
            <w:hideMark/>
          </w:tcPr>
          <w:p w:rsidR="00D05C78" w:rsidRDefault="00D05C78">
            <w:pPr>
              <w:jc w:val="center"/>
              <w:rPr>
                <w:rFonts w:ascii="Calibri" w:hAnsi="Calibri" w:cs="Calibri"/>
                <w:color w:val="000000"/>
              </w:rPr>
            </w:pPr>
            <w:r>
              <w:rPr>
                <w:rFonts w:ascii="Calibri" w:hAnsi="Calibri" w:cs="Calibri"/>
                <w:color w:val="000000"/>
              </w:rPr>
              <w:t>-0.0409</w:t>
            </w:r>
          </w:p>
        </w:tc>
        <w:tc>
          <w:tcPr>
            <w:tcW w:w="0" w:type="auto"/>
            <w:tcBorders>
              <w:top w:val="nil"/>
              <w:left w:val="nil"/>
              <w:bottom w:val="nil"/>
              <w:right w:val="nil"/>
            </w:tcBorders>
            <w:shd w:val="clear" w:color="auto" w:fill="auto"/>
            <w:noWrap/>
            <w:vAlign w:val="bottom"/>
            <w:hideMark/>
          </w:tcPr>
          <w:p w:rsidR="00D05C78" w:rsidRDefault="00D05C78">
            <w:pPr>
              <w:jc w:val="center"/>
              <w:rPr>
                <w:rFonts w:ascii="Calibri" w:hAnsi="Calibri" w:cs="Calibri"/>
                <w:color w:val="000000"/>
              </w:rPr>
            </w:pPr>
            <w:r>
              <w:rPr>
                <w:rFonts w:ascii="Calibri" w:hAnsi="Calibri" w:cs="Calibri"/>
                <w:color w:val="000000"/>
              </w:rPr>
              <w:t>0.00224</w:t>
            </w:r>
          </w:p>
        </w:tc>
        <w:tc>
          <w:tcPr>
            <w:tcW w:w="0" w:type="auto"/>
            <w:tcBorders>
              <w:top w:val="nil"/>
              <w:left w:val="nil"/>
              <w:bottom w:val="nil"/>
              <w:right w:val="nil"/>
            </w:tcBorders>
            <w:shd w:val="clear" w:color="auto" w:fill="auto"/>
            <w:noWrap/>
            <w:vAlign w:val="bottom"/>
            <w:hideMark/>
          </w:tcPr>
          <w:p w:rsidR="00D05C78" w:rsidRDefault="00D05C78">
            <w:pPr>
              <w:jc w:val="center"/>
              <w:rPr>
                <w:rFonts w:ascii="Calibri" w:hAnsi="Calibri" w:cs="Calibri"/>
                <w:color w:val="000000"/>
              </w:rPr>
            </w:pPr>
            <w:r>
              <w:rPr>
                <w:rFonts w:ascii="Calibri" w:hAnsi="Calibri" w:cs="Calibri"/>
                <w:color w:val="000000"/>
              </w:rPr>
              <w:t>-0.0162</w:t>
            </w:r>
          </w:p>
        </w:tc>
        <w:tc>
          <w:tcPr>
            <w:tcW w:w="0" w:type="auto"/>
            <w:tcBorders>
              <w:top w:val="nil"/>
              <w:left w:val="nil"/>
              <w:bottom w:val="nil"/>
              <w:right w:val="nil"/>
            </w:tcBorders>
            <w:shd w:val="clear" w:color="auto" w:fill="auto"/>
            <w:noWrap/>
            <w:vAlign w:val="bottom"/>
            <w:hideMark/>
          </w:tcPr>
          <w:p w:rsidR="00D05C78" w:rsidRDefault="00D05C78">
            <w:pPr>
              <w:jc w:val="center"/>
              <w:rPr>
                <w:rFonts w:ascii="Calibri" w:hAnsi="Calibri" w:cs="Calibri"/>
                <w:color w:val="000000"/>
              </w:rPr>
            </w:pPr>
            <w:r>
              <w:rPr>
                <w:rFonts w:ascii="Calibri" w:hAnsi="Calibri" w:cs="Calibri"/>
                <w:color w:val="000000"/>
              </w:rPr>
              <w:t>-0.499</w:t>
            </w:r>
          </w:p>
        </w:tc>
      </w:tr>
      <w:tr w:rsidR="00D05C78" w:rsidTr="00D05C78">
        <w:trPr>
          <w:trHeight w:val="310"/>
        </w:trPr>
        <w:tc>
          <w:tcPr>
            <w:tcW w:w="0" w:type="auto"/>
            <w:tcBorders>
              <w:top w:val="nil"/>
              <w:left w:val="nil"/>
              <w:bottom w:val="nil"/>
              <w:right w:val="nil"/>
            </w:tcBorders>
            <w:shd w:val="clear" w:color="auto" w:fill="auto"/>
            <w:noWrap/>
            <w:vAlign w:val="bottom"/>
            <w:hideMark/>
          </w:tcPr>
          <w:p w:rsidR="00D05C78" w:rsidRDefault="00D05C78">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D05C78" w:rsidRDefault="00D05C78">
            <w:pPr>
              <w:jc w:val="center"/>
              <w:rPr>
                <w:rFonts w:ascii="Calibri" w:hAnsi="Calibri" w:cs="Calibri"/>
                <w:color w:val="000000"/>
              </w:rPr>
            </w:pPr>
            <w:r>
              <w:rPr>
                <w:rFonts w:ascii="Calibri" w:hAnsi="Calibri" w:cs="Calibri"/>
                <w:color w:val="000000"/>
              </w:rPr>
              <w:t>(0.0276)</w:t>
            </w:r>
          </w:p>
        </w:tc>
        <w:tc>
          <w:tcPr>
            <w:tcW w:w="0" w:type="auto"/>
            <w:tcBorders>
              <w:top w:val="nil"/>
              <w:left w:val="nil"/>
              <w:bottom w:val="nil"/>
              <w:right w:val="nil"/>
            </w:tcBorders>
            <w:shd w:val="clear" w:color="auto" w:fill="auto"/>
            <w:noWrap/>
            <w:vAlign w:val="bottom"/>
            <w:hideMark/>
          </w:tcPr>
          <w:p w:rsidR="00D05C78" w:rsidRDefault="00D05C78">
            <w:pPr>
              <w:jc w:val="center"/>
              <w:rPr>
                <w:rFonts w:ascii="Calibri" w:hAnsi="Calibri" w:cs="Calibri"/>
                <w:color w:val="000000"/>
              </w:rPr>
            </w:pPr>
            <w:r>
              <w:rPr>
                <w:rFonts w:ascii="Calibri" w:hAnsi="Calibri" w:cs="Calibri"/>
                <w:color w:val="000000"/>
              </w:rPr>
              <w:t>(0.0209)</w:t>
            </w:r>
          </w:p>
        </w:tc>
        <w:tc>
          <w:tcPr>
            <w:tcW w:w="0" w:type="auto"/>
            <w:tcBorders>
              <w:top w:val="nil"/>
              <w:left w:val="nil"/>
              <w:bottom w:val="nil"/>
              <w:right w:val="nil"/>
            </w:tcBorders>
            <w:shd w:val="clear" w:color="auto" w:fill="auto"/>
            <w:noWrap/>
            <w:vAlign w:val="bottom"/>
            <w:hideMark/>
          </w:tcPr>
          <w:p w:rsidR="00D05C78" w:rsidRDefault="00D05C78">
            <w:pPr>
              <w:jc w:val="center"/>
              <w:rPr>
                <w:rFonts w:ascii="Calibri" w:hAnsi="Calibri" w:cs="Calibri"/>
                <w:color w:val="000000"/>
              </w:rPr>
            </w:pPr>
            <w:r>
              <w:rPr>
                <w:rFonts w:ascii="Calibri" w:hAnsi="Calibri" w:cs="Calibri"/>
                <w:color w:val="000000"/>
              </w:rPr>
              <w:t>(0.0255)</w:t>
            </w:r>
          </w:p>
        </w:tc>
        <w:tc>
          <w:tcPr>
            <w:tcW w:w="0" w:type="auto"/>
            <w:tcBorders>
              <w:top w:val="nil"/>
              <w:left w:val="nil"/>
              <w:bottom w:val="nil"/>
              <w:right w:val="nil"/>
            </w:tcBorders>
            <w:shd w:val="clear" w:color="auto" w:fill="auto"/>
            <w:noWrap/>
            <w:vAlign w:val="bottom"/>
            <w:hideMark/>
          </w:tcPr>
          <w:p w:rsidR="00D05C78" w:rsidRDefault="00D05C78">
            <w:pPr>
              <w:jc w:val="center"/>
              <w:rPr>
                <w:rFonts w:ascii="Calibri" w:hAnsi="Calibri" w:cs="Calibri"/>
                <w:color w:val="000000"/>
              </w:rPr>
            </w:pPr>
            <w:r>
              <w:rPr>
                <w:rFonts w:ascii="Calibri" w:hAnsi="Calibri" w:cs="Calibri"/>
                <w:color w:val="000000"/>
              </w:rPr>
              <w:t>(0.5233)</w:t>
            </w:r>
          </w:p>
        </w:tc>
      </w:tr>
      <w:tr w:rsidR="00D05C78" w:rsidTr="00D05C78">
        <w:trPr>
          <w:trHeight w:val="310"/>
        </w:trPr>
        <w:tc>
          <w:tcPr>
            <w:tcW w:w="0" w:type="auto"/>
            <w:tcBorders>
              <w:top w:val="nil"/>
              <w:left w:val="nil"/>
              <w:bottom w:val="nil"/>
              <w:right w:val="nil"/>
            </w:tcBorders>
            <w:shd w:val="clear" w:color="auto" w:fill="auto"/>
            <w:noWrap/>
            <w:vAlign w:val="bottom"/>
            <w:hideMark/>
          </w:tcPr>
          <w:p w:rsidR="00D05C78" w:rsidRDefault="00D05C78">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D05C78" w:rsidRDefault="00D05C78">
            <w:pPr>
              <w:rPr>
                <w:sz w:val="20"/>
                <w:szCs w:val="20"/>
              </w:rPr>
            </w:pPr>
          </w:p>
        </w:tc>
        <w:tc>
          <w:tcPr>
            <w:tcW w:w="0" w:type="auto"/>
            <w:tcBorders>
              <w:top w:val="nil"/>
              <w:left w:val="nil"/>
              <w:bottom w:val="nil"/>
              <w:right w:val="nil"/>
            </w:tcBorders>
            <w:shd w:val="clear" w:color="auto" w:fill="auto"/>
            <w:noWrap/>
            <w:vAlign w:val="bottom"/>
            <w:hideMark/>
          </w:tcPr>
          <w:p w:rsidR="00D05C78" w:rsidRDefault="00D05C78">
            <w:pPr>
              <w:jc w:val="center"/>
              <w:rPr>
                <w:sz w:val="20"/>
                <w:szCs w:val="20"/>
              </w:rPr>
            </w:pPr>
          </w:p>
        </w:tc>
        <w:tc>
          <w:tcPr>
            <w:tcW w:w="0" w:type="auto"/>
            <w:tcBorders>
              <w:top w:val="nil"/>
              <w:left w:val="nil"/>
              <w:bottom w:val="nil"/>
              <w:right w:val="nil"/>
            </w:tcBorders>
            <w:shd w:val="clear" w:color="auto" w:fill="auto"/>
            <w:noWrap/>
            <w:vAlign w:val="bottom"/>
            <w:hideMark/>
          </w:tcPr>
          <w:p w:rsidR="00D05C78" w:rsidRDefault="00D05C78">
            <w:pPr>
              <w:jc w:val="center"/>
              <w:rPr>
                <w:sz w:val="20"/>
                <w:szCs w:val="20"/>
              </w:rPr>
            </w:pPr>
          </w:p>
        </w:tc>
        <w:tc>
          <w:tcPr>
            <w:tcW w:w="0" w:type="auto"/>
            <w:tcBorders>
              <w:top w:val="nil"/>
              <w:left w:val="nil"/>
              <w:bottom w:val="nil"/>
              <w:right w:val="nil"/>
            </w:tcBorders>
            <w:shd w:val="clear" w:color="auto" w:fill="auto"/>
            <w:noWrap/>
            <w:vAlign w:val="bottom"/>
            <w:hideMark/>
          </w:tcPr>
          <w:p w:rsidR="00D05C78" w:rsidRDefault="00D05C78">
            <w:pPr>
              <w:jc w:val="center"/>
              <w:rPr>
                <w:sz w:val="20"/>
                <w:szCs w:val="20"/>
              </w:rPr>
            </w:pPr>
          </w:p>
        </w:tc>
      </w:tr>
      <w:tr w:rsidR="00D05C78" w:rsidTr="00D05C78">
        <w:trPr>
          <w:trHeight w:val="310"/>
        </w:trPr>
        <w:tc>
          <w:tcPr>
            <w:tcW w:w="0" w:type="auto"/>
            <w:tcBorders>
              <w:top w:val="nil"/>
              <w:left w:val="nil"/>
              <w:bottom w:val="single" w:sz="4" w:space="0" w:color="auto"/>
              <w:right w:val="nil"/>
            </w:tcBorders>
            <w:shd w:val="clear" w:color="auto" w:fill="auto"/>
            <w:noWrap/>
            <w:vAlign w:val="bottom"/>
            <w:hideMark/>
          </w:tcPr>
          <w:p w:rsidR="00D05C78" w:rsidRDefault="00D05C78">
            <w:pPr>
              <w:rPr>
                <w:rFonts w:ascii="Calibri" w:hAnsi="Calibri" w:cs="Calibri"/>
                <w:color w:val="000000"/>
              </w:rPr>
            </w:pPr>
            <w:r>
              <w:rPr>
                <w:rFonts w:ascii="Calibri" w:hAnsi="Calibri" w:cs="Calibri"/>
                <w:color w:val="000000"/>
              </w:rPr>
              <w:t>N</w:t>
            </w:r>
          </w:p>
        </w:tc>
        <w:tc>
          <w:tcPr>
            <w:tcW w:w="0" w:type="auto"/>
            <w:tcBorders>
              <w:top w:val="nil"/>
              <w:left w:val="nil"/>
              <w:bottom w:val="single" w:sz="4" w:space="0" w:color="auto"/>
              <w:right w:val="nil"/>
            </w:tcBorders>
            <w:shd w:val="clear" w:color="auto" w:fill="auto"/>
            <w:noWrap/>
            <w:vAlign w:val="bottom"/>
            <w:hideMark/>
          </w:tcPr>
          <w:p w:rsidR="00D05C78" w:rsidRDefault="00D05C78">
            <w:pPr>
              <w:jc w:val="center"/>
              <w:rPr>
                <w:rFonts w:ascii="Calibri" w:hAnsi="Calibri" w:cs="Calibri"/>
                <w:color w:val="000000"/>
              </w:rPr>
            </w:pPr>
            <w:r>
              <w:rPr>
                <w:rFonts w:ascii="Calibri" w:hAnsi="Calibri" w:cs="Calibri"/>
                <w:color w:val="000000"/>
              </w:rPr>
              <w:t>73145</w:t>
            </w:r>
          </w:p>
        </w:tc>
        <w:tc>
          <w:tcPr>
            <w:tcW w:w="0" w:type="auto"/>
            <w:tcBorders>
              <w:top w:val="nil"/>
              <w:left w:val="nil"/>
              <w:bottom w:val="single" w:sz="4" w:space="0" w:color="auto"/>
              <w:right w:val="nil"/>
            </w:tcBorders>
            <w:shd w:val="clear" w:color="auto" w:fill="auto"/>
            <w:noWrap/>
            <w:vAlign w:val="bottom"/>
            <w:hideMark/>
          </w:tcPr>
          <w:p w:rsidR="00D05C78" w:rsidRDefault="00D05C78">
            <w:pPr>
              <w:jc w:val="center"/>
              <w:rPr>
                <w:rFonts w:ascii="Calibri" w:hAnsi="Calibri" w:cs="Calibri"/>
                <w:color w:val="000000"/>
              </w:rPr>
            </w:pPr>
            <w:r>
              <w:rPr>
                <w:rFonts w:ascii="Calibri" w:hAnsi="Calibri" w:cs="Calibri"/>
                <w:color w:val="000000"/>
              </w:rPr>
              <w:t>73151</w:t>
            </w:r>
          </w:p>
        </w:tc>
        <w:tc>
          <w:tcPr>
            <w:tcW w:w="0" w:type="auto"/>
            <w:tcBorders>
              <w:top w:val="nil"/>
              <w:left w:val="nil"/>
              <w:bottom w:val="single" w:sz="4" w:space="0" w:color="auto"/>
              <w:right w:val="nil"/>
            </w:tcBorders>
            <w:shd w:val="clear" w:color="auto" w:fill="auto"/>
            <w:noWrap/>
            <w:vAlign w:val="bottom"/>
            <w:hideMark/>
          </w:tcPr>
          <w:p w:rsidR="00D05C78" w:rsidRDefault="00D05C78">
            <w:pPr>
              <w:jc w:val="center"/>
              <w:rPr>
                <w:rFonts w:ascii="Calibri" w:hAnsi="Calibri" w:cs="Calibri"/>
                <w:color w:val="000000"/>
              </w:rPr>
            </w:pPr>
            <w:r>
              <w:rPr>
                <w:rFonts w:ascii="Calibri" w:hAnsi="Calibri" w:cs="Calibri"/>
                <w:color w:val="000000"/>
              </w:rPr>
              <w:t>73147</w:t>
            </w:r>
          </w:p>
        </w:tc>
        <w:tc>
          <w:tcPr>
            <w:tcW w:w="0" w:type="auto"/>
            <w:tcBorders>
              <w:top w:val="nil"/>
              <w:left w:val="nil"/>
              <w:bottom w:val="single" w:sz="4" w:space="0" w:color="auto"/>
              <w:right w:val="nil"/>
            </w:tcBorders>
            <w:shd w:val="clear" w:color="auto" w:fill="auto"/>
            <w:noWrap/>
            <w:vAlign w:val="bottom"/>
            <w:hideMark/>
          </w:tcPr>
          <w:p w:rsidR="00D05C78" w:rsidRDefault="00D05C78">
            <w:pPr>
              <w:jc w:val="center"/>
              <w:rPr>
                <w:rFonts w:ascii="Calibri" w:hAnsi="Calibri" w:cs="Calibri"/>
                <w:color w:val="000000"/>
              </w:rPr>
            </w:pPr>
            <w:r>
              <w:rPr>
                <w:rFonts w:ascii="Calibri" w:hAnsi="Calibri" w:cs="Calibri"/>
                <w:color w:val="000000"/>
              </w:rPr>
              <w:t>73147</w:t>
            </w:r>
          </w:p>
        </w:tc>
      </w:tr>
    </w:tbl>
    <w:p w:rsidR="000B2553" w:rsidRDefault="000B2553" w:rsidP="000B2553">
      <w:pPr>
        <w:spacing w:line="276" w:lineRule="auto"/>
        <w:rPr>
          <w:sz w:val="16"/>
          <w:szCs w:val="16"/>
        </w:rPr>
      </w:pPr>
      <w:r w:rsidRPr="005A43BD">
        <w:rPr>
          <w:i/>
          <w:sz w:val="16"/>
          <w:szCs w:val="16"/>
        </w:rPr>
        <w:t xml:space="preserve">Notes: </w:t>
      </w:r>
      <w:r>
        <w:rPr>
          <w:sz w:val="16"/>
          <w:szCs w:val="16"/>
        </w:rPr>
        <w:t>Standard errors, heteroskedasticity-robust and clustered at the state level, are in parentheses. *** Denotes statistical significance at 1 percent level, ** Denotes statistical significance at 5 percent level,</w:t>
      </w:r>
      <w:r w:rsidRPr="005A43BD">
        <w:rPr>
          <w:sz w:val="16"/>
          <w:szCs w:val="16"/>
        </w:rPr>
        <w:t xml:space="preserve"> </w:t>
      </w:r>
      <w:r>
        <w:rPr>
          <w:sz w:val="16"/>
          <w:szCs w:val="16"/>
        </w:rPr>
        <w:t>* Denotes statistical significance at 10 percent level</w:t>
      </w:r>
    </w:p>
    <w:p w:rsidR="00D05C78" w:rsidRDefault="00D05C78" w:rsidP="00D05C78">
      <w:pPr>
        <w:spacing w:line="276" w:lineRule="auto"/>
        <w:rPr>
          <w:b/>
          <w:u w:val="single"/>
        </w:rPr>
      </w:pPr>
    </w:p>
    <w:p w:rsidR="00DA3196" w:rsidRDefault="00DA3196" w:rsidP="00317E68">
      <w:pPr>
        <w:spacing w:line="276" w:lineRule="auto"/>
        <w:ind w:left="360" w:firstLine="360"/>
        <w:rPr>
          <w:b/>
          <w:u w:val="single"/>
        </w:rPr>
      </w:pPr>
    </w:p>
    <w:p w:rsidR="00DA3196" w:rsidRDefault="00DA3196" w:rsidP="00317E68">
      <w:pPr>
        <w:spacing w:line="276" w:lineRule="auto"/>
        <w:ind w:left="360" w:firstLine="360"/>
        <w:rPr>
          <w:b/>
          <w:u w:val="single"/>
        </w:rPr>
      </w:pPr>
    </w:p>
    <w:p w:rsidR="00DA3196" w:rsidRDefault="00DA3196" w:rsidP="00317E68">
      <w:pPr>
        <w:spacing w:line="276" w:lineRule="auto"/>
        <w:ind w:left="360" w:firstLine="360"/>
        <w:rPr>
          <w:b/>
          <w:u w:val="single"/>
        </w:rPr>
      </w:pPr>
    </w:p>
    <w:p w:rsidR="003208D3" w:rsidRDefault="003208D3" w:rsidP="00317E68">
      <w:pPr>
        <w:spacing w:line="276" w:lineRule="auto"/>
        <w:ind w:left="360" w:firstLine="360"/>
        <w:rPr>
          <w:b/>
          <w:u w:val="single"/>
        </w:rPr>
      </w:pPr>
    </w:p>
    <w:p w:rsidR="003208D3" w:rsidRDefault="003208D3">
      <w:pPr>
        <w:spacing w:after="160" w:line="259" w:lineRule="auto"/>
        <w:rPr>
          <w:b/>
          <w:u w:val="single"/>
        </w:rPr>
      </w:pPr>
      <w:r>
        <w:rPr>
          <w:b/>
          <w:u w:val="single"/>
        </w:rPr>
        <w:br w:type="page"/>
      </w:r>
    </w:p>
    <w:tbl>
      <w:tblPr>
        <w:tblW w:w="0" w:type="auto"/>
        <w:tblLook w:val="04A0" w:firstRow="1" w:lastRow="0" w:firstColumn="1" w:lastColumn="0" w:noHBand="0" w:noVBand="1"/>
      </w:tblPr>
      <w:tblGrid>
        <w:gridCol w:w="3330"/>
        <w:gridCol w:w="1129"/>
        <w:gridCol w:w="2094"/>
        <w:gridCol w:w="1324"/>
        <w:gridCol w:w="1483"/>
      </w:tblGrid>
      <w:tr w:rsidR="003208D3" w:rsidRPr="003208D3" w:rsidTr="000604AD">
        <w:trPr>
          <w:trHeight w:val="290"/>
        </w:trPr>
        <w:tc>
          <w:tcPr>
            <w:tcW w:w="9270" w:type="dxa"/>
            <w:gridSpan w:val="5"/>
            <w:tcBorders>
              <w:top w:val="nil"/>
              <w:left w:val="nil"/>
              <w:bottom w:val="single" w:sz="4" w:space="0" w:color="auto"/>
              <w:right w:val="nil"/>
            </w:tcBorders>
            <w:shd w:val="clear" w:color="auto" w:fill="auto"/>
            <w:noWrap/>
            <w:vAlign w:val="bottom"/>
            <w:hideMark/>
          </w:tcPr>
          <w:p w:rsidR="003208D3" w:rsidRPr="003208D3" w:rsidRDefault="003208D3" w:rsidP="003208D3">
            <w:pPr>
              <w:jc w:val="center"/>
              <w:rPr>
                <w:rFonts w:ascii="Calibri" w:hAnsi="Calibri" w:cs="Calibri"/>
                <w:b/>
                <w:bCs/>
                <w:color w:val="000000"/>
                <w:u w:val="single"/>
              </w:rPr>
            </w:pPr>
            <w:r w:rsidRPr="003208D3">
              <w:rPr>
                <w:rFonts w:ascii="Calibri" w:hAnsi="Calibri" w:cs="Calibri"/>
                <w:b/>
                <w:bCs/>
                <w:color w:val="000000"/>
                <w:u w:val="single"/>
              </w:rPr>
              <w:lastRenderedPageBreak/>
              <w:t xml:space="preserve">Table </w:t>
            </w:r>
            <w:r w:rsidR="00613475">
              <w:rPr>
                <w:rFonts w:ascii="Calibri" w:hAnsi="Calibri" w:cs="Calibri"/>
                <w:b/>
                <w:bCs/>
                <w:color w:val="000000"/>
                <w:u w:val="single"/>
              </w:rPr>
              <w:t>6</w:t>
            </w:r>
            <w:r w:rsidRPr="003208D3">
              <w:rPr>
                <w:rFonts w:ascii="Calibri" w:hAnsi="Calibri" w:cs="Calibri"/>
                <w:b/>
                <w:bCs/>
                <w:color w:val="000000"/>
                <w:u w:val="single"/>
              </w:rPr>
              <w:t>: 2009-2016 DiDiD Event Study</w:t>
            </w:r>
          </w:p>
        </w:tc>
      </w:tr>
      <w:tr w:rsidR="003208D3" w:rsidRPr="003208D3" w:rsidTr="000604AD">
        <w:trPr>
          <w:trHeight w:val="290"/>
        </w:trPr>
        <w:tc>
          <w:tcPr>
            <w:tcW w:w="3330"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b/>
                <w:bCs/>
                <w:color w:val="000000"/>
                <w:u w:val="single"/>
              </w:rPr>
            </w:pPr>
          </w:p>
        </w:tc>
        <w:tc>
          <w:tcPr>
            <w:tcW w:w="1129" w:type="dxa"/>
            <w:tcBorders>
              <w:top w:val="nil"/>
              <w:left w:val="nil"/>
              <w:bottom w:val="single" w:sz="4" w:space="0" w:color="auto"/>
              <w:right w:val="nil"/>
            </w:tcBorders>
            <w:shd w:val="clear" w:color="auto" w:fill="auto"/>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ln(wage)</w:t>
            </w:r>
          </w:p>
        </w:tc>
        <w:tc>
          <w:tcPr>
            <w:tcW w:w="0" w:type="auto"/>
            <w:tcBorders>
              <w:top w:val="nil"/>
              <w:left w:val="nil"/>
              <w:bottom w:val="single" w:sz="4" w:space="0" w:color="auto"/>
              <w:right w:val="nil"/>
            </w:tcBorders>
            <w:shd w:val="clear" w:color="auto" w:fill="auto"/>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Labor Force Participation</w:t>
            </w:r>
          </w:p>
        </w:tc>
        <w:tc>
          <w:tcPr>
            <w:tcW w:w="0" w:type="auto"/>
            <w:tcBorders>
              <w:top w:val="nil"/>
              <w:left w:val="nil"/>
              <w:bottom w:val="single" w:sz="4" w:space="0" w:color="auto"/>
              <w:right w:val="nil"/>
            </w:tcBorders>
            <w:shd w:val="clear" w:color="auto" w:fill="auto"/>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Employed</w:t>
            </w:r>
          </w:p>
        </w:tc>
        <w:tc>
          <w:tcPr>
            <w:tcW w:w="1483" w:type="dxa"/>
            <w:tcBorders>
              <w:top w:val="nil"/>
              <w:left w:val="nil"/>
              <w:bottom w:val="single" w:sz="4" w:space="0" w:color="auto"/>
              <w:right w:val="nil"/>
            </w:tcBorders>
            <w:shd w:val="clear" w:color="auto" w:fill="auto"/>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Usual Hours Worked</w:t>
            </w:r>
          </w:p>
        </w:tc>
      </w:tr>
      <w:tr w:rsidR="003208D3" w:rsidRPr="003208D3" w:rsidTr="000604AD">
        <w:trPr>
          <w:trHeight w:val="290"/>
        </w:trPr>
        <w:tc>
          <w:tcPr>
            <w:tcW w:w="3330" w:type="dxa"/>
            <w:tcBorders>
              <w:top w:val="nil"/>
              <w:left w:val="nil"/>
              <w:bottom w:val="nil"/>
              <w:right w:val="nil"/>
            </w:tcBorders>
            <w:shd w:val="clear" w:color="auto" w:fill="auto"/>
            <w:noWrap/>
            <w:vAlign w:val="bottom"/>
            <w:hideMark/>
          </w:tcPr>
          <w:p w:rsidR="003208D3" w:rsidRPr="003208D3" w:rsidRDefault="003208D3" w:rsidP="003208D3">
            <w:pPr>
              <w:rPr>
                <w:rFonts w:ascii="Calibri" w:hAnsi="Calibri" w:cs="Calibri"/>
                <w:color w:val="000000"/>
              </w:rPr>
            </w:pPr>
            <w:r w:rsidRPr="003208D3">
              <w:rPr>
                <w:rFonts w:ascii="Calibri" w:hAnsi="Calibri" w:cs="Calibri"/>
                <w:color w:val="000000"/>
              </w:rPr>
              <w:t>Uninsured x 2009</w:t>
            </w:r>
          </w:p>
        </w:tc>
        <w:tc>
          <w:tcPr>
            <w:tcW w:w="1129"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0.0697</w:t>
            </w: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0.0526**</w:t>
            </w: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0.0307</w:t>
            </w:r>
          </w:p>
        </w:tc>
        <w:tc>
          <w:tcPr>
            <w:tcW w:w="1483"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0.977*</w:t>
            </w:r>
          </w:p>
        </w:tc>
      </w:tr>
      <w:tr w:rsidR="003208D3" w:rsidRPr="003208D3" w:rsidTr="000604AD">
        <w:trPr>
          <w:trHeight w:val="290"/>
        </w:trPr>
        <w:tc>
          <w:tcPr>
            <w:tcW w:w="3330"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p>
        </w:tc>
        <w:tc>
          <w:tcPr>
            <w:tcW w:w="1129"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(0.0569)</w:t>
            </w: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(0.0223)</w:t>
            </w: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(0.0220)</w:t>
            </w:r>
          </w:p>
        </w:tc>
        <w:tc>
          <w:tcPr>
            <w:tcW w:w="1483"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(0.5416)</w:t>
            </w:r>
          </w:p>
        </w:tc>
      </w:tr>
      <w:tr w:rsidR="003208D3" w:rsidRPr="003208D3" w:rsidTr="000604AD">
        <w:trPr>
          <w:trHeight w:val="200"/>
        </w:trPr>
        <w:tc>
          <w:tcPr>
            <w:tcW w:w="3330"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p>
        </w:tc>
        <w:tc>
          <w:tcPr>
            <w:tcW w:w="1129" w:type="dxa"/>
            <w:tcBorders>
              <w:top w:val="nil"/>
              <w:left w:val="nil"/>
              <w:bottom w:val="nil"/>
              <w:right w:val="nil"/>
            </w:tcBorders>
            <w:shd w:val="clear" w:color="auto" w:fill="auto"/>
            <w:noWrap/>
            <w:vAlign w:val="bottom"/>
            <w:hideMark/>
          </w:tcPr>
          <w:p w:rsidR="003208D3" w:rsidRPr="003208D3" w:rsidRDefault="003208D3" w:rsidP="003208D3">
            <w:pPr>
              <w:rPr>
                <w:sz w:val="20"/>
                <w:szCs w:val="20"/>
              </w:rPr>
            </w:pP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sz w:val="20"/>
                <w:szCs w:val="20"/>
              </w:rPr>
            </w:pP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sz w:val="20"/>
                <w:szCs w:val="20"/>
              </w:rPr>
            </w:pPr>
          </w:p>
        </w:tc>
        <w:tc>
          <w:tcPr>
            <w:tcW w:w="1483" w:type="dxa"/>
            <w:tcBorders>
              <w:top w:val="nil"/>
              <w:left w:val="nil"/>
              <w:bottom w:val="nil"/>
              <w:right w:val="nil"/>
            </w:tcBorders>
            <w:shd w:val="clear" w:color="auto" w:fill="auto"/>
            <w:noWrap/>
            <w:vAlign w:val="bottom"/>
            <w:hideMark/>
          </w:tcPr>
          <w:p w:rsidR="003208D3" w:rsidRPr="003208D3" w:rsidRDefault="003208D3" w:rsidP="003208D3">
            <w:pPr>
              <w:jc w:val="center"/>
              <w:rPr>
                <w:sz w:val="20"/>
                <w:szCs w:val="20"/>
              </w:rPr>
            </w:pPr>
          </w:p>
        </w:tc>
      </w:tr>
      <w:tr w:rsidR="003208D3" w:rsidRPr="003208D3" w:rsidTr="000604AD">
        <w:trPr>
          <w:trHeight w:val="290"/>
        </w:trPr>
        <w:tc>
          <w:tcPr>
            <w:tcW w:w="3330" w:type="dxa"/>
            <w:tcBorders>
              <w:top w:val="nil"/>
              <w:left w:val="nil"/>
              <w:bottom w:val="nil"/>
              <w:right w:val="nil"/>
            </w:tcBorders>
            <w:shd w:val="clear" w:color="auto" w:fill="auto"/>
            <w:noWrap/>
            <w:vAlign w:val="bottom"/>
            <w:hideMark/>
          </w:tcPr>
          <w:p w:rsidR="003208D3" w:rsidRPr="003208D3" w:rsidRDefault="003208D3" w:rsidP="003208D3">
            <w:pPr>
              <w:rPr>
                <w:rFonts w:ascii="Calibri" w:hAnsi="Calibri" w:cs="Calibri"/>
                <w:color w:val="000000"/>
              </w:rPr>
            </w:pPr>
            <w:r w:rsidRPr="003208D3">
              <w:rPr>
                <w:rFonts w:ascii="Calibri" w:hAnsi="Calibri" w:cs="Calibri"/>
                <w:color w:val="000000"/>
              </w:rPr>
              <w:t>Uninsured x 2010</w:t>
            </w:r>
          </w:p>
        </w:tc>
        <w:tc>
          <w:tcPr>
            <w:tcW w:w="1129"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0.113**</w:t>
            </w: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0.0310</w:t>
            </w: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0.0124</w:t>
            </w:r>
          </w:p>
        </w:tc>
        <w:tc>
          <w:tcPr>
            <w:tcW w:w="1483"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-0.315</w:t>
            </w:r>
          </w:p>
        </w:tc>
      </w:tr>
      <w:tr w:rsidR="003208D3" w:rsidRPr="003208D3" w:rsidTr="000604AD">
        <w:trPr>
          <w:trHeight w:val="290"/>
        </w:trPr>
        <w:tc>
          <w:tcPr>
            <w:tcW w:w="3330"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p>
        </w:tc>
        <w:tc>
          <w:tcPr>
            <w:tcW w:w="1129"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(0.0477)</w:t>
            </w: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(0.0223)</w:t>
            </w: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(0.0205)</w:t>
            </w:r>
          </w:p>
        </w:tc>
        <w:tc>
          <w:tcPr>
            <w:tcW w:w="1483"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(0.8384)</w:t>
            </w:r>
          </w:p>
        </w:tc>
      </w:tr>
      <w:tr w:rsidR="003208D3" w:rsidRPr="003208D3" w:rsidTr="000604AD">
        <w:trPr>
          <w:trHeight w:val="200"/>
        </w:trPr>
        <w:tc>
          <w:tcPr>
            <w:tcW w:w="3330"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p>
        </w:tc>
        <w:tc>
          <w:tcPr>
            <w:tcW w:w="1129" w:type="dxa"/>
            <w:tcBorders>
              <w:top w:val="nil"/>
              <w:left w:val="nil"/>
              <w:bottom w:val="nil"/>
              <w:right w:val="nil"/>
            </w:tcBorders>
            <w:shd w:val="clear" w:color="auto" w:fill="auto"/>
            <w:noWrap/>
            <w:vAlign w:val="bottom"/>
            <w:hideMark/>
          </w:tcPr>
          <w:p w:rsidR="003208D3" w:rsidRPr="003208D3" w:rsidRDefault="003208D3" w:rsidP="003208D3">
            <w:pPr>
              <w:rPr>
                <w:sz w:val="20"/>
                <w:szCs w:val="20"/>
              </w:rPr>
            </w:pP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sz w:val="20"/>
                <w:szCs w:val="20"/>
              </w:rPr>
            </w:pP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sz w:val="20"/>
                <w:szCs w:val="20"/>
              </w:rPr>
            </w:pPr>
          </w:p>
        </w:tc>
        <w:tc>
          <w:tcPr>
            <w:tcW w:w="1483" w:type="dxa"/>
            <w:tcBorders>
              <w:top w:val="nil"/>
              <w:left w:val="nil"/>
              <w:bottom w:val="nil"/>
              <w:right w:val="nil"/>
            </w:tcBorders>
            <w:shd w:val="clear" w:color="auto" w:fill="auto"/>
            <w:noWrap/>
            <w:vAlign w:val="bottom"/>
            <w:hideMark/>
          </w:tcPr>
          <w:p w:rsidR="003208D3" w:rsidRPr="003208D3" w:rsidRDefault="003208D3" w:rsidP="003208D3">
            <w:pPr>
              <w:jc w:val="center"/>
              <w:rPr>
                <w:sz w:val="20"/>
                <w:szCs w:val="20"/>
              </w:rPr>
            </w:pPr>
          </w:p>
        </w:tc>
      </w:tr>
      <w:tr w:rsidR="003208D3" w:rsidRPr="003208D3" w:rsidTr="000604AD">
        <w:trPr>
          <w:trHeight w:val="290"/>
        </w:trPr>
        <w:tc>
          <w:tcPr>
            <w:tcW w:w="3330" w:type="dxa"/>
            <w:tcBorders>
              <w:top w:val="nil"/>
              <w:left w:val="nil"/>
              <w:bottom w:val="nil"/>
              <w:right w:val="nil"/>
            </w:tcBorders>
            <w:shd w:val="clear" w:color="auto" w:fill="auto"/>
            <w:noWrap/>
            <w:vAlign w:val="bottom"/>
            <w:hideMark/>
          </w:tcPr>
          <w:p w:rsidR="003208D3" w:rsidRPr="003208D3" w:rsidRDefault="003208D3" w:rsidP="003208D3">
            <w:pPr>
              <w:rPr>
                <w:rFonts w:ascii="Calibri" w:hAnsi="Calibri" w:cs="Calibri"/>
                <w:color w:val="000000"/>
              </w:rPr>
            </w:pPr>
            <w:r w:rsidRPr="003208D3">
              <w:rPr>
                <w:rFonts w:ascii="Calibri" w:hAnsi="Calibri" w:cs="Calibri"/>
                <w:color w:val="000000"/>
              </w:rPr>
              <w:t>Uninsured x 2011</w:t>
            </w:r>
          </w:p>
        </w:tc>
        <w:tc>
          <w:tcPr>
            <w:tcW w:w="1129"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0.0937*</w:t>
            </w: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0.00931</w:t>
            </w: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-0.0000014</w:t>
            </w:r>
          </w:p>
        </w:tc>
        <w:tc>
          <w:tcPr>
            <w:tcW w:w="1483"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-0.361</w:t>
            </w:r>
          </w:p>
        </w:tc>
      </w:tr>
      <w:tr w:rsidR="003208D3" w:rsidRPr="003208D3" w:rsidTr="000604AD">
        <w:trPr>
          <w:trHeight w:val="290"/>
        </w:trPr>
        <w:tc>
          <w:tcPr>
            <w:tcW w:w="3330"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p>
        </w:tc>
        <w:tc>
          <w:tcPr>
            <w:tcW w:w="1129"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(0.0466)</w:t>
            </w: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(0.0279)</w:t>
            </w: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(0.0181)</w:t>
            </w:r>
          </w:p>
        </w:tc>
        <w:tc>
          <w:tcPr>
            <w:tcW w:w="1483"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(0.6074)</w:t>
            </w:r>
          </w:p>
        </w:tc>
      </w:tr>
      <w:tr w:rsidR="003208D3" w:rsidRPr="003208D3" w:rsidTr="000604AD">
        <w:trPr>
          <w:trHeight w:val="200"/>
        </w:trPr>
        <w:tc>
          <w:tcPr>
            <w:tcW w:w="3330"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p>
        </w:tc>
        <w:tc>
          <w:tcPr>
            <w:tcW w:w="1129" w:type="dxa"/>
            <w:tcBorders>
              <w:top w:val="nil"/>
              <w:left w:val="nil"/>
              <w:bottom w:val="nil"/>
              <w:right w:val="nil"/>
            </w:tcBorders>
            <w:shd w:val="clear" w:color="auto" w:fill="auto"/>
            <w:noWrap/>
            <w:vAlign w:val="bottom"/>
            <w:hideMark/>
          </w:tcPr>
          <w:p w:rsidR="003208D3" w:rsidRPr="003208D3" w:rsidRDefault="003208D3" w:rsidP="003208D3">
            <w:pPr>
              <w:rPr>
                <w:sz w:val="20"/>
                <w:szCs w:val="20"/>
              </w:rPr>
            </w:pP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sz w:val="20"/>
                <w:szCs w:val="20"/>
              </w:rPr>
            </w:pP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sz w:val="20"/>
                <w:szCs w:val="20"/>
              </w:rPr>
            </w:pPr>
          </w:p>
        </w:tc>
        <w:tc>
          <w:tcPr>
            <w:tcW w:w="1483" w:type="dxa"/>
            <w:tcBorders>
              <w:top w:val="nil"/>
              <w:left w:val="nil"/>
              <w:bottom w:val="nil"/>
              <w:right w:val="nil"/>
            </w:tcBorders>
            <w:shd w:val="clear" w:color="auto" w:fill="auto"/>
            <w:noWrap/>
            <w:vAlign w:val="bottom"/>
            <w:hideMark/>
          </w:tcPr>
          <w:p w:rsidR="003208D3" w:rsidRPr="003208D3" w:rsidRDefault="003208D3" w:rsidP="003208D3">
            <w:pPr>
              <w:jc w:val="center"/>
              <w:rPr>
                <w:sz w:val="20"/>
                <w:szCs w:val="20"/>
              </w:rPr>
            </w:pPr>
          </w:p>
        </w:tc>
      </w:tr>
      <w:tr w:rsidR="003208D3" w:rsidRPr="003208D3" w:rsidTr="000604AD">
        <w:trPr>
          <w:trHeight w:val="290"/>
        </w:trPr>
        <w:tc>
          <w:tcPr>
            <w:tcW w:w="3330" w:type="dxa"/>
            <w:tcBorders>
              <w:top w:val="nil"/>
              <w:left w:val="nil"/>
              <w:bottom w:val="nil"/>
              <w:right w:val="nil"/>
            </w:tcBorders>
            <w:shd w:val="clear" w:color="auto" w:fill="auto"/>
            <w:noWrap/>
            <w:vAlign w:val="bottom"/>
            <w:hideMark/>
          </w:tcPr>
          <w:p w:rsidR="003208D3" w:rsidRPr="003208D3" w:rsidRDefault="003208D3" w:rsidP="003208D3">
            <w:pPr>
              <w:rPr>
                <w:rFonts w:ascii="Calibri" w:hAnsi="Calibri" w:cs="Calibri"/>
                <w:color w:val="000000"/>
              </w:rPr>
            </w:pPr>
            <w:r w:rsidRPr="003208D3">
              <w:rPr>
                <w:rFonts w:ascii="Calibri" w:hAnsi="Calibri" w:cs="Calibri"/>
                <w:color w:val="000000"/>
              </w:rPr>
              <w:t>Uninsured x 2012</w:t>
            </w:r>
          </w:p>
        </w:tc>
        <w:tc>
          <w:tcPr>
            <w:tcW w:w="1129"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0.00617</w:t>
            </w: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0.00165</w:t>
            </w: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0.0105</w:t>
            </w:r>
          </w:p>
        </w:tc>
        <w:tc>
          <w:tcPr>
            <w:tcW w:w="1483"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-0.834</w:t>
            </w:r>
          </w:p>
        </w:tc>
      </w:tr>
      <w:tr w:rsidR="003208D3" w:rsidRPr="003208D3" w:rsidTr="000604AD">
        <w:trPr>
          <w:trHeight w:val="290"/>
        </w:trPr>
        <w:tc>
          <w:tcPr>
            <w:tcW w:w="3330"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p>
        </w:tc>
        <w:tc>
          <w:tcPr>
            <w:tcW w:w="1129"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(0.0472)</w:t>
            </w: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(0.0159)</w:t>
            </w: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(0.0231)</w:t>
            </w:r>
          </w:p>
        </w:tc>
        <w:tc>
          <w:tcPr>
            <w:tcW w:w="1483"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(0.6769)</w:t>
            </w:r>
          </w:p>
        </w:tc>
      </w:tr>
      <w:tr w:rsidR="003208D3" w:rsidRPr="003208D3" w:rsidTr="000604AD">
        <w:trPr>
          <w:trHeight w:val="200"/>
        </w:trPr>
        <w:tc>
          <w:tcPr>
            <w:tcW w:w="3330"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p>
        </w:tc>
        <w:tc>
          <w:tcPr>
            <w:tcW w:w="1129" w:type="dxa"/>
            <w:tcBorders>
              <w:top w:val="nil"/>
              <w:left w:val="nil"/>
              <w:bottom w:val="nil"/>
              <w:right w:val="nil"/>
            </w:tcBorders>
            <w:shd w:val="clear" w:color="auto" w:fill="auto"/>
            <w:noWrap/>
            <w:vAlign w:val="bottom"/>
            <w:hideMark/>
          </w:tcPr>
          <w:p w:rsidR="003208D3" w:rsidRPr="003208D3" w:rsidRDefault="003208D3" w:rsidP="003208D3">
            <w:pPr>
              <w:rPr>
                <w:sz w:val="20"/>
                <w:szCs w:val="20"/>
              </w:rPr>
            </w:pP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sz w:val="20"/>
                <w:szCs w:val="20"/>
              </w:rPr>
            </w:pP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sz w:val="20"/>
                <w:szCs w:val="20"/>
              </w:rPr>
            </w:pPr>
          </w:p>
        </w:tc>
        <w:tc>
          <w:tcPr>
            <w:tcW w:w="1483" w:type="dxa"/>
            <w:tcBorders>
              <w:top w:val="nil"/>
              <w:left w:val="nil"/>
              <w:bottom w:val="nil"/>
              <w:right w:val="nil"/>
            </w:tcBorders>
            <w:shd w:val="clear" w:color="auto" w:fill="auto"/>
            <w:noWrap/>
            <w:vAlign w:val="bottom"/>
            <w:hideMark/>
          </w:tcPr>
          <w:p w:rsidR="003208D3" w:rsidRPr="003208D3" w:rsidRDefault="003208D3" w:rsidP="003208D3">
            <w:pPr>
              <w:jc w:val="center"/>
              <w:rPr>
                <w:sz w:val="20"/>
                <w:szCs w:val="20"/>
              </w:rPr>
            </w:pPr>
          </w:p>
        </w:tc>
      </w:tr>
      <w:tr w:rsidR="003208D3" w:rsidRPr="003208D3" w:rsidTr="000604AD">
        <w:trPr>
          <w:trHeight w:val="290"/>
        </w:trPr>
        <w:tc>
          <w:tcPr>
            <w:tcW w:w="3330" w:type="dxa"/>
            <w:tcBorders>
              <w:top w:val="nil"/>
              <w:left w:val="nil"/>
              <w:bottom w:val="nil"/>
              <w:right w:val="nil"/>
            </w:tcBorders>
            <w:shd w:val="clear" w:color="auto" w:fill="auto"/>
            <w:noWrap/>
            <w:vAlign w:val="bottom"/>
            <w:hideMark/>
          </w:tcPr>
          <w:p w:rsidR="003208D3" w:rsidRPr="003208D3" w:rsidRDefault="003208D3" w:rsidP="003208D3">
            <w:pPr>
              <w:rPr>
                <w:rFonts w:ascii="Calibri" w:hAnsi="Calibri" w:cs="Calibri"/>
                <w:color w:val="000000"/>
              </w:rPr>
            </w:pPr>
            <w:r w:rsidRPr="003208D3">
              <w:rPr>
                <w:rFonts w:ascii="Calibri" w:hAnsi="Calibri" w:cs="Calibri"/>
                <w:color w:val="000000"/>
              </w:rPr>
              <w:t>Uninsured x 2014</w:t>
            </w:r>
          </w:p>
        </w:tc>
        <w:tc>
          <w:tcPr>
            <w:tcW w:w="1129"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0.0501</w:t>
            </w: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-0.0212</w:t>
            </w: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0.0487**</w:t>
            </w:r>
          </w:p>
        </w:tc>
        <w:tc>
          <w:tcPr>
            <w:tcW w:w="1483"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-0.438</w:t>
            </w:r>
          </w:p>
        </w:tc>
      </w:tr>
      <w:tr w:rsidR="003208D3" w:rsidRPr="003208D3" w:rsidTr="000604AD">
        <w:trPr>
          <w:trHeight w:val="290"/>
        </w:trPr>
        <w:tc>
          <w:tcPr>
            <w:tcW w:w="3330"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p>
        </w:tc>
        <w:tc>
          <w:tcPr>
            <w:tcW w:w="1129"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(0.0429)</w:t>
            </w: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(0.0322)</w:t>
            </w: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(0.0181)</w:t>
            </w:r>
          </w:p>
        </w:tc>
        <w:tc>
          <w:tcPr>
            <w:tcW w:w="1483"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(0.4788)</w:t>
            </w:r>
          </w:p>
        </w:tc>
      </w:tr>
      <w:tr w:rsidR="003208D3" w:rsidRPr="003208D3" w:rsidTr="000604AD">
        <w:trPr>
          <w:trHeight w:val="200"/>
        </w:trPr>
        <w:tc>
          <w:tcPr>
            <w:tcW w:w="3330"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p>
        </w:tc>
        <w:tc>
          <w:tcPr>
            <w:tcW w:w="1129" w:type="dxa"/>
            <w:tcBorders>
              <w:top w:val="nil"/>
              <w:left w:val="nil"/>
              <w:bottom w:val="nil"/>
              <w:right w:val="nil"/>
            </w:tcBorders>
            <w:shd w:val="clear" w:color="auto" w:fill="auto"/>
            <w:noWrap/>
            <w:vAlign w:val="bottom"/>
            <w:hideMark/>
          </w:tcPr>
          <w:p w:rsidR="003208D3" w:rsidRPr="003208D3" w:rsidRDefault="003208D3" w:rsidP="003208D3">
            <w:pPr>
              <w:rPr>
                <w:sz w:val="20"/>
                <w:szCs w:val="20"/>
              </w:rPr>
            </w:pP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sz w:val="20"/>
                <w:szCs w:val="20"/>
              </w:rPr>
            </w:pP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sz w:val="20"/>
                <w:szCs w:val="20"/>
              </w:rPr>
            </w:pPr>
          </w:p>
        </w:tc>
        <w:tc>
          <w:tcPr>
            <w:tcW w:w="1483" w:type="dxa"/>
            <w:tcBorders>
              <w:top w:val="nil"/>
              <w:left w:val="nil"/>
              <w:bottom w:val="nil"/>
              <w:right w:val="nil"/>
            </w:tcBorders>
            <w:shd w:val="clear" w:color="auto" w:fill="auto"/>
            <w:noWrap/>
            <w:vAlign w:val="bottom"/>
            <w:hideMark/>
          </w:tcPr>
          <w:p w:rsidR="003208D3" w:rsidRPr="003208D3" w:rsidRDefault="003208D3" w:rsidP="003208D3">
            <w:pPr>
              <w:jc w:val="center"/>
              <w:rPr>
                <w:sz w:val="20"/>
                <w:szCs w:val="20"/>
              </w:rPr>
            </w:pPr>
          </w:p>
        </w:tc>
      </w:tr>
      <w:tr w:rsidR="003208D3" w:rsidRPr="003208D3" w:rsidTr="000604AD">
        <w:trPr>
          <w:trHeight w:val="290"/>
        </w:trPr>
        <w:tc>
          <w:tcPr>
            <w:tcW w:w="3330" w:type="dxa"/>
            <w:tcBorders>
              <w:top w:val="nil"/>
              <w:left w:val="nil"/>
              <w:bottom w:val="nil"/>
              <w:right w:val="nil"/>
            </w:tcBorders>
            <w:shd w:val="clear" w:color="auto" w:fill="auto"/>
            <w:noWrap/>
            <w:vAlign w:val="bottom"/>
            <w:hideMark/>
          </w:tcPr>
          <w:p w:rsidR="003208D3" w:rsidRPr="003208D3" w:rsidRDefault="003208D3" w:rsidP="003208D3">
            <w:pPr>
              <w:rPr>
                <w:rFonts w:ascii="Calibri" w:hAnsi="Calibri" w:cs="Calibri"/>
                <w:color w:val="000000"/>
              </w:rPr>
            </w:pPr>
            <w:r w:rsidRPr="003208D3">
              <w:rPr>
                <w:rFonts w:ascii="Calibri" w:hAnsi="Calibri" w:cs="Calibri"/>
                <w:color w:val="000000"/>
              </w:rPr>
              <w:t>Uninsured x 2015</w:t>
            </w:r>
          </w:p>
        </w:tc>
        <w:tc>
          <w:tcPr>
            <w:tcW w:w="1129"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0.0510</w:t>
            </w: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0.0137</w:t>
            </w: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0.0620***</w:t>
            </w:r>
          </w:p>
        </w:tc>
        <w:tc>
          <w:tcPr>
            <w:tcW w:w="1483"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0.534</w:t>
            </w:r>
          </w:p>
        </w:tc>
      </w:tr>
      <w:tr w:rsidR="003208D3" w:rsidRPr="003208D3" w:rsidTr="000604AD">
        <w:trPr>
          <w:trHeight w:val="290"/>
        </w:trPr>
        <w:tc>
          <w:tcPr>
            <w:tcW w:w="3330"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p>
        </w:tc>
        <w:tc>
          <w:tcPr>
            <w:tcW w:w="1129"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(0.0533)</w:t>
            </w: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(0.0390)</w:t>
            </w: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(0.0202)</w:t>
            </w:r>
          </w:p>
        </w:tc>
        <w:tc>
          <w:tcPr>
            <w:tcW w:w="1483"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(0.7023)</w:t>
            </w:r>
          </w:p>
        </w:tc>
      </w:tr>
      <w:tr w:rsidR="003208D3" w:rsidRPr="003208D3" w:rsidTr="000604AD">
        <w:trPr>
          <w:trHeight w:val="200"/>
        </w:trPr>
        <w:tc>
          <w:tcPr>
            <w:tcW w:w="3330"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p>
        </w:tc>
        <w:tc>
          <w:tcPr>
            <w:tcW w:w="1129" w:type="dxa"/>
            <w:tcBorders>
              <w:top w:val="nil"/>
              <w:left w:val="nil"/>
              <w:bottom w:val="nil"/>
              <w:right w:val="nil"/>
            </w:tcBorders>
            <w:shd w:val="clear" w:color="auto" w:fill="auto"/>
            <w:noWrap/>
            <w:vAlign w:val="bottom"/>
            <w:hideMark/>
          </w:tcPr>
          <w:p w:rsidR="003208D3" w:rsidRPr="003208D3" w:rsidRDefault="003208D3" w:rsidP="003208D3">
            <w:pPr>
              <w:rPr>
                <w:sz w:val="20"/>
                <w:szCs w:val="20"/>
              </w:rPr>
            </w:pP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sz w:val="20"/>
                <w:szCs w:val="20"/>
              </w:rPr>
            </w:pP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sz w:val="20"/>
                <w:szCs w:val="20"/>
              </w:rPr>
            </w:pPr>
          </w:p>
        </w:tc>
        <w:tc>
          <w:tcPr>
            <w:tcW w:w="1483" w:type="dxa"/>
            <w:tcBorders>
              <w:top w:val="nil"/>
              <w:left w:val="nil"/>
              <w:bottom w:val="nil"/>
              <w:right w:val="nil"/>
            </w:tcBorders>
            <w:shd w:val="clear" w:color="auto" w:fill="auto"/>
            <w:noWrap/>
            <w:vAlign w:val="bottom"/>
            <w:hideMark/>
          </w:tcPr>
          <w:p w:rsidR="003208D3" w:rsidRPr="003208D3" w:rsidRDefault="003208D3" w:rsidP="003208D3">
            <w:pPr>
              <w:jc w:val="center"/>
              <w:rPr>
                <w:sz w:val="20"/>
                <w:szCs w:val="20"/>
              </w:rPr>
            </w:pPr>
          </w:p>
        </w:tc>
      </w:tr>
      <w:tr w:rsidR="003208D3" w:rsidRPr="003208D3" w:rsidTr="000604AD">
        <w:trPr>
          <w:trHeight w:val="290"/>
        </w:trPr>
        <w:tc>
          <w:tcPr>
            <w:tcW w:w="3330" w:type="dxa"/>
            <w:tcBorders>
              <w:top w:val="nil"/>
              <w:left w:val="nil"/>
              <w:bottom w:val="nil"/>
              <w:right w:val="nil"/>
            </w:tcBorders>
            <w:shd w:val="clear" w:color="auto" w:fill="auto"/>
            <w:noWrap/>
            <w:vAlign w:val="bottom"/>
            <w:hideMark/>
          </w:tcPr>
          <w:p w:rsidR="003208D3" w:rsidRPr="003208D3" w:rsidRDefault="003208D3" w:rsidP="003208D3">
            <w:pPr>
              <w:rPr>
                <w:rFonts w:ascii="Calibri" w:hAnsi="Calibri" w:cs="Calibri"/>
                <w:color w:val="000000"/>
              </w:rPr>
            </w:pPr>
            <w:r w:rsidRPr="003208D3">
              <w:rPr>
                <w:rFonts w:ascii="Calibri" w:hAnsi="Calibri" w:cs="Calibri"/>
                <w:color w:val="000000"/>
              </w:rPr>
              <w:t>Uninsured x 2016</w:t>
            </w:r>
          </w:p>
        </w:tc>
        <w:tc>
          <w:tcPr>
            <w:tcW w:w="1129"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-0.0120</w:t>
            </w: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-0.0256</w:t>
            </w: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0.0520**</w:t>
            </w:r>
          </w:p>
        </w:tc>
        <w:tc>
          <w:tcPr>
            <w:tcW w:w="1483"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0.238</w:t>
            </w:r>
          </w:p>
        </w:tc>
      </w:tr>
      <w:tr w:rsidR="003208D3" w:rsidRPr="003208D3" w:rsidTr="000604AD">
        <w:trPr>
          <w:trHeight w:val="290"/>
        </w:trPr>
        <w:tc>
          <w:tcPr>
            <w:tcW w:w="3330"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p>
        </w:tc>
        <w:tc>
          <w:tcPr>
            <w:tcW w:w="1129"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(0.0331)</w:t>
            </w: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(0.0196)</w:t>
            </w: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(0.0213)</w:t>
            </w:r>
          </w:p>
        </w:tc>
        <w:tc>
          <w:tcPr>
            <w:tcW w:w="1483"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(0.8817)</w:t>
            </w:r>
          </w:p>
        </w:tc>
      </w:tr>
      <w:tr w:rsidR="003208D3" w:rsidRPr="003208D3" w:rsidTr="000604AD">
        <w:trPr>
          <w:trHeight w:val="200"/>
        </w:trPr>
        <w:tc>
          <w:tcPr>
            <w:tcW w:w="3330"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p>
        </w:tc>
        <w:tc>
          <w:tcPr>
            <w:tcW w:w="1129" w:type="dxa"/>
            <w:tcBorders>
              <w:top w:val="nil"/>
              <w:left w:val="nil"/>
              <w:bottom w:val="nil"/>
              <w:right w:val="nil"/>
            </w:tcBorders>
            <w:shd w:val="clear" w:color="auto" w:fill="auto"/>
            <w:noWrap/>
            <w:vAlign w:val="bottom"/>
            <w:hideMark/>
          </w:tcPr>
          <w:p w:rsidR="003208D3" w:rsidRPr="003208D3" w:rsidRDefault="003208D3" w:rsidP="003208D3">
            <w:pPr>
              <w:rPr>
                <w:sz w:val="20"/>
                <w:szCs w:val="20"/>
              </w:rPr>
            </w:pP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sz w:val="20"/>
                <w:szCs w:val="20"/>
              </w:rPr>
            </w:pP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sz w:val="20"/>
                <w:szCs w:val="20"/>
              </w:rPr>
            </w:pPr>
          </w:p>
        </w:tc>
        <w:tc>
          <w:tcPr>
            <w:tcW w:w="1483" w:type="dxa"/>
            <w:tcBorders>
              <w:top w:val="nil"/>
              <w:left w:val="nil"/>
              <w:bottom w:val="nil"/>
              <w:right w:val="nil"/>
            </w:tcBorders>
            <w:shd w:val="clear" w:color="auto" w:fill="auto"/>
            <w:noWrap/>
            <w:vAlign w:val="bottom"/>
            <w:hideMark/>
          </w:tcPr>
          <w:p w:rsidR="003208D3" w:rsidRPr="003208D3" w:rsidRDefault="003208D3" w:rsidP="003208D3">
            <w:pPr>
              <w:jc w:val="center"/>
              <w:rPr>
                <w:sz w:val="20"/>
                <w:szCs w:val="20"/>
              </w:rPr>
            </w:pPr>
          </w:p>
        </w:tc>
      </w:tr>
      <w:tr w:rsidR="003208D3" w:rsidRPr="003208D3" w:rsidTr="000604AD">
        <w:trPr>
          <w:trHeight w:val="290"/>
        </w:trPr>
        <w:tc>
          <w:tcPr>
            <w:tcW w:w="3330" w:type="dxa"/>
            <w:tcBorders>
              <w:top w:val="nil"/>
              <w:left w:val="nil"/>
              <w:bottom w:val="nil"/>
              <w:right w:val="nil"/>
            </w:tcBorders>
            <w:shd w:val="clear" w:color="auto" w:fill="auto"/>
            <w:noWrap/>
            <w:vAlign w:val="bottom"/>
            <w:hideMark/>
          </w:tcPr>
          <w:p w:rsidR="003208D3" w:rsidRPr="003208D3" w:rsidRDefault="003208D3" w:rsidP="003208D3">
            <w:pPr>
              <w:rPr>
                <w:rFonts w:ascii="Calibri" w:hAnsi="Calibri" w:cs="Calibri"/>
                <w:color w:val="000000"/>
              </w:rPr>
            </w:pPr>
            <w:r w:rsidRPr="003208D3">
              <w:rPr>
                <w:rFonts w:ascii="Calibri" w:hAnsi="Calibri" w:cs="Calibri"/>
                <w:color w:val="000000"/>
              </w:rPr>
              <w:t>Medicaid x Uninsured x 2009</w:t>
            </w:r>
          </w:p>
        </w:tc>
        <w:tc>
          <w:tcPr>
            <w:tcW w:w="1129"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0.00299</w:t>
            </w: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-0.0516</w:t>
            </w: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0.0240</w:t>
            </w:r>
          </w:p>
        </w:tc>
        <w:tc>
          <w:tcPr>
            <w:tcW w:w="1483"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0.207</w:t>
            </w:r>
          </w:p>
        </w:tc>
      </w:tr>
      <w:tr w:rsidR="003208D3" w:rsidRPr="003208D3" w:rsidTr="000604AD">
        <w:trPr>
          <w:trHeight w:val="290"/>
        </w:trPr>
        <w:tc>
          <w:tcPr>
            <w:tcW w:w="3330"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p>
        </w:tc>
        <w:tc>
          <w:tcPr>
            <w:tcW w:w="1129"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(0.0633)</w:t>
            </w: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(0.0325)</w:t>
            </w: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(0.0269)</w:t>
            </w:r>
          </w:p>
        </w:tc>
        <w:tc>
          <w:tcPr>
            <w:tcW w:w="1483"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(0.6961)</w:t>
            </w:r>
          </w:p>
        </w:tc>
      </w:tr>
      <w:tr w:rsidR="003208D3" w:rsidRPr="003208D3" w:rsidTr="000604AD">
        <w:trPr>
          <w:trHeight w:val="200"/>
        </w:trPr>
        <w:tc>
          <w:tcPr>
            <w:tcW w:w="3330"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p>
        </w:tc>
        <w:tc>
          <w:tcPr>
            <w:tcW w:w="1129" w:type="dxa"/>
            <w:tcBorders>
              <w:top w:val="nil"/>
              <w:left w:val="nil"/>
              <w:bottom w:val="nil"/>
              <w:right w:val="nil"/>
            </w:tcBorders>
            <w:shd w:val="clear" w:color="auto" w:fill="auto"/>
            <w:noWrap/>
            <w:vAlign w:val="bottom"/>
            <w:hideMark/>
          </w:tcPr>
          <w:p w:rsidR="003208D3" w:rsidRPr="003208D3" w:rsidRDefault="003208D3" w:rsidP="003208D3">
            <w:pPr>
              <w:rPr>
                <w:sz w:val="20"/>
                <w:szCs w:val="20"/>
              </w:rPr>
            </w:pP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sz w:val="20"/>
                <w:szCs w:val="20"/>
              </w:rPr>
            </w:pP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sz w:val="20"/>
                <w:szCs w:val="20"/>
              </w:rPr>
            </w:pPr>
          </w:p>
        </w:tc>
        <w:tc>
          <w:tcPr>
            <w:tcW w:w="1483" w:type="dxa"/>
            <w:tcBorders>
              <w:top w:val="nil"/>
              <w:left w:val="nil"/>
              <w:bottom w:val="nil"/>
              <w:right w:val="nil"/>
            </w:tcBorders>
            <w:shd w:val="clear" w:color="auto" w:fill="auto"/>
            <w:noWrap/>
            <w:vAlign w:val="bottom"/>
            <w:hideMark/>
          </w:tcPr>
          <w:p w:rsidR="003208D3" w:rsidRPr="003208D3" w:rsidRDefault="003208D3" w:rsidP="003208D3">
            <w:pPr>
              <w:jc w:val="center"/>
              <w:rPr>
                <w:sz w:val="20"/>
                <w:szCs w:val="20"/>
              </w:rPr>
            </w:pPr>
          </w:p>
        </w:tc>
      </w:tr>
      <w:tr w:rsidR="003208D3" w:rsidRPr="003208D3" w:rsidTr="000604AD">
        <w:trPr>
          <w:trHeight w:val="290"/>
        </w:trPr>
        <w:tc>
          <w:tcPr>
            <w:tcW w:w="3330" w:type="dxa"/>
            <w:tcBorders>
              <w:top w:val="nil"/>
              <w:left w:val="nil"/>
              <w:bottom w:val="nil"/>
              <w:right w:val="nil"/>
            </w:tcBorders>
            <w:shd w:val="clear" w:color="auto" w:fill="auto"/>
            <w:noWrap/>
            <w:vAlign w:val="bottom"/>
            <w:hideMark/>
          </w:tcPr>
          <w:p w:rsidR="003208D3" w:rsidRPr="003208D3" w:rsidRDefault="003208D3" w:rsidP="003208D3">
            <w:pPr>
              <w:rPr>
                <w:rFonts w:ascii="Calibri" w:hAnsi="Calibri" w:cs="Calibri"/>
                <w:color w:val="000000"/>
              </w:rPr>
            </w:pPr>
            <w:r w:rsidRPr="003208D3">
              <w:rPr>
                <w:rFonts w:ascii="Calibri" w:hAnsi="Calibri" w:cs="Calibri"/>
                <w:color w:val="000000"/>
              </w:rPr>
              <w:t>Medicaid x Uninsured x 2010</w:t>
            </w:r>
          </w:p>
        </w:tc>
        <w:tc>
          <w:tcPr>
            <w:tcW w:w="1129"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0.000906</w:t>
            </w: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-0.00774</w:t>
            </w: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0.0141</w:t>
            </w:r>
          </w:p>
        </w:tc>
        <w:tc>
          <w:tcPr>
            <w:tcW w:w="1483"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1.497</w:t>
            </w:r>
          </w:p>
        </w:tc>
      </w:tr>
      <w:tr w:rsidR="003208D3" w:rsidRPr="003208D3" w:rsidTr="000604AD">
        <w:trPr>
          <w:trHeight w:val="290"/>
        </w:trPr>
        <w:tc>
          <w:tcPr>
            <w:tcW w:w="3330"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p>
        </w:tc>
        <w:tc>
          <w:tcPr>
            <w:tcW w:w="1129"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(0.0688)</w:t>
            </w: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(0.0271)</w:t>
            </w: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(0.0237)</w:t>
            </w:r>
          </w:p>
        </w:tc>
        <w:tc>
          <w:tcPr>
            <w:tcW w:w="1483"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(0.9147)</w:t>
            </w:r>
          </w:p>
        </w:tc>
      </w:tr>
      <w:tr w:rsidR="003208D3" w:rsidRPr="003208D3" w:rsidTr="000604AD">
        <w:trPr>
          <w:trHeight w:val="200"/>
        </w:trPr>
        <w:tc>
          <w:tcPr>
            <w:tcW w:w="3330"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p>
        </w:tc>
        <w:tc>
          <w:tcPr>
            <w:tcW w:w="1129" w:type="dxa"/>
            <w:tcBorders>
              <w:top w:val="nil"/>
              <w:left w:val="nil"/>
              <w:bottom w:val="nil"/>
              <w:right w:val="nil"/>
            </w:tcBorders>
            <w:shd w:val="clear" w:color="auto" w:fill="auto"/>
            <w:noWrap/>
            <w:vAlign w:val="bottom"/>
            <w:hideMark/>
          </w:tcPr>
          <w:p w:rsidR="003208D3" w:rsidRPr="003208D3" w:rsidRDefault="003208D3" w:rsidP="003208D3">
            <w:pPr>
              <w:rPr>
                <w:sz w:val="20"/>
                <w:szCs w:val="20"/>
              </w:rPr>
            </w:pP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sz w:val="20"/>
                <w:szCs w:val="20"/>
              </w:rPr>
            </w:pP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sz w:val="20"/>
                <w:szCs w:val="20"/>
              </w:rPr>
            </w:pPr>
          </w:p>
        </w:tc>
        <w:tc>
          <w:tcPr>
            <w:tcW w:w="1483" w:type="dxa"/>
            <w:tcBorders>
              <w:top w:val="nil"/>
              <w:left w:val="nil"/>
              <w:bottom w:val="nil"/>
              <w:right w:val="nil"/>
            </w:tcBorders>
            <w:shd w:val="clear" w:color="auto" w:fill="auto"/>
            <w:noWrap/>
            <w:vAlign w:val="bottom"/>
            <w:hideMark/>
          </w:tcPr>
          <w:p w:rsidR="003208D3" w:rsidRPr="003208D3" w:rsidRDefault="003208D3" w:rsidP="003208D3">
            <w:pPr>
              <w:jc w:val="center"/>
              <w:rPr>
                <w:sz w:val="20"/>
                <w:szCs w:val="20"/>
              </w:rPr>
            </w:pPr>
          </w:p>
        </w:tc>
      </w:tr>
      <w:tr w:rsidR="003208D3" w:rsidRPr="003208D3" w:rsidTr="000604AD">
        <w:trPr>
          <w:trHeight w:val="290"/>
        </w:trPr>
        <w:tc>
          <w:tcPr>
            <w:tcW w:w="3330" w:type="dxa"/>
            <w:tcBorders>
              <w:top w:val="nil"/>
              <w:left w:val="nil"/>
              <w:bottom w:val="nil"/>
              <w:right w:val="nil"/>
            </w:tcBorders>
            <w:shd w:val="clear" w:color="auto" w:fill="auto"/>
            <w:noWrap/>
            <w:vAlign w:val="bottom"/>
            <w:hideMark/>
          </w:tcPr>
          <w:p w:rsidR="003208D3" w:rsidRPr="003208D3" w:rsidRDefault="003208D3" w:rsidP="003208D3">
            <w:pPr>
              <w:rPr>
                <w:rFonts w:ascii="Calibri" w:hAnsi="Calibri" w:cs="Calibri"/>
                <w:color w:val="000000"/>
              </w:rPr>
            </w:pPr>
            <w:r w:rsidRPr="003208D3">
              <w:rPr>
                <w:rFonts w:ascii="Calibri" w:hAnsi="Calibri" w:cs="Calibri"/>
                <w:color w:val="000000"/>
              </w:rPr>
              <w:t>Medicaid x Uninsured x 2011</w:t>
            </w:r>
          </w:p>
        </w:tc>
        <w:tc>
          <w:tcPr>
            <w:tcW w:w="1129"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-0.0718</w:t>
            </w: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-0.00233</w:t>
            </w: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0.00197</w:t>
            </w:r>
          </w:p>
        </w:tc>
        <w:tc>
          <w:tcPr>
            <w:tcW w:w="1483"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0.772</w:t>
            </w:r>
          </w:p>
        </w:tc>
      </w:tr>
      <w:tr w:rsidR="003208D3" w:rsidRPr="003208D3" w:rsidTr="000604AD">
        <w:trPr>
          <w:trHeight w:val="290"/>
        </w:trPr>
        <w:tc>
          <w:tcPr>
            <w:tcW w:w="3330"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p>
        </w:tc>
        <w:tc>
          <w:tcPr>
            <w:tcW w:w="1129"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(0.0603)</w:t>
            </w: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(0.0410)</w:t>
            </w: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(0.0220)</w:t>
            </w:r>
          </w:p>
        </w:tc>
        <w:tc>
          <w:tcPr>
            <w:tcW w:w="1483"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(0.6932)</w:t>
            </w:r>
          </w:p>
        </w:tc>
      </w:tr>
      <w:tr w:rsidR="003208D3" w:rsidRPr="003208D3" w:rsidTr="000604AD">
        <w:trPr>
          <w:trHeight w:val="200"/>
        </w:trPr>
        <w:tc>
          <w:tcPr>
            <w:tcW w:w="3330"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p>
        </w:tc>
        <w:tc>
          <w:tcPr>
            <w:tcW w:w="1129" w:type="dxa"/>
            <w:tcBorders>
              <w:top w:val="nil"/>
              <w:left w:val="nil"/>
              <w:bottom w:val="nil"/>
              <w:right w:val="nil"/>
            </w:tcBorders>
            <w:shd w:val="clear" w:color="auto" w:fill="auto"/>
            <w:noWrap/>
            <w:vAlign w:val="bottom"/>
            <w:hideMark/>
          </w:tcPr>
          <w:p w:rsidR="003208D3" w:rsidRPr="003208D3" w:rsidRDefault="003208D3" w:rsidP="003208D3">
            <w:pPr>
              <w:rPr>
                <w:sz w:val="20"/>
                <w:szCs w:val="20"/>
              </w:rPr>
            </w:pP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sz w:val="20"/>
                <w:szCs w:val="20"/>
              </w:rPr>
            </w:pP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sz w:val="20"/>
                <w:szCs w:val="20"/>
              </w:rPr>
            </w:pPr>
          </w:p>
        </w:tc>
        <w:tc>
          <w:tcPr>
            <w:tcW w:w="1483" w:type="dxa"/>
            <w:tcBorders>
              <w:top w:val="nil"/>
              <w:left w:val="nil"/>
              <w:bottom w:val="nil"/>
              <w:right w:val="nil"/>
            </w:tcBorders>
            <w:shd w:val="clear" w:color="auto" w:fill="auto"/>
            <w:noWrap/>
            <w:vAlign w:val="bottom"/>
            <w:hideMark/>
          </w:tcPr>
          <w:p w:rsidR="003208D3" w:rsidRPr="003208D3" w:rsidRDefault="003208D3" w:rsidP="003208D3">
            <w:pPr>
              <w:jc w:val="center"/>
              <w:rPr>
                <w:sz w:val="20"/>
                <w:szCs w:val="20"/>
              </w:rPr>
            </w:pPr>
          </w:p>
        </w:tc>
      </w:tr>
      <w:tr w:rsidR="003208D3" w:rsidRPr="003208D3" w:rsidTr="000604AD">
        <w:trPr>
          <w:trHeight w:val="290"/>
        </w:trPr>
        <w:tc>
          <w:tcPr>
            <w:tcW w:w="3330" w:type="dxa"/>
            <w:tcBorders>
              <w:top w:val="nil"/>
              <w:left w:val="nil"/>
              <w:bottom w:val="nil"/>
              <w:right w:val="nil"/>
            </w:tcBorders>
            <w:shd w:val="clear" w:color="auto" w:fill="auto"/>
            <w:noWrap/>
            <w:vAlign w:val="bottom"/>
            <w:hideMark/>
          </w:tcPr>
          <w:p w:rsidR="003208D3" w:rsidRPr="003208D3" w:rsidRDefault="003208D3" w:rsidP="003208D3">
            <w:pPr>
              <w:rPr>
                <w:rFonts w:ascii="Calibri" w:hAnsi="Calibri" w:cs="Calibri"/>
                <w:color w:val="000000"/>
              </w:rPr>
            </w:pPr>
            <w:r w:rsidRPr="003208D3">
              <w:rPr>
                <w:rFonts w:ascii="Calibri" w:hAnsi="Calibri" w:cs="Calibri"/>
                <w:color w:val="000000"/>
              </w:rPr>
              <w:t>Medicaid x Uninsured x 2012</w:t>
            </w:r>
          </w:p>
        </w:tc>
        <w:tc>
          <w:tcPr>
            <w:tcW w:w="1129"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0.000455</w:t>
            </w: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0.000476</w:t>
            </w: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-0.0169</w:t>
            </w:r>
          </w:p>
        </w:tc>
        <w:tc>
          <w:tcPr>
            <w:tcW w:w="1483"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1.176</w:t>
            </w:r>
          </w:p>
        </w:tc>
      </w:tr>
      <w:tr w:rsidR="003208D3" w:rsidRPr="003208D3" w:rsidTr="000604AD">
        <w:trPr>
          <w:trHeight w:val="290"/>
        </w:trPr>
        <w:tc>
          <w:tcPr>
            <w:tcW w:w="3330"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p>
        </w:tc>
        <w:tc>
          <w:tcPr>
            <w:tcW w:w="1129"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(0.0615)</w:t>
            </w: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(0.0255)</w:t>
            </w: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(0.0273)</w:t>
            </w:r>
          </w:p>
        </w:tc>
        <w:tc>
          <w:tcPr>
            <w:tcW w:w="1483"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(0.7937)</w:t>
            </w:r>
          </w:p>
        </w:tc>
      </w:tr>
      <w:tr w:rsidR="003208D3" w:rsidRPr="003208D3" w:rsidTr="000604AD">
        <w:trPr>
          <w:trHeight w:val="200"/>
        </w:trPr>
        <w:tc>
          <w:tcPr>
            <w:tcW w:w="3330"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p>
        </w:tc>
        <w:tc>
          <w:tcPr>
            <w:tcW w:w="1129" w:type="dxa"/>
            <w:tcBorders>
              <w:top w:val="nil"/>
              <w:left w:val="nil"/>
              <w:bottom w:val="nil"/>
              <w:right w:val="nil"/>
            </w:tcBorders>
            <w:shd w:val="clear" w:color="auto" w:fill="auto"/>
            <w:noWrap/>
            <w:vAlign w:val="bottom"/>
            <w:hideMark/>
          </w:tcPr>
          <w:p w:rsidR="003208D3" w:rsidRPr="003208D3" w:rsidRDefault="003208D3" w:rsidP="003208D3">
            <w:pPr>
              <w:rPr>
                <w:sz w:val="20"/>
                <w:szCs w:val="20"/>
              </w:rPr>
            </w:pP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sz w:val="20"/>
                <w:szCs w:val="20"/>
              </w:rPr>
            </w:pP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sz w:val="20"/>
                <w:szCs w:val="20"/>
              </w:rPr>
            </w:pPr>
          </w:p>
        </w:tc>
        <w:tc>
          <w:tcPr>
            <w:tcW w:w="1483" w:type="dxa"/>
            <w:tcBorders>
              <w:top w:val="nil"/>
              <w:left w:val="nil"/>
              <w:bottom w:val="nil"/>
              <w:right w:val="nil"/>
            </w:tcBorders>
            <w:shd w:val="clear" w:color="auto" w:fill="auto"/>
            <w:noWrap/>
            <w:vAlign w:val="bottom"/>
            <w:hideMark/>
          </w:tcPr>
          <w:p w:rsidR="003208D3" w:rsidRPr="003208D3" w:rsidRDefault="003208D3" w:rsidP="003208D3">
            <w:pPr>
              <w:jc w:val="center"/>
              <w:rPr>
                <w:sz w:val="20"/>
                <w:szCs w:val="20"/>
              </w:rPr>
            </w:pPr>
          </w:p>
        </w:tc>
      </w:tr>
      <w:tr w:rsidR="003208D3" w:rsidRPr="003208D3" w:rsidTr="000604AD">
        <w:trPr>
          <w:trHeight w:val="290"/>
        </w:trPr>
        <w:tc>
          <w:tcPr>
            <w:tcW w:w="3330" w:type="dxa"/>
            <w:tcBorders>
              <w:top w:val="nil"/>
              <w:left w:val="nil"/>
              <w:bottom w:val="nil"/>
              <w:right w:val="nil"/>
            </w:tcBorders>
            <w:shd w:val="clear" w:color="auto" w:fill="auto"/>
            <w:noWrap/>
            <w:vAlign w:val="bottom"/>
            <w:hideMark/>
          </w:tcPr>
          <w:p w:rsidR="003208D3" w:rsidRPr="003208D3" w:rsidRDefault="003208D3" w:rsidP="003208D3">
            <w:pPr>
              <w:rPr>
                <w:rFonts w:ascii="Calibri" w:hAnsi="Calibri" w:cs="Calibri"/>
                <w:color w:val="000000"/>
              </w:rPr>
            </w:pPr>
            <w:r w:rsidRPr="003208D3">
              <w:rPr>
                <w:rFonts w:ascii="Calibri" w:hAnsi="Calibri" w:cs="Calibri"/>
                <w:color w:val="000000"/>
              </w:rPr>
              <w:t>Medicaid x Uninsured x 2014</w:t>
            </w:r>
          </w:p>
        </w:tc>
        <w:tc>
          <w:tcPr>
            <w:tcW w:w="1129"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-0.0602</w:t>
            </w: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0.00305</w:t>
            </w: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-0.0260</w:t>
            </w:r>
          </w:p>
        </w:tc>
        <w:tc>
          <w:tcPr>
            <w:tcW w:w="1483"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1.510**</w:t>
            </w:r>
          </w:p>
        </w:tc>
      </w:tr>
      <w:tr w:rsidR="003208D3" w:rsidRPr="003208D3" w:rsidTr="000604AD">
        <w:trPr>
          <w:trHeight w:val="290"/>
        </w:trPr>
        <w:tc>
          <w:tcPr>
            <w:tcW w:w="3330"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p>
        </w:tc>
        <w:tc>
          <w:tcPr>
            <w:tcW w:w="1129"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(0.0599)</w:t>
            </w: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(0.0356)</w:t>
            </w: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(0.0209)</w:t>
            </w:r>
          </w:p>
        </w:tc>
        <w:tc>
          <w:tcPr>
            <w:tcW w:w="1483"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(0.6496)</w:t>
            </w:r>
          </w:p>
        </w:tc>
      </w:tr>
      <w:tr w:rsidR="003208D3" w:rsidRPr="003208D3" w:rsidTr="000604AD">
        <w:trPr>
          <w:trHeight w:val="200"/>
        </w:trPr>
        <w:tc>
          <w:tcPr>
            <w:tcW w:w="3330"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p>
        </w:tc>
        <w:tc>
          <w:tcPr>
            <w:tcW w:w="1129" w:type="dxa"/>
            <w:tcBorders>
              <w:top w:val="nil"/>
              <w:left w:val="nil"/>
              <w:bottom w:val="nil"/>
              <w:right w:val="nil"/>
            </w:tcBorders>
            <w:shd w:val="clear" w:color="auto" w:fill="auto"/>
            <w:noWrap/>
            <w:vAlign w:val="bottom"/>
            <w:hideMark/>
          </w:tcPr>
          <w:p w:rsidR="003208D3" w:rsidRPr="003208D3" w:rsidRDefault="003208D3" w:rsidP="003208D3">
            <w:pPr>
              <w:rPr>
                <w:sz w:val="20"/>
                <w:szCs w:val="20"/>
              </w:rPr>
            </w:pP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sz w:val="20"/>
                <w:szCs w:val="20"/>
              </w:rPr>
            </w:pP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sz w:val="20"/>
                <w:szCs w:val="20"/>
              </w:rPr>
            </w:pPr>
          </w:p>
        </w:tc>
        <w:tc>
          <w:tcPr>
            <w:tcW w:w="1483" w:type="dxa"/>
            <w:tcBorders>
              <w:top w:val="nil"/>
              <w:left w:val="nil"/>
              <w:bottom w:val="nil"/>
              <w:right w:val="nil"/>
            </w:tcBorders>
            <w:shd w:val="clear" w:color="auto" w:fill="auto"/>
            <w:noWrap/>
            <w:vAlign w:val="bottom"/>
            <w:hideMark/>
          </w:tcPr>
          <w:p w:rsidR="003208D3" w:rsidRPr="003208D3" w:rsidRDefault="003208D3" w:rsidP="003208D3">
            <w:pPr>
              <w:jc w:val="center"/>
              <w:rPr>
                <w:sz w:val="20"/>
                <w:szCs w:val="20"/>
              </w:rPr>
            </w:pPr>
          </w:p>
        </w:tc>
      </w:tr>
      <w:tr w:rsidR="003208D3" w:rsidRPr="003208D3" w:rsidTr="000604AD">
        <w:trPr>
          <w:trHeight w:val="290"/>
        </w:trPr>
        <w:tc>
          <w:tcPr>
            <w:tcW w:w="3330" w:type="dxa"/>
            <w:tcBorders>
              <w:top w:val="nil"/>
              <w:left w:val="nil"/>
              <w:bottom w:val="nil"/>
              <w:right w:val="nil"/>
            </w:tcBorders>
            <w:shd w:val="clear" w:color="auto" w:fill="auto"/>
            <w:noWrap/>
            <w:vAlign w:val="bottom"/>
            <w:hideMark/>
          </w:tcPr>
          <w:p w:rsidR="003208D3" w:rsidRPr="003208D3" w:rsidRDefault="003208D3" w:rsidP="003208D3">
            <w:pPr>
              <w:rPr>
                <w:rFonts w:ascii="Calibri" w:hAnsi="Calibri" w:cs="Calibri"/>
                <w:color w:val="000000"/>
              </w:rPr>
            </w:pPr>
            <w:r w:rsidRPr="003208D3">
              <w:rPr>
                <w:rFonts w:ascii="Calibri" w:hAnsi="Calibri" w:cs="Calibri"/>
                <w:color w:val="000000"/>
              </w:rPr>
              <w:t>Medicaid x Uninsured x 2015</w:t>
            </w:r>
          </w:p>
        </w:tc>
        <w:tc>
          <w:tcPr>
            <w:tcW w:w="1129"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-0.0499</w:t>
            </w: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-0.0325</w:t>
            </w: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-0.0221</w:t>
            </w:r>
          </w:p>
        </w:tc>
        <w:tc>
          <w:tcPr>
            <w:tcW w:w="1483"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-0.220</w:t>
            </w:r>
          </w:p>
        </w:tc>
      </w:tr>
      <w:tr w:rsidR="003208D3" w:rsidRPr="003208D3" w:rsidTr="000604AD">
        <w:trPr>
          <w:trHeight w:val="290"/>
        </w:trPr>
        <w:tc>
          <w:tcPr>
            <w:tcW w:w="3330"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p>
        </w:tc>
        <w:tc>
          <w:tcPr>
            <w:tcW w:w="1129"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(0.0624)</w:t>
            </w: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(0.0459)</w:t>
            </w: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(0.0224)</w:t>
            </w:r>
          </w:p>
        </w:tc>
        <w:tc>
          <w:tcPr>
            <w:tcW w:w="1483"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(0.7927)</w:t>
            </w:r>
          </w:p>
        </w:tc>
      </w:tr>
      <w:tr w:rsidR="003208D3" w:rsidRPr="003208D3" w:rsidTr="000604AD">
        <w:trPr>
          <w:trHeight w:val="200"/>
        </w:trPr>
        <w:tc>
          <w:tcPr>
            <w:tcW w:w="3330"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p>
        </w:tc>
        <w:tc>
          <w:tcPr>
            <w:tcW w:w="1129" w:type="dxa"/>
            <w:tcBorders>
              <w:top w:val="nil"/>
              <w:left w:val="nil"/>
              <w:bottom w:val="nil"/>
              <w:right w:val="nil"/>
            </w:tcBorders>
            <w:shd w:val="clear" w:color="auto" w:fill="auto"/>
            <w:noWrap/>
            <w:vAlign w:val="bottom"/>
            <w:hideMark/>
          </w:tcPr>
          <w:p w:rsidR="003208D3" w:rsidRPr="003208D3" w:rsidRDefault="003208D3" w:rsidP="003208D3">
            <w:pPr>
              <w:rPr>
                <w:sz w:val="20"/>
                <w:szCs w:val="20"/>
              </w:rPr>
            </w:pP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sz w:val="20"/>
                <w:szCs w:val="20"/>
              </w:rPr>
            </w:pP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sz w:val="20"/>
                <w:szCs w:val="20"/>
              </w:rPr>
            </w:pPr>
          </w:p>
        </w:tc>
        <w:tc>
          <w:tcPr>
            <w:tcW w:w="1483" w:type="dxa"/>
            <w:tcBorders>
              <w:top w:val="nil"/>
              <w:left w:val="nil"/>
              <w:bottom w:val="nil"/>
              <w:right w:val="nil"/>
            </w:tcBorders>
            <w:shd w:val="clear" w:color="auto" w:fill="auto"/>
            <w:noWrap/>
            <w:vAlign w:val="bottom"/>
            <w:hideMark/>
          </w:tcPr>
          <w:p w:rsidR="003208D3" w:rsidRPr="003208D3" w:rsidRDefault="003208D3" w:rsidP="003208D3">
            <w:pPr>
              <w:jc w:val="center"/>
              <w:rPr>
                <w:sz w:val="20"/>
                <w:szCs w:val="20"/>
              </w:rPr>
            </w:pPr>
          </w:p>
        </w:tc>
      </w:tr>
      <w:tr w:rsidR="003208D3" w:rsidRPr="003208D3" w:rsidTr="000604AD">
        <w:trPr>
          <w:trHeight w:val="290"/>
        </w:trPr>
        <w:tc>
          <w:tcPr>
            <w:tcW w:w="3330" w:type="dxa"/>
            <w:tcBorders>
              <w:top w:val="nil"/>
              <w:left w:val="nil"/>
              <w:bottom w:val="nil"/>
              <w:right w:val="nil"/>
            </w:tcBorders>
            <w:shd w:val="clear" w:color="auto" w:fill="auto"/>
            <w:noWrap/>
            <w:vAlign w:val="bottom"/>
            <w:hideMark/>
          </w:tcPr>
          <w:p w:rsidR="003208D3" w:rsidRPr="003208D3" w:rsidRDefault="003208D3" w:rsidP="003208D3">
            <w:pPr>
              <w:rPr>
                <w:rFonts w:ascii="Calibri" w:hAnsi="Calibri" w:cs="Calibri"/>
                <w:color w:val="000000"/>
              </w:rPr>
            </w:pPr>
            <w:r w:rsidRPr="003208D3">
              <w:rPr>
                <w:rFonts w:ascii="Calibri" w:hAnsi="Calibri" w:cs="Calibri"/>
                <w:color w:val="000000"/>
              </w:rPr>
              <w:t>Medicaid x Uninsured x 2016</w:t>
            </w:r>
          </w:p>
        </w:tc>
        <w:tc>
          <w:tcPr>
            <w:tcW w:w="1129"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-0.0531</w:t>
            </w: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-0.000547</w:t>
            </w:r>
          </w:p>
        </w:tc>
        <w:tc>
          <w:tcPr>
            <w:tcW w:w="0" w:type="auto"/>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0.0134</w:t>
            </w:r>
          </w:p>
        </w:tc>
        <w:tc>
          <w:tcPr>
            <w:tcW w:w="1483" w:type="dxa"/>
            <w:tcBorders>
              <w:top w:val="nil"/>
              <w:left w:val="nil"/>
              <w:bottom w:val="nil"/>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-0.597</w:t>
            </w:r>
          </w:p>
        </w:tc>
      </w:tr>
      <w:tr w:rsidR="003208D3" w:rsidRPr="003208D3" w:rsidTr="000604AD">
        <w:trPr>
          <w:trHeight w:val="290"/>
        </w:trPr>
        <w:tc>
          <w:tcPr>
            <w:tcW w:w="3330" w:type="dxa"/>
            <w:tcBorders>
              <w:top w:val="nil"/>
              <w:left w:val="nil"/>
              <w:bottom w:val="single" w:sz="4" w:space="0" w:color="auto"/>
              <w:right w:val="nil"/>
            </w:tcBorders>
            <w:shd w:val="clear" w:color="auto" w:fill="auto"/>
            <w:noWrap/>
            <w:vAlign w:val="bottom"/>
            <w:hideMark/>
          </w:tcPr>
          <w:p w:rsidR="003208D3" w:rsidRPr="003208D3" w:rsidRDefault="003208D3" w:rsidP="003208D3">
            <w:pPr>
              <w:rPr>
                <w:rFonts w:ascii="Calibri" w:hAnsi="Calibri" w:cs="Calibri"/>
                <w:color w:val="000000"/>
              </w:rPr>
            </w:pPr>
            <w:r w:rsidRPr="003208D3">
              <w:rPr>
                <w:rFonts w:ascii="Calibri" w:hAnsi="Calibri" w:cs="Calibri"/>
                <w:color w:val="000000"/>
              </w:rPr>
              <w:t> </w:t>
            </w:r>
          </w:p>
        </w:tc>
        <w:tc>
          <w:tcPr>
            <w:tcW w:w="1129" w:type="dxa"/>
            <w:tcBorders>
              <w:top w:val="nil"/>
              <w:left w:val="nil"/>
              <w:bottom w:val="single" w:sz="4" w:space="0" w:color="auto"/>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(0.0618)</w:t>
            </w:r>
          </w:p>
        </w:tc>
        <w:tc>
          <w:tcPr>
            <w:tcW w:w="0" w:type="auto"/>
            <w:tcBorders>
              <w:top w:val="nil"/>
              <w:left w:val="nil"/>
              <w:bottom w:val="single" w:sz="4" w:space="0" w:color="auto"/>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(0.0384)</w:t>
            </w:r>
          </w:p>
        </w:tc>
        <w:tc>
          <w:tcPr>
            <w:tcW w:w="0" w:type="auto"/>
            <w:tcBorders>
              <w:top w:val="nil"/>
              <w:left w:val="nil"/>
              <w:bottom w:val="single" w:sz="4" w:space="0" w:color="auto"/>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(0.0307)</w:t>
            </w:r>
          </w:p>
        </w:tc>
        <w:tc>
          <w:tcPr>
            <w:tcW w:w="1483" w:type="dxa"/>
            <w:tcBorders>
              <w:top w:val="nil"/>
              <w:left w:val="nil"/>
              <w:bottom w:val="single" w:sz="4" w:space="0" w:color="auto"/>
              <w:right w:val="nil"/>
            </w:tcBorders>
            <w:shd w:val="clear" w:color="auto" w:fill="auto"/>
            <w:noWrap/>
            <w:vAlign w:val="bottom"/>
            <w:hideMark/>
          </w:tcPr>
          <w:p w:rsidR="003208D3" w:rsidRPr="003208D3" w:rsidRDefault="003208D3" w:rsidP="003208D3">
            <w:pPr>
              <w:jc w:val="center"/>
              <w:rPr>
                <w:rFonts w:ascii="Calibri" w:hAnsi="Calibri" w:cs="Calibri"/>
                <w:color w:val="000000"/>
              </w:rPr>
            </w:pPr>
            <w:r w:rsidRPr="003208D3">
              <w:rPr>
                <w:rFonts w:ascii="Calibri" w:hAnsi="Calibri" w:cs="Calibri"/>
                <w:color w:val="000000"/>
              </w:rPr>
              <w:t>(1.0427)</w:t>
            </w:r>
          </w:p>
        </w:tc>
      </w:tr>
    </w:tbl>
    <w:p w:rsidR="000B2553" w:rsidRDefault="000B2553" w:rsidP="000B2553">
      <w:pPr>
        <w:spacing w:line="276" w:lineRule="auto"/>
        <w:rPr>
          <w:sz w:val="16"/>
          <w:szCs w:val="16"/>
        </w:rPr>
      </w:pPr>
      <w:r w:rsidRPr="005A43BD">
        <w:rPr>
          <w:i/>
          <w:sz w:val="16"/>
          <w:szCs w:val="16"/>
        </w:rPr>
        <w:t xml:space="preserve">Notes: </w:t>
      </w:r>
      <w:r>
        <w:rPr>
          <w:sz w:val="16"/>
          <w:szCs w:val="16"/>
        </w:rPr>
        <w:t>Standard errors, heteroskedasticity-robust and clustered at the state level, are in parentheses. *** Denotes statistical significance at 1 percent level, ** Denotes statistical significance at 5 percent level,</w:t>
      </w:r>
      <w:r w:rsidRPr="005A43BD">
        <w:rPr>
          <w:sz w:val="16"/>
          <w:szCs w:val="16"/>
        </w:rPr>
        <w:t xml:space="preserve"> </w:t>
      </w:r>
      <w:r>
        <w:rPr>
          <w:sz w:val="16"/>
          <w:szCs w:val="16"/>
        </w:rPr>
        <w:t>* Denotes statistical significance at 10 percent level</w:t>
      </w:r>
    </w:p>
    <w:p w:rsidR="00DA3196" w:rsidRDefault="00DA3196" w:rsidP="003208D3">
      <w:pPr>
        <w:spacing w:line="276" w:lineRule="auto"/>
        <w:rPr>
          <w:b/>
          <w:u w:val="single"/>
        </w:rPr>
      </w:pPr>
    </w:p>
    <w:p w:rsidR="00743281" w:rsidRDefault="00743281" w:rsidP="003208D3">
      <w:pPr>
        <w:spacing w:line="276" w:lineRule="auto"/>
        <w:rPr>
          <w:b/>
          <w:u w:val="single"/>
        </w:rPr>
      </w:pPr>
    </w:p>
    <w:p w:rsidR="00743281" w:rsidRPr="0008399B" w:rsidRDefault="00743281" w:rsidP="007A67E2">
      <w:pPr>
        <w:spacing w:line="480" w:lineRule="auto"/>
        <w:ind w:firstLine="720"/>
      </w:pPr>
      <w:r>
        <w:lastRenderedPageBreak/>
        <w:t xml:space="preserve">In order to </w:t>
      </w:r>
      <w:r w:rsidR="0064616E">
        <w:t>verify</w:t>
      </w:r>
      <w:r>
        <w:t xml:space="preserve"> </w:t>
      </w:r>
      <w:r w:rsidR="0064616E">
        <w:t>that</w:t>
      </w:r>
      <w:r>
        <w:t xml:space="preserve"> any </w:t>
      </w:r>
      <w:r w:rsidR="001F6E50">
        <w:t>estimated</w:t>
      </w:r>
      <w:r w:rsidR="007A47F4">
        <w:t xml:space="preserve"> </w:t>
      </w:r>
      <w:r>
        <w:t xml:space="preserve">effects are </w:t>
      </w:r>
      <w:r w:rsidR="0064616E">
        <w:t xml:space="preserve">not </w:t>
      </w:r>
      <w:r>
        <w:t xml:space="preserve">a result of some confounding event, concurrent with the 2014 ACA rollout and Medicaid expansion, I conduct a placebo test by estimating my main specification (2) on seniors. </w:t>
      </w:r>
      <w:r w:rsidR="00201F4B">
        <w:t>Given that seniors (age 65+) all have access to public health</w:t>
      </w:r>
      <w:r w:rsidR="00C67879">
        <w:t xml:space="preserve"> insurance</w:t>
      </w:r>
      <w:r w:rsidR="00201F4B">
        <w:t xml:space="preserve"> already (Medicare) it is hard to imagine that they would be </w:t>
      </w:r>
      <w:r w:rsidR="000C1D33">
        <w:t>substantially</w:t>
      </w:r>
      <w:r w:rsidR="00201F4B">
        <w:t xml:space="preserve"> affected by an expansion of public or private health insurance. </w:t>
      </w:r>
      <w:r w:rsidR="00053D3F">
        <w:t>Therefore, estimates for seniors should be zero/insignificant. If not, I am likely detecti</w:t>
      </w:r>
      <w:r w:rsidR="00292B78">
        <w:t>ng a confounding event</w:t>
      </w:r>
      <w:r w:rsidR="00053D3F">
        <w:t xml:space="preserve">. </w:t>
      </w:r>
      <w:r w:rsidR="00E67EE1">
        <w:t xml:space="preserve">Table </w:t>
      </w:r>
      <w:r w:rsidR="00F01F41">
        <w:t>7</w:t>
      </w:r>
      <w:r w:rsidR="00E67EE1">
        <w:t xml:space="preserve"> prese</w:t>
      </w:r>
      <w:r w:rsidR="00D63C8C">
        <w:t xml:space="preserve">nts DiDiD estimates for seniors. </w:t>
      </w:r>
      <w:r w:rsidR="008E27BE">
        <w:t xml:space="preserve">All estimates are near-zero and insignificant, with the exception of the estimates on wages. </w:t>
      </w:r>
      <w:r w:rsidR="008349C9">
        <w:t>Although these coefficients are sizable in magnitude, they are insignificant and the opposite sign from many of my main sa</w:t>
      </w:r>
      <w:r w:rsidR="002E3141">
        <w:t>mple &amp; heterogeneity estimates, suggesting that they are likely just noise.</w:t>
      </w:r>
      <w:r w:rsidR="0008399B">
        <w:t xml:space="preserve"> Even the estimate of the non-Medicaid effect on wages, which is the largest in magnitude and the closest to statistical significance, mostly fails the parallel trends falsification test (see table A10). These results are more or less in line with expectations (null results) and give me some confidence that I am not detectin</w:t>
      </w:r>
      <w:r w:rsidR="005251F1">
        <w:t>g</w:t>
      </w:r>
      <w:r w:rsidR="0008399B">
        <w:t xml:space="preserve"> a confounding event</w:t>
      </w:r>
      <w:r w:rsidR="005251F1">
        <w:t xml:space="preserve">. </w:t>
      </w:r>
    </w:p>
    <w:p w:rsidR="00743281" w:rsidRDefault="00743281" w:rsidP="003208D3">
      <w:pPr>
        <w:spacing w:line="276" w:lineRule="auto"/>
        <w:rPr>
          <w:b/>
          <w:u w:val="single"/>
        </w:rPr>
      </w:pPr>
    </w:p>
    <w:p w:rsidR="00743281" w:rsidRDefault="00743281" w:rsidP="003208D3">
      <w:pPr>
        <w:spacing w:line="276" w:lineRule="auto"/>
        <w:rPr>
          <w:b/>
          <w:u w:val="single"/>
        </w:rPr>
      </w:pPr>
    </w:p>
    <w:p w:rsidR="00095380" w:rsidRDefault="00095380" w:rsidP="003208D3">
      <w:pPr>
        <w:spacing w:line="276" w:lineRule="auto"/>
        <w:rPr>
          <w:b/>
          <w:u w:val="single"/>
        </w:rPr>
      </w:pPr>
    </w:p>
    <w:p w:rsidR="00743281" w:rsidRDefault="00743281" w:rsidP="003208D3">
      <w:pPr>
        <w:spacing w:line="276" w:lineRule="auto"/>
        <w:rPr>
          <w:b/>
          <w:u w:val="single"/>
        </w:rPr>
      </w:pPr>
    </w:p>
    <w:tbl>
      <w:tblPr>
        <w:tblW w:w="0" w:type="auto"/>
        <w:tblLook w:val="04A0" w:firstRow="1" w:lastRow="0" w:firstColumn="1" w:lastColumn="0" w:noHBand="0" w:noVBand="1"/>
      </w:tblPr>
      <w:tblGrid>
        <w:gridCol w:w="3870"/>
        <w:gridCol w:w="1080"/>
        <w:gridCol w:w="1710"/>
        <w:gridCol w:w="1260"/>
        <w:gridCol w:w="1440"/>
      </w:tblGrid>
      <w:tr w:rsidR="00EA1869" w:rsidRPr="00EA1869" w:rsidTr="00EA1869">
        <w:trPr>
          <w:trHeight w:val="290"/>
        </w:trPr>
        <w:tc>
          <w:tcPr>
            <w:tcW w:w="0" w:type="auto"/>
            <w:gridSpan w:val="5"/>
            <w:tcBorders>
              <w:top w:val="nil"/>
              <w:left w:val="nil"/>
              <w:bottom w:val="single" w:sz="4" w:space="0" w:color="auto"/>
              <w:right w:val="nil"/>
            </w:tcBorders>
            <w:shd w:val="clear" w:color="auto" w:fill="auto"/>
            <w:vAlign w:val="bottom"/>
            <w:hideMark/>
          </w:tcPr>
          <w:p w:rsidR="00EA1869" w:rsidRPr="00EA1869" w:rsidRDefault="00EA1869" w:rsidP="00EA1869">
            <w:pPr>
              <w:jc w:val="center"/>
              <w:rPr>
                <w:rFonts w:ascii="Calibri" w:hAnsi="Calibri" w:cs="Calibri"/>
                <w:b/>
                <w:bCs/>
                <w:color w:val="000000"/>
                <w:sz w:val="22"/>
                <w:szCs w:val="22"/>
                <w:u w:val="single"/>
              </w:rPr>
            </w:pPr>
            <w:r w:rsidRPr="00EA1869">
              <w:rPr>
                <w:rFonts w:ascii="Calibri" w:hAnsi="Calibri" w:cs="Calibri"/>
                <w:b/>
                <w:bCs/>
                <w:color w:val="000000"/>
                <w:sz w:val="22"/>
                <w:szCs w:val="22"/>
                <w:u w:val="single"/>
              </w:rPr>
              <w:t xml:space="preserve">Table </w:t>
            </w:r>
            <w:r w:rsidR="00613475">
              <w:rPr>
                <w:rFonts w:ascii="Calibri" w:hAnsi="Calibri" w:cs="Calibri"/>
                <w:b/>
                <w:bCs/>
                <w:color w:val="000000"/>
                <w:sz w:val="22"/>
                <w:szCs w:val="22"/>
                <w:u w:val="single"/>
              </w:rPr>
              <w:t>7</w:t>
            </w:r>
            <w:r w:rsidRPr="00EA1869">
              <w:rPr>
                <w:rFonts w:ascii="Calibri" w:hAnsi="Calibri" w:cs="Calibri"/>
                <w:b/>
                <w:bCs/>
                <w:color w:val="000000"/>
                <w:sz w:val="22"/>
                <w:szCs w:val="22"/>
                <w:u w:val="single"/>
              </w:rPr>
              <w:t>: Robustness Test - Estimates for Seniors (65+)</w:t>
            </w:r>
          </w:p>
        </w:tc>
      </w:tr>
      <w:tr w:rsidR="00EA1869" w:rsidRPr="00EA1869" w:rsidTr="00EA1869">
        <w:trPr>
          <w:trHeight w:val="580"/>
        </w:trPr>
        <w:tc>
          <w:tcPr>
            <w:tcW w:w="3870" w:type="dxa"/>
            <w:tcBorders>
              <w:top w:val="nil"/>
              <w:left w:val="nil"/>
              <w:bottom w:val="nil"/>
              <w:right w:val="nil"/>
            </w:tcBorders>
            <w:shd w:val="clear" w:color="auto" w:fill="auto"/>
            <w:vAlign w:val="bottom"/>
            <w:hideMark/>
          </w:tcPr>
          <w:p w:rsidR="00EA1869" w:rsidRPr="00EA1869" w:rsidRDefault="00EA1869" w:rsidP="00EA1869">
            <w:pPr>
              <w:jc w:val="center"/>
              <w:rPr>
                <w:rFonts w:ascii="Calibri" w:hAnsi="Calibri" w:cs="Calibri"/>
                <w:b/>
                <w:bCs/>
                <w:color w:val="000000"/>
                <w:sz w:val="22"/>
                <w:szCs w:val="22"/>
                <w:u w:val="single"/>
              </w:rPr>
            </w:pPr>
          </w:p>
        </w:tc>
        <w:tc>
          <w:tcPr>
            <w:tcW w:w="1080" w:type="dxa"/>
            <w:tcBorders>
              <w:top w:val="nil"/>
              <w:left w:val="nil"/>
              <w:bottom w:val="single" w:sz="4" w:space="0" w:color="auto"/>
              <w:right w:val="nil"/>
            </w:tcBorders>
            <w:shd w:val="clear" w:color="auto" w:fill="auto"/>
            <w:vAlign w:val="bottom"/>
            <w:hideMark/>
          </w:tcPr>
          <w:p w:rsidR="00EA1869" w:rsidRPr="00EA1869" w:rsidRDefault="00EA1869" w:rsidP="00EA1869">
            <w:pPr>
              <w:jc w:val="center"/>
              <w:rPr>
                <w:rFonts w:ascii="Calibri" w:hAnsi="Calibri" w:cs="Calibri"/>
                <w:color w:val="000000"/>
                <w:sz w:val="22"/>
                <w:szCs w:val="22"/>
              </w:rPr>
            </w:pPr>
            <w:proofErr w:type="gramStart"/>
            <w:r w:rsidRPr="00EA1869">
              <w:rPr>
                <w:rFonts w:ascii="Calibri" w:hAnsi="Calibri" w:cs="Calibri"/>
                <w:color w:val="000000"/>
                <w:sz w:val="22"/>
                <w:szCs w:val="22"/>
              </w:rPr>
              <w:t>ln(</w:t>
            </w:r>
            <w:proofErr w:type="gramEnd"/>
            <w:r w:rsidRPr="00EA1869">
              <w:rPr>
                <w:rFonts w:ascii="Calibri" w:hAnsi="Calibri" w:cs="Calibri"/>
                <w:color w:val="000000"/>
                <w:sz w:val="22"/>
                <w:szCs w:val="22"/>
              </w:rPr>
              <w:t>Wage)</w:t>
            </w:r>
          </w:p>
        </w:tc>
        <w:tc>
          <w:tcPr>
            <w:tcW w:w="1710" w:type="dxa"/>
            <w:tcBorders>
              <w:top w:val="nil"/>
              <w:left w:val="nil"/>
              <w:bottom w:val="single" w:sz="4" w:space="0" w:color="auto"/>
              <w:right w:val="nil"/>
            </w:tcBorders>
            <w:shd w:val="clear" w:color="auto" w:fill="auto"/>
            <w:vAlign w:val="bottom"/>
            <w:hideMark/>
          </w:tcPr>
          <w:p w:rsidR="00EA1869" w:rsidRPr="00EA1869" w:rsidRDefault="00EA1869" w:rsidP="00EA1869">
            <w:pPr>
              <w:jc w:val="center"/>
              <w:rPr>
                <w:rFonts w:ascii="Calibri" w:hAnsi="Calibri" w:cs="Calibri"/>
                <w:color w:val="000000"/>
                <w:sz w:val="22"/>
                <w:szCs w:val="22"/>
              </w:rPr>
            </w:pPr>
            <w:r w:rsidRPr="00EA1869">
              <w:rPr>
                <w:rFonts w:ascii="Calibri" w:hAnsi="Calibri" w:cs="Calibri"/>
                <w:color w:val="000000"/>
                <w:sz w:val="22"/>
                <w:szCs w:val="22"/>
              </w:rPr>
              <w:t>Labor Force Participation</w:t>
            </w:r>
          </w:p>
        </w:tc>
        <w:tc>
          <w:tcPr>
            <w:tcW w:w="1260" w:type="dxa"/>
            <w:tcBorders>
              <w:top w:val="nil"/>
              <w:left w:val="nil"/>
              <w:bottom w:val="single" w:sz="4" w:space="0" w:color="auto"/>
              <w:right w:val="nil"/>
            </w:tcBorders>
            <w:shd w:val="clear" w:color="auto" w:fill="auto"/>
            <w:vAlign w:val="bottom"/>
            <w:hideMark/>
          </w:tcPr>
          <w:p w:rsidR="00EA1869" w:rsidRPr="00EA1869" w:rsidRDefault="00EA1869" w:rsidP="00EA1869">
            <w:pPr>
              <w:jc w:val="center"/>
              <w:rPr>
                <w:rFonts w:ascii="Calibri" w:hAnsi="Calibri" w:cs="Calibri"/>
                <w:color w:val="000000"/>
                <w:sz w:val="22"/>
                <w:szCs w:val="22"/>
              </w:rPr>
            </w:pPr>
            <w:r w:rsidRPr="00EA1869">
              <w:rPr>
                <w:rFonts w:ascii="Calibri" w:hAnsi="Calibri" w:cs="Calibri"/>
                <w:color w:val="000000"/>
                <w:sz w:val="22"/>
                <w:szCs w:val="22"/>
              </w:rPr>
              <w:t>Employed</w:t>
            </w:r>
          </w:p>
        </w:tc>
        <w:tc>
          <w:tcPr>
            <w:tcW w:w="1440" w:type="dxa"/>
            <w:tcBorders>
              <w:top w:val="nil"/>
              <w:left w:val="nil"/>
              <w:bottom w:val="single" w:sz="4" w:space="0" w:color="auto"/>
              <w:right w:val="nil"/>
            </w:tcBorders>
            <w:shd w:val="clear" w:color="auto" w:fill="auto"/>
            <w:vAlign w:val="bottom"/>
            <w:hideMark/>
          </w:tcPr>
          <w:p w:rsidR="00EA1869" w:rsidRPr="00EA1869" w:rsidRDefault="00EA1869" w:rsidP="00EA1869">
            <w:pPr>
              <w:jc w:val="center"/>
              <w:rPr>
                <w:rFonts w:ascii="Calibri" w:hAnsi="Calibri" w:cs="Calibri"/>
                <w:color w:val="000000"/>
                <w:sz w:val="22"/>
                <w:szCs w:val="22"/>
              </w:rPr>
            </w:pPr>
            <w:r w:rsidRPr="00EA1869">
              <w:rPr>
                <w:rFonts w:ascii="Calibri" w:hAnsi="Calibri" w:cs="Calibri"/>
                <w:color w:val="000000"/>
                <w:sz w:val="22"/>
                <w:szCs w:val="22"/>
              </w:rPr>
              <w:t>Usual Hours Worked</w:t>
            </w:r>
          </w:p>
        </w:tc>
      </w:tr>
      <w:tr w:rsidR="00EA1869" w:rsidRPr="00EA1869" w:rsidTr="00EA1869">
        <w:trPr>
          <w:trHeight w:val="290"/>
        </w:trPr>
        <w:tc>
          <w:tcPr>
            <w:tcW w:w="3870" w:type="dxa"/>
            <w:tcBorders>
              <w:top w:val="nil"/>
              <w:left w:val="nil"/>
              <w:bottom w:val="nil"/>
              <w:right w:val="nil"/>
            </w:tcBorders>
            <w:shd w:val="clear" w:color="auto" w:fill="auto"/>
            <w:vAlign w:val="bottom"/>
            <w:hideMark/>
          </w:tcPr>
          <w:p w:rsidR="00EA1869" w:rsidRPr="00EA1869" w:rsidRDefault="00EA1869" w:rsidP="00EA1869">
            <w:pPr>
              <w:jc w:val="center"/>
              <w:rPr>
                <w:rFonts w:ascii="Calibri" w:hAnsi="Calibri" w:cs="Calibri"/>
                <w:b/>
                <w:bCs/>
                <w:color w:val="000000"/>
                <w:sz w:val="22"/>
                <w:szCs w:val="22"/>
                <w:u w:val="single"/>
              </w:rPr>
            </w:pPr>
            <w:r w:rsidRPr="00EA1869">
              <w:rPr>
                <w:rFonts w:ascii="Calibri" w:hAnsi="Calibri" w:cs="Calibri"/>
                <w:b/>
                <w:bCs/>
                <w:color w:val="000000"/>
                <w:sz w:val="22"/>
                <w:szCs w:val="22"/>
                <w:u w:val="single"/>
              </w:rPr>
              <w:t>DiDiD</w:t>
            </w:r>
          </w:p>
        </w:tc>
        <w:tc>
          <w:tcPr>
            <w:tcW w:w="1080" w:type="dxa"/>
            <w:tcBorders>
              <w:top w:val="nil"/>
              <w:left w:val="nil"/>
              <w:bottom w:val="nil"/>
              <w:right w:val="nil"/>
            </w:tcBorders>
            <w:shd w:val="clear" w:color="auto" w:fill="auto"/>
            <w:vAlign w:val="bottom"/>
            <w:hideMark/>
          </w:tcPr>
          <w:p w:rsidR="00EA1869" w:rsidRPr="00EA1869" w:rsidRDefault="00EA1869" w:rsidP="00EA1869">
            <w:pPr>
              <w:jc w:val="center"/>
              <w:rPr>
                <w:rFonts w:ascii="Calibri" w:hAnsi="Calibri" w:cs="Calibri"/>
                <w:b/>
                <w:bCs/>
                <w:color w:val="000000"/>
                <w:sz w:val="22"/>
                <w:szCs w:val="22"/>
                <w:u w:val="single"/>
              </w:rPr>
            </w:pPr>
          </w:p>
        </w:tc>
        <w:tc>
          <w:tcPr>
            <w:tcW w:w="1710" w:type="dxa"/>
            <w:tcBorders>
              <w:top w:val="nil"/>
              <w:left w:val="nil"/>
              <w:bottom w:val="nil"/>
              <w:right w:val="nil"/>
            </w:tcBorders>
            <w:shd w:val="clear" w:color="auto" w:fill="auto"/>
            <w:vAlign w:val="bottom"/>
            <w:hideMark/>
          </w:tcPr>
          <w:p w:rsidR="00EA1869" w:rsidRPr="00EA1869" w:rsidRDefault="00EA1869" w:rsidP="00EA1869">
            <w:pPr>
              <w:jc w:val="center"/>
              <w:rPr>
                <w:sz w:val="20"/>
                <w:szCs w:val="20"/>
              </w:rPr>
            </w:pPr>
          </w:p>
        </w:tc>
        <w:tc>
          <w:tcPr>
            <w:tcW w:w="1260" w:type="dxa"/>
            <w:tcBorders>
              <w:top w:val="nil"/>
              <w:left w:val="nil"/>
              <w:bottom w:val="nil"/>
              <w:right w:val="nil"/>
            </w:tcBorders>
            <w:shd w:val="clear" w:color="auto" w:fill="auto"/>
            <w:vAlign w:val="bottom"/>
            <w:hideMark/>
          </w:tcPr>
          <w:p w:rsidR="00EA1869" w:rsidRPr="00EA1869" w:rsidRDefault="00EA1869" w:rsidP="00EA1869">
            <w:pPr>
              <w:jc w:val="center"/>
              <w:rPr>
                <w:sz w:val="20"/>
                <w:szCs w:val="20"/>
              </w:rPr>
            </w:pPr>
          </w:p>
        </w:tc>
        <w:tc>
          <w:tcPr>
            <w:tcW w:w="1440" w:type="dxa"/>
            <w:tcBorders>
              <w:top w:val="nil"/>
              <w:left w:val="nil"/>
              <w:bottom w:val="nil"/>
              <w:right w:val="nil"/>
            </w:tcBorders>
            <w:shd w:val="clear" w:color="auto" w:fill="auto"/>
            <w:vAlign w:val="bottom"/>
            <w:hideMark/>
          </w:tcPr>
          <w:p w:rsidR="00EA1869" w:rsidRPr="00EA1869" w:rsidRDefault="00EA1869" w:rsidP="00EA1869">
            <w:pPr>
              <w:jc w:val="center"/>
              <w:rPr>
                <w:sz w:val="20"/>
                <w:szCs w:val="20"/>
              </w:rPr>
            </w:pPr>
          </w:p>
        </w:tc>
      </w:tr>
      <w:tr w:rsidR="00EA1869" w:rsidRPr="00EA1869" w:rsidTr="00EA1869">
        <w:trPr>
          <w:trHeight w:val="290"/>
        </w:trPr>
        <w:tc>
          <w:tcPr>
            <w:tcW w:w="3870" w:type="dxa"/>
            <w:tcBorders>
              <w:top w:val="nil"/>
              <w:left w:val="nil"/>
              <w:bottom w:val="nil"/>
              <w:right w:val="nil"/>
            </w:tcBorders>
            <w:shd w:val="clear" w:color="auto" w:fill="auto"/>
            <w:vAlign w:val="bottom"/>
            <w:hideMark/>
          </w:tcPr>
          <w:p w:rsidR="00EA1869" w:rsidRPr="00EA1869" w:rsidRDefault="00EA1869" w:rsidP="00EA1869">
            <w:pPr>
              <w:rPr>
                <w:rFonts w:ascii="Calibri" w:hAnsi="Calibri" w:cs="Calibri"/>
                <w:color w:val="000000"/>
                <w:sz w:val="22"/>
                <w:szCs w:val="22"/>
              </w:rPr>
            </w:pPr>
            <w:r w:rsidRPr="00EA1869">
              <w:rPr>
                <w:rFonts w:ascii="Calibri" w:hAnsi="Calibri" w:cs="Calibri"/>
                <w:color w:val="000000"/>
                <w:sz w:val="22"/>
                <w:szCs w:val="22"/>
              </w:rPr>
              <w:t>Uninsured x Post</w:t>
            </w:r>
          </w:p>
        </w:tc>
        <w:tc>
          <w:tcPr>
            <w:tcW w:w="1080" w:type="dxa"/>
            <w:tcBorders>
              <w:top w:val="nil"/>
              <w:left w:val="nil"/>
              <w:bottom w:val="nil"/>
              <w:right w:val="nil"/>
            </w:tcBorders>
            <w:shd w:val="clear" w:color="auto" w:fill="auto"/>
            <w:noWrap/>
            <w:vAlign w:val="bottom"/>
            <w:hideMark/>
          </w:tcPr>
          <w:p w:rsidR="00EA1869" w:rsidRPr="00EA1869" w:rsidRDefault="00EA1869" w:rsidP="00EA1869">
            <w:pPr>
              <w:jc w:val="center"/>
              <w:rPr>
                <w:rFonts w:ascii="Calibri" w:hAnsi="Calibri" w:cs="Calibri"/>
                <w:color w:val="000000"/>
                <w:sz w:val="22"/>
                <w:szCs w:val="22"/>
              </w:rPr>
            </w:pPr>
            <w:r w:rsidRPr="00EA1869">
              <w:rPr>
                <w:rFonts w:ascii="Calibri" w:hAnsi="Calibri" w:cs="Calibri"/>
                <w:color w:val="000000"/>
                <w:sz w:val="22"/>
                <w:szCs w:val="22"/>
              </w:rPr>
              <w:t>-0.256</w:t>
            </w:r>
          </w:p>
        </w:tc>
        <w:tc>
          <w:tcPr>
            <w:tcW w:w="1710" w:type="dxa"/>
            <w:tcBorders>
              <w:top w:val="nil"/>
              <w:left w:val="nil"/>
              <w:bottom w:val="nil"/>
              <w:right w:val="nil"/>
            </w:tcBorders>
            <w:shd w:val="clear" w:color="auto" w:fill="auto"/>
            <w:noWrap/>
            <w:vAlign w:val="bottom"/>
            <w:hideMark/>
          </w:tcPr>
          <w:p w:rsidR="00EA1869" w:rsidRPr="00EA1869" w:rsidRDefault="00EA1869" w:rsidP="00EA1869">
            <w:pPr>
              <w:jc w:val="center"/>
              <w:rPr>
                <w:rFonts w:ascii="Calibri" w:hAnsi="Calibri" w:cs="Calibri"/>
                <w:color w:val="000000"/>
                <w:sz w:val="22"/>
                <w:szCs w:val="22"/>
              </w:rPr>
            </w:pPr>
            <w:r w:rsidRPr="00EA1869">
              <w:rPr>
                <w:rFonts w:ascii="Calibri" w:hAnsi="Calibri" w:cs="Calibri"/>
                <w:color w:val="000000"/>
                <w:sz w:val="22"/>
                <w:szCs w:val="22"/>
              </w:rPr>
              <w:t>0.00166</w:t>
            </w:r>
          </w:p>
        </w:tc>
        <w:tc>
          <w:tcPr>
            <w:tcW w:w="1260" w:type="dxa"/>
            <w:tcBorders>
              <w:top w:val="nil"/>
              <w:left w:val="nil"/>
              <w:bottom w:val="nil"/>
              <w:right w:val="nil"/>
            </w:tcBorders>
            <w:shd w:val="clear" w:color="auto" w:fill="auto"/>
            <w:noWrap/>
            <w:vAlign w:val="bottom"/>
            <w:hideMark/>
          </w:tcPr>
          <w:p w:rsidR="00EA1869" w:rsidRPr="00EA1869" w:rsidRDefault="00EA1869" w:rsidP="00EA1869">
            <w:pPr>
              <w:jc w:val="center"/>
              <w:rPr>
                <w:rFonts w:ascii="Calibri" w:hAnsi="Calibri" w:cs="Calibri"/>
                <w:color w:val="000000"/>
                <w:sz w:val="22"/>
                <w:szCs w:val="22"/>
              </w:rPr>
            </w:pPr>
            <w:r w:rsidRPr="00EA1869">
              <w:rPr>
                <w:rFonts w:ascii="Calibri" w:hAnsi="Calibri" w:cs="Calibri"/>
                <w:color w:val="000000"/>
                <w:sz w:val="22"/>
                <w:szCs w:val="22"/>
              </w:rPr>
              <w:t>0.0373</w:t>
            </w:r>
          </w:p>
        </w:tc>
        <w:tc>
          <w:tcPr>
            <w:tcW w:w="1440" w:type="dxa"/>
            <w:tcBorders>
              <w:top w:val="nil"/>
              <w:left w:val="nil"/>
              <w:bottom w:val="nil"/>
              <w:right w:val="nil"/>
            </w:tcBorders>
            <w:shd w:val="clear" w:color="auto" w:fill="auto"/>
            <w:noWrap/>
            <w:vAlign w:val="bottom"/>
            <w:hideMark/>
          </w:tcPr>
          <w:p w:rsidR="00EA1869" w:rsidRPr="00EA1869" w:rsidRDefault="00EA1869" w:rsidP="00EA1869">
            <w:pPr>
              <w:jc w:val="center"/>
              <w:rPr>
                <w:rFonts w:ascii="Calibri" w:hAnsi="Calibri" w:cs="Calibri"/>
                <w:color w:val="000000"/>
                <w:sz w:val="22"/>
                <w:szCs w:val="22"/>
              </w:rPr>
            </w:pPr>
            <w:r w:rsidRPr="00EA1869">
              <w:rPr>
                <w:rFonts w:ascii="Calibri" w:hAnsi="Calibri" w:cs="Calibri"/>
                <w:color w:val="000000"/>
                <w:sz w:val="22"/>
                <w:szCs w:val="22"/>
              </w:rPr>
              <w:t>-0.273</w:t>
            </w:r>
          </w:p>
        </w:tc>
      </w:tr>
      <w:tr w:rsidR="00EA1869" w:rsidRPr="00EA1869" w:rsidTr="00EA1869">
        <w:trPr>
          <w:trHeight w:val="290"/>
        </w:trPr>
        <w:tc>
          <w:tcPr>
            <w:tcW w:w="3870" w:type="dxa"/>
            <w:tcBorders>
              <w:top w:val="nil"/>
              <w:left w:val="nil"/>
              <w:bottom w:val="nil"/>
              <w:right w:val="nil"/>
            </w:tcBorders>
            <w:shd w:val="clear" w:color="auto" w:fill="auto"/>
            <w:vAlign w:val="bottom"/>
            <w:hideMark/>
          </w:tcPr>
          <w:p w:rsidR="00EA1869" w:rsidRPr="00EA1869" w:rsidRDefault="00EA1869" w:rsidP="00EA1869">
            <w:pPr>
              <w:jc w:val="center"/>
              <w:rPr>
                <w:rFonts w:ascii="Calibri" w:hAnsi="Calibri" w:cs="Calibri"/>
                <w:color w:val="000000"/>
                <w:sz w:val="22"/>
                <w:szCs w:val="22"/>
              </w:rPr>
            </w:pPr>
          </w:p>
        </w:tc>
        <w:tc>
          <w:tcPr>
            <w:tcW w:w="1080" w:type="dxa"/>
            <w:tcBorders>
              <w:top w:val="nil"/>
              <w:left w:val="nil"/>
              <w:bottom w:val="nil"/>
              <w:right w:val="nil"/>
            </w:tcBorders>
            <w:shd w:val="clear" w:color="auto" w:fill="auto"/>
            <w:noWrap/>
            <w:vAlign w:val="bottom"/>
            <w:hideMark/>
          </w:tcPr>
          <w:p w:rsidR="00EA1869" w:rsidRPr="00EA1869" w:rsidRDefault="00EA1869" w:rsidP="00EA1869">
            <w:pPr>
              <w:jc w:val="center"/>
              <w:rPr>
                <w:rFonts w:ascii="Calibri" w:hAnsi="Calibri" w:cs="Calibri"/>
                <w:color w:val="000000"/>
                <w:sz w:val="22"/>
                <w:szCs w:val="22"/>
              </w:rPr>
            </w:pPr>
            <w:r w:rsidRPr="00EA1869">
              <w:rPr>
                <w:rFonts w:ascii="Calibri" w:hAnsi="Calibri" w:cs="Calibri"/>
                <w:color w:val="000000"/>
                <w:sz w:val="22"/>
                <w:szCs w:val="22"/>
              </w:rPr>
              <w:t>(0.2101)</w:t>
            </w:r>
          </w:p>
        </w:tc>
        <w:tc>
          <w:tcPr>
            <w:tcW w:w="1710" w:type="dxa"/>
            <w:tcBorders>
              <w:top w:val="nil"/>
              <w:left w:val="nil"/>
              <w:bottom w:val="nil"/>
              <w:right w:val="nil"/>
            </w:tcBorders>
            <w:shd w:val="clear" w:color="auto" w:fill="auto"/>
            <w:noWrap/>
            <w:vAlign w:val="bottom"/>
            <w:hideMark/>
          </w:tcPr>
          <w:p w:rsidR="00EA1869" w:rsidRPr="00EA1869" w:rsidRDefault="00EA1869" w:rsidP="00EA1869">
            <w:pPr>
              <w:jc w:val="center"/>
              <w:rPr>
                <w:rFonts w:ascii="Calibri" w:hAnsi="Calibri" w:cs="Calibri"/>
                <w:color w:val="000000"/>
                <w:sz w:val="22"/>
                <w:szCs w:val="22"/>
              </w:rPr>
            </w:pPr>
            <w:r w:rsidRPr="00EA1869">
              <w:rPr>
                <w:rFonts w:ascii="Calibri" w:hAnsi="Calibri" w:cs="Calibri"/>
                <w:color w:val="000000"/>
                <w:sz w:val="22"/>
                <w:szCs w:val="22"/>
              </w:rPr>
              <w:t>(0.0107)</w:t>
            </w:r>
          </w:p>
        </w:tc>
        <w:tc>
          <w:tcPr>
            <w:tcW w:w="1260" w:type="dxa"/>
            <w:tcBorders>
              <w:top w:val="nil"/>
              <w:left w:val="nil"/>
              <w:bottom w:val="nil"/>
              <w:right w:val="nil"/>
            </w:tcBorders>
            <w:shd w:val="clear" w:color="auto" w:fill="auto"/>
            <w:noWrap/>
            <w:vAlign w:val="bottom"/>
            <w:hideMark/>
          </w:tcPr>
          <w:p w:rsidR="00EA1869" w:rsidRPr="00EA1869" w:rsidRDefault="00EA1869" w:rsidP="00EA1869">
            <w:pPr>
              <w:jc w:val="center"/>
              <w:rPr>
                <w:rFonts w:ascii="Calibri" w:hAnsi="Calibri" w:cs="Calibri"/>
                <w:color w:val="000000"/>
                <w:sz w:val="22"/>
                <w:szCs w:val="22"/>
              </w:rPr>
            </w:pPr>
            <w:r w:rsidRPr="00EA1869">
              <w:rPr>
                <w:rFonts w:ascii="Calibri" w:hAnsi="Calibri" w:cs="Calibri"/>
                <w:color w:val="000000"/>
                <w:sz w:val="22"/>
                <w:szCs w:val="22"/>
              </w:rPr>
              <w:t>(0.0435)</w:t>
            </w:r>
          </w:p>
        </w:tc>
        <w:tc>
          <w:tcPr>
            <w:tcW w:w="1440" w:type="dxa"/>
            <w:tcBorders>
              <w:top w:val="nil"/>
              <w:left w:val="nil"/>
              <w:bottom w:val="nil"/>
              <w:right w:val="nil"/>
            </w:tcBorders>
            <w:shd w:val="clear" w:color="auto" w:fill="auto"/>
            <w:noWrap/>
            <w:vAlign w:val="bottom"/>
            <w:hideMark/>
          </w:tcPr>
          <w:p w:rsidR="00EA1869" w:rsidRPr="00EA1869" w:rsidRDefault="00EA1869" w:rsidP="00EA1869">
            <w:pPr>
              <w:jc w:val="center"/>
              <w:rPr>
                <w:rFonts w:ascii="Calibri" w:hAnsi="Calibri" w:cs="Calibri"/>
                <w:color w:val="000000"/>
                <w:sz w:val="22"/>
                <w:szCs w:val="22"/>
              </w:rPr>
            </w:pPr>
            <w:r w:rsidRPr="00EA1869">
              <w:rPr>
                <w:rFonts w:ascii="Calibri" w:hAnsi="Calibri" w:cs="Calibri"/>
                <w:color w:val="000000"/>
                <w:sz w:val="22"/>
                <w:szCs w:val="22"/>
              </w:rPr>
              <w:t>(2.1462)</w:t>
            </w:r>
          </w:p>
        </w:tc>
      </w:tr>
      <w:tr w:rsidR="00EA1869" w:rsidRPr="00EA1869" w:rsidTr="00EA1869">
        <w:trPr>
          <w:trHeight w:val="290"/>
        </w:trPr>
        <w:tc>
          <w:tcPr>
            <w:tcW w:w="3870" w:type="dxa"/>
            <w:tcBorders>
              <w:top w:val="nil"/>
              <w:left w:val="nil"/>
              <w:bottom w:val="nil"/>
              <w:right w:val="nil"/>
            </w:tcBorders>
            <w:shd w:val="clear" w:color="auto" w:fill="auto"/>
            <w:vAlign w:val="bottom"/>
            <w:hideMark/>
          </w:tcPr>
          <w:p w:rsidR="00EA1869" w:rsidRPr="00EA1869" w:rsidRDefault="00EA1869" w:rsidP="00EA1869">
            <w:pPr>
              <w:jc w:val="center"/>
              <w:rPr>
                <w:rFonts w:ascii="Calibri" w:hAnsi="Calibri" w:cs="Calibri"/>
                <w:color w:val="000000"/>
                <w:sz w:val="22"/>
                <w:szCs w:val="22"/>
              </w:rPr>
            </w:pPr>
          </w:p>
        </w:tc>
        <w:tc>
          <w:tcPr>
            <w:tcW w:w="1080" w:type="dxa"/>
            <w:tcBorders>
              <w:top w:val="nil"/>
              <w:left w:val="nil"/>
              <w:bottom w:val="nil"/>
              <w:right w:val="nil"/>
            </w:tcBorders>
            <w:shd w:val="clear" w:color="auto" w:fill="auto"/>
            <w:noWrap/>
            <w:vAlign w:val="bottom"/>
            <w:hideMark/>
          </w:tcPr>
          <w:p w:rsidR="00EA1869" w:rsidRPr="00EA1869" w:rsidRDefault="00EA1869" w:rsidP="00EA1869">
            <w:pPr>
              <w:rPr>
                <w:sz w:val="20"/>
                <w:szCs w:val="20"/>
              </w:rPr>
            </w:pPr>
          </w:p>
        </w:tc>
        <w:tc>
          <w:tcPr>
            <w:tcW w:w="1710" w:type="dxa"/>
            <w:tcBorders>
              <w:top w:val="nil"/>
              <w:left w:val="nil"/>
              <w:bottom w:val="nil"/>
              <w:right w:val="nil"/>
            </w:tcBorders>
            <w:shd w:val="clear" w:color="auto" w:fill="auto"/>
            <w:noWrap/>
            <w:vAlign w:val="bottom"/>
            <w:hideMark/>
          </w:tcPr>
          <w:p w:rsidR="00EA1869" w:rsidRPr="00EA1869" w:rsidRDefault="00EA1869" w:rsidP="00EA1869">
            <w:pPr>
              <w:jc w:val="center"/>
              <w:rPr>
                <w:sz w:val="20"/>
                <w:szCs w:val="20"/>
              </w:rPr>
            </w:pPr>
          </w:p>
        </w:tc>
        <w:tc>
          <w:tcPr>
            <w:tcW w:w="1260" w:type="dxa"/>
            <w:tcBorders>
              <w:top w:val="nil"/>
              <w:left w:val="nil"/>
              <w:bottom w:val="nil"/>
              <w:right w:val="nil"/>
            </w:tcBorders>
            <w:shd w:val="clear" w:color="auto" w:fill="auto"/>
            <w:noWrap/>
            <w:vAlign w:val="bottom"/>
            <w:hideMark/>
          </w:tcPr>
          <w:p w:rsidR="00EA1869" w:rsidRPr="00EA1869" w:rsidRDefault="00EA1869" w:rsidP="00EA1869">
            <w:pPr>
              <w:jc w:val="center"/>
              <w:rPr>
                <w:sz w:val="20"/>
                <w:szCs w:val="20"/>
              </w:rPr>
            </w:pPr>
          </w:p>
        </w:tc>
        <w:tc>
          <w:tcPr>
            <w:tcW w:w="1440" w:type="dxa"/>
            <w:tcBorders>
              <w:top w:val="nil"/>
              <w:left w:val="nil"/>
              <w:bottom w:val="nil"/>
              <w:right w:val="nil"/>
            </w:tcBorders>
            <w:shd w:val="clear" w:color="auto" w:fill="auto"/>
            <w:noWrap/>
            <w:vAlign w:val="bottom"/>
            <w:hideMark/>
          </w:tcPr>
          <w:p w:rsidR="00EA1869" w:rsidRPr="00EA1869" w:rsidRDefault="00EA1869" w:rsidP="00EA1869">
            <w:pPr>
              <w:jc w:val="center"/>
              <w:rPr>
                <w:sz w:val="20"/>
                <w:szCs w:val="20"/>
              </w:rPr>
            </w:pPr>
          </w:p>
        </w:tc>
      </w:tr>
      <w:tr w:rsidR="00EA1869" w:rsidRPr="00EA1869" w:rsidTr="00EA1869">
        <w:trPr>
          <w:trHeight w:val="290"/>
        </w:trPr>
        <w:tc>
          <w:tcPr>
            <w:tcW w:w="3870" w:type="dxa"/>
            <w:tcBorders>
              <w:top w:val="nil"/>
              <w:left w:val="nil"/>
              <w:bottom w:val="nil"/>
              <w:right w:val="nil"/>
            </w:tcBorders>
            <w:shd w:val="clear" w:color="auto" w:fill="auto"/>
            <w:vAlign w:val="bottom"/>
            <w:hideMark/>
          </w:tcPr>
          <w:p w:rsidR="00EA1869" w:rsidRPr="00EA1869" w:rsidRDefault="00EA1869" w:rsidP="00EA1869">
            <w:pPr>
              <w:rPr>
                <w:rFonts w:ascii="Calibri" w:hAnsi="Calibri" w:cs="Calibri"/>
                <w:color w:val="000000"/>
                <w:sz w:val="22"/>
                <w:szCs w:val="22"/>
              </w:rPr>
            </w:pPr>
            <w:r w:rsidRPr="00EA1869">
              <w:rPr>
                <w:rFonts w:ascii="Calibri" w:hAnsi="Calibri" w:cs="Calibri"/>
                <w:color w:val="000000"/>
                <w:sz w:val="22"/>
                <w:szCs w:val="22"/>
              </w:rPr>
              <w:t>Medicaid x Uninsured x Post</w:t>
            </w:r>
          </w:p>
        </w:tc>
        <w:tc>
          <w:tcPr>
            <w:tcW w:w="1080" w:type="dxa"/>
            <w:tcBorders>
              <w:top w:val="nil"/>
              <w:left w:val="nil"/>
              <w:bottom w:val="nil"/>
              <w:right w:val="nil"/>
            </w:tcBorders>
            <w:shd w:val="clear" w:color="auto" w:fill="auto"/>
            <w:noWrap/>
            <w:vAlign w:val="bottom"/>
            <w:hideMark/>
          </w:tcPr>
          <w:p w:rsidR="00EA1869" w:rsidRPr="00EA1869" w:rsidRDefault="00EA1869" w:rsidP="00EA1869">
            <w:pPr>
              <w:jc w:val="center"/>
              <w:rPr>
                <w:rFonts w:ascii="Calibri" w:hAnsi="Calibri" w:cs="Calibri"/>
                <w:color w:val="000000"/>
                <w:sz w:val="22"/>
                <w:szCs w:val="22"/>
              </w:rPr>
            </w:pPr>
            <w:r w:rsidRPr="00EA1869">
              <w:rPr>
                <w:rFonts w:ascii="Calibri" w:hAnsi="Calibri" w:cs="Calibri"/>
                <w:color w:val="000000"/>
                <w:sz w:val="22"/>
                <w:szCs w:val="22"/>
              </w:rPr>
              <w:t>0.206</w:t>
            </w:r>
          </w:p>
        </w:tc>
        <w:tc>
          <w:tcPr>
            <w:tcW w:w="1710" w:type="dxa"/>
            <w:tcBorders>
              <w:top w:val="nil"/>
              <w:left w:val="nil"/>
              <w:bottom w:val="nil"/>
              <w:right w:val="nil"/>
            </w:tcBorders>
            <w:shd w:val="clear" w:color="auto" w:fill="auto"/>
            <w:noWrap/>
            <w:vAlign w:val="bottom"/>
            <w:hideMark/>
          </w:tcPr>
          <w:p w:rsidR="00EA1869" w:rsidRPr="00EA1869" w:rsidRDefault="00EA1869" w:rsidP="00EA1869">
            <w:pPr>
              <w:jc w:val="center"/>
              <w:rPr>
                <w:rFonts w:ascii="Calibri" w:hAnsi="Calibri" w:cs="Calibri"/>
                <w:color w:val="000000"/>
                <w:sz w:val="22"/>
                <w:szCs w:val="22"/>
              </w:rPr>
            </w:pPr>
            <w:r w:rsidRPr="00EA1869">
              <w:rPr>
                <w:rFonts w:ascii="Calibri" w:hAnsi="Calibri" w:cs="Calibri"/>
                <w:color w:val="000000"/>
                <w:sz w:val="22"/>
                <w:szCs w:val="22"/>
              </w:rPr>
              <w:t>0.000127</w:t>
            </w:r>
          </w:p>
        </w:tc>
        <w:tc>
          <w:tcPr>
            <w:tcW w:w="1260" w:type="dxa"/>
            <w:tcBorders>
              <w:top w:val="nil"/>
              <w:left w:val="nil"/>
              <w:bottom w:val="nil"/>
              <w:right w:val="nil"/>
            </w:tcBorders>
            <w:shd w:val="clear" w:color="auto" w:fill="auto"/>
            <w:noWrap/>
            <w:vAlign w:val="bottom"/>
            <w:hideMark/>
          </w:tcPr>
          <w:p w:rsidR="00EA1869" w:rsidRPr="00EA1869" w:rsidRDefault="00EA1869" w:rsidP="00EA1869">
            <w:pPr>
              <w:jc w:val="center"/>
              <w:rPr>
                <w:rFonts w:ascii="Calibri" w:hAnsi="Calibri" w:cs="Calibri"/>
                <w:color w:val="000000"/>
                <w:sz w:val="22"/>
                <w:szCs w:val="22"/>
              </w:rPr>
            </w:pPr>
            <w:r w:rsidRPr="00EA1869">
              <w:rPr>
                <w:rFonts w:ascii="Calibri" w:hAnsi="Calibri" w:cs="Calibri"/>
                <w:color w:val="000000"/>
                <w:sz w:val="22"/>
                <w:szCs w:val="22"/>
              </w:rPr>
              <w:t>-0.0259</w:t>
            </w:r>
          </w:p>
        </w:tc>
        <w:tc>
          <w:tcPr>
            <w:tcW w:w="1440" w:type="dxa"/>
            <w:tcBorders>
              <w:top w:val="nil"/>
              <w:left w:val="nil"/>
              <w:bottom w:val="nil"/>
              <w:right w:val="nil"/>
            </w:tcBorders>
            <w:shd w:val="clear" w:color="auto" w:fill="auto"/>
            <w:noWrap/>
            <w:vAlign w:val="bottom"/>
            <w:hideMark/>
          </w:tcPr>
          <w:p w:rsidR="00EA1869" w:rsidRPr="00EA1869" w:rsidRDefault="00EA1869" w:rsidP="00EA1869">
            <w:pPr>
              <w:jc w:val="center"/>
              <w:rPr>
                <w:rFonts w:ascii="Calibri" w:hAnsi="Calibri" w:cs="Calibri"/>
                <w:color w:val="000000"/>
                <w:sz w:val="22"/>
                <w:szCs w:val="22"/>
              </w:rPr>
            </w:pPr>
            <w:r w:rsidRPr="00EA1869">
              <w:rPr>
                <w:rFonts w:ascii="Calibri" w:hAnsi="Calibri" w:cs="Calibri"/>
                <w:color w:val="000000"/>
                <w:sz w:val="22"/>
                <w:szCs w:val="22"/>
              </w:rPr>
              <w:t>0.722</w:t>
            </w:r>
          </w:p>
        </w:tc>
      </w:tr>
      <w:tr w:rsidR="00EA1869" w:rsidRPr="00EA1869" w:rsidTr="00EA1869">
        <w:trPr>
          <w:trHeight w:val="290"/>
        </w:trPr>
        <w:tc>
          <w:tcPr>
            <w:tcW w:w="3870" w:type="dxa"/>
            <w:tcBorders>
              <w:top w:val="nil"/>
              <w:left w:val="nil"/>
              <w:bottom w:val="nil"/>
              <w:right w:val="nil"/>
            </w:tcBorders>
            <w:shd w:val="clear" w:color="auto" w:fill="auto"/>
            <w:vAlign w:val="bottom"/>
            <w:hideMark/>
          </w:tcPr>
          <w:p w:rsidR="00EA1869" w:rsidRPr="00EA1869" w:rsidRDefault="00EA1869" w:rsidP="00EA1869">
            <w:pPr>
              <w:jc w:val="center"/>
              <w:rPr>
                <w:rFonts w:ascii="Calibri" w:hAnsi="Calibri" w:cs="Calibri"/>
                <w:color w:val="000000"/>
                <w:sz w:val="22"/>
                <w:szCs w:val="22"/>
              </w:rPr>
            </w:pPr>
          </w:p>
        </w:tc>
        <w:tc>
          <w:tcPr>
            <w:tcW w:w="1080" w:type="dxa"/>
            <w:tcBorders>
              <w:top w:val="nil"/>
              <w:left w:val="nil"/>
              <w:bottom w:val="nil"/>
              <w:right w:val="nil"/>
            </w:tcBorders>
            <w:shd w:val="clear" w:color="auto" w:fill="auto"/>
            <w:noWrap/>
            <w:vAlign w:val="bottom"/>
            <w:hideMark/>
          </w:tcPr>
          <w:p w:rsidR="00EA1869" w:rsidRPr="00EA1869" w:rsidRDefault="00EA1869" w:rsidP="00EA1869">
            <w:pPr>
              <w:jc w:val="center"/>
              <w:rPr>
                <w:rFonts w:ascii="Calibri" w:hAnsi="Calibri" w:cs="Calibri"/>
                <w:color w:val="000000"/>
                <w:sz w:val="22"/>
                <w:szCs w:val="22"/>
              </w:rPr>
            </w:pPr>
            <w:r w:rsidRPr="00EA1869">
              <w:rPr>
                <w:rFonts w:ascii="Calibri" w:hAnsi="Calibri" w:cs="Calibri"/>
                <w:color w:val="000000"/>
                <w:sz w:val="22"/>
                <w:szCs w:val="22"/>
              </w:rPr>
              <w:t>(0.2307)</w:t>
            </w:r>
          </w:p>
        </w:tc>
        <w:tc>
          <w:tcPr>
            <w:tcW w:w="1710" w:type="dxa"/>
            <w:tcBorders>
              <w:top w:val="nil"/>
              <w:left w:val="nil"/>
              <w:bottom w:val="nil"/>
              <w:right w:val="nil"/>
            </w:tcBorders>
            <w:shd w:val="clear" w:color="auto" w:fill="auto"/>
            <w:noWrap/>
            <w:vAlign w:val="bottom"/>
            <w:hideMark/>
          </w:tcPr>
          <w:p w:rsidR="00EA1869" w:rsidRPr="00EA1869" w:rsidRDefault="00EA1869" w:rsidP="00EA1869">
            <w:pPr>
              <w:jc w:val="center"/>
              <w:rPr>
                <w:rFonts w:ascii="Calibri" w:hAnsi="Calibri" w:cs="Calibri"/>
                <w:color w:val="000000"/>
                <w:sz w:val="22"/>
                <w:szCs w:val="22"/>
              </w:rPr>
            </w:pPr>
            <w:r w:rsidRPr="00EA1869">
              <w:rPr>
                <w:rFonts w:ascii="Calibri" w:hAnsi="Calibri" w:cs="Calibri"/>
                <w:color w:val="000000"/>
                <w:sz w:val="22"/>
                <w:szCs w:val="22"/>
              </w:rPr>
              <w:t>(0.0211)</w:t>
            </w:r>
          </w:p>
        </w:tc>
        <w:tc>
          <w:tcPr>
            <w:tcW w:w="1260" w:type="dxa"/>
            <w:tcBorders>
              <w:top w:val="nil"/>
              <w:left w:val="nil"/>
              <w:bottom w:val="nil"/>
              <w:right w:val="nil"/>
            </w:tcBorders>
            <w:shd w:val="clear" w:color="auto" w:fill="auto"/>
            <w:noWrap/>
            <w:vAlign w:val="bottom"/>
            <w:hideMark/>
          </w:tcPr>
          <w:p w:rsidR="00EA1869" w:rsidRPr="00EA1869" w:rsidRDefault="00EA1869" w:rsidP="00EA1869">
            <w:pPr>
              <w:jc w:val="center"/>
              <w:rPr>
                <w:rFonts w:ascii="Calibri" w:hAnsi="Calibri" w:cs="Calibri"/>
                <w:color w:val="000000"/>
                <w:sz w:val="22"/>
                <w:szCs w:val="22"/>
              </w:rPr>
            </w:pPr>
            <w:r w:rsidRPr="00EA1869">
              <w:rPr>
                <w:rFonts w:ascii="Calibri" w:hAnsi="Calibri" w:cs="Calibri"/>
                <w:color w:val="000000"/>
                <w:sz w:val="22"/>
                <w:szCs w:val="22"/>
              </w:rPr>
              <w:t>(0.0480)</w:t>
            </w:r>
          </w:p>
        </w:tc>
        <w:tc>
          <w:tcPr>
            <w:tcW w:w="1440" w:type="dxa"/>
            <w:tcBorders>
              <w:top w:val="nil"/>
              <w:left w:val="nil"/>
              <w:bottom w:val="nil"/>
              <w:right w:val="nil"/>
            </w:tcBorders>
            <w:shd w:val="clear" w:color="auto" w:fill="auto"/>
            <w:noWrap/>
            <w:vAlign w:val="bottom"/>
            <w:hideMark/>
          </w:tcPr>
          <w:p w:rsidR="00EA1869" w:rsidRPr="00EA1869" w:rsidRDefault="00EA1869" w:rsidP="00EA1869">
            <w:pPr>
              <w:jc w:val="center"/>
              <w:rPr>
                <w:rFonts w:ascii="Calibri" w:hAnsi="Calibri" w:cs="Calibri"/>
                <w:color w:val="000000"/>
                <w:sz w:val="22"/>
                <w:szCs w:val="22"/>
              </w:rPr>
            </w:pPr>
            <w:r w:rsidRPr="00EA1869">
              <w:rPr>
                <w:rFonts w:ascii="Calibri" w:hAnsi="Calibri" w:cs="Calibri"/>
                <w:color w:val="000000"/>
                <w:sz w:val="22"/>
                <w:szCs w:val="22"/>
              </w:rPr>
              <w:t>(2.6735)</w:t>
            </w:r>
          </w:p>
        </w:tc>
      </w:tr>
      <w:tr w:rsidR="00EA1869" w:rsidRPr="00EA1869" w:rsidTr="00EA1869">
        <w:trPr>
          <w:trHeight w:val="290"/>
        </w:trPr>
        <w:tc>
          <w:tcPr>
            <w:tcW w:w="3870" w:type="dxa"/>
            <w:tcBorders>
              <w:top w:val="nil"/>
              <w:left w:val="nil"/>
              <w:bottom w:val="nil"/>
              <w:right w:val="nil"/>
            </w:tcBorders>
            <w:shd w:val="clear" w:color="auto" w:fill="auto"/>
            <w:vAlign w:val="bottom"/>
            <w:hideMark/>
          </w:tcPr>
          <w:p w:rsidR="00EA1869" w:rsidRPr="00EA1869" w:rsidRDefault="00EA1869" w:rsidP="00EA1869">
            <w:pPr>
              <w:jc w:val="center"/>
              <w:rPr>
                <w:rFonts w:ascii="Calibri" w:hAnsi="Calibri" w:cs="Calibri"/>
                <w:color w:val="000000"/>
                <w:sz w:val="22"/>
                <w:szCs w:val="22"/>
              </w:rPr>
            </w:pPr>
          </w:p>
        </w:tc>
        <w:tc>
          <w:tcPr>
            <w:tcW w:w="1080" w:type="dxa"/>
            <w:tcBorders>
              <w:top w:val="nil"/>
              <w:left w:val="nil"/>
              <w:bottom w:val="nil"/>
              <w:right w:val="nil"/>
            </w:tcBorders>
            <w:shd w:val="clear" w:color="auto" w:fill="auto"/>
            <w:vAlign w:val="bottom"/>
            <w:hideMark/>
          </w:tcPr>
          <w:p w:rsidR="00EA1869" w:rsidRPr="00EA1869" w:rsidRDefault="00EA1869" w:rsidP="00EA1869">
            <w:pPr>
              <w:rPr>
                <w:sz w:val="20"/>
                <w:szCs w:val="20"/>
              </w:rPr>
            </w:pPr>
          </w:p>
        </w:tc>
        <w:tc>
          <w:tcPr>
            <w:tcW w:w="1710" w:type="dxa"/>
            <w:tcBorders>
              <w:top w:val="nil"/>
              <w:left w:val="nil"/>
              <w:bottom w:val="nil"/>
              <w:right w:val="nil"/>
            </w:tcBorders>
            <w:shd w:val="clear" w:color="auto" w:fill="auto"/>
            <w:vAlign w:val="bottom"/>
            <w:hideMark/>
          </w:tcPr>
          <w:p w:rsidR="00EA1869" w:rsidRPr="00EA1869" w:rsidRDefault="00EA1869" w:rsidP="00EA1869">
            <w:pPr>
              <w:jc w:val="center"/>
              <w:rPr>
                <w:sz w:val="20"/>
                <w:szCs w:val="20"/>
              </w:rPr>
            </w:pPr>
          </w:p>
        </w:tc>
        <w:tc>
          <w:tcPr>
            <w:tcW w:w="1260" w:type="dxa"/>
            <w:tcBorders>
              <w:top w:val="nil"/>
              <w:left w:val="nil"/>
              <w:bottom w:val="nil"/>
              <w:right w:val="nil"/>
            </w:tcBorders>
            <w:shd w:val="clear" w:color="auto" w:fill="auto"/>
            <w:vAlign w:val="bottom"/>
            <w:hideMark/>
          </w:tcPr>
          <w:p w:rsidR="00EA1869" w:rsidRPr="00EA1869" w:rsidRDefault="00EA1869" w:rsidP="00EA1869">
            <w:pPr>
              <w:jc w:val="center"/>
              <w:rPr>
                <w:sz w:val="20"/>
                <w:szCs w:val="20"/>
              </w:rPr>
            </w:pPr>
          </w:p>
        </w:tc>
        <w:tc>
          <w:tcPr>
            <w:tcW w:w="1440" w:type="dxa"/>
            <w:tcBorders>
              <w:top w:val="nil"/>
              <w:left w:val="nil"/>
              <w:bottom w:val="nil"/>
              <w:right w:val="nil"/>
            </w:tcBorders>
            <w:shd w:val="clear" w:color="auto" w:fill="auto"/>
            <w:vAlign w:val="bottom"/>
            <w:hideMark/>
          </w:tcPr>
          <w:p w:rsidR="00EA1869" w:rsidRPr="00EA1869" w:rsidRDefault="00EA1869" w:rsidP="00EA1869">
            <w:pPr>
              <w:jc w:val="center"/>
              <w:rPr>
                <w:sz w:val="20"/>
                <w:szCs w:val="20"/>
              </w:rPr>
            </w:pPr>
          </w:p>
        </w:tc>
      </w:tr>
      <w:tr w:rsidR="00EA1869" w:rsidRPr="00EA1869" w:rsidTr="00EA1869">
        <w:trPr>
          <w:trHeight w:val="290"/>
        </w:trPr>
        <w:tc>
          <w:tcPr>
            <w:tcW w:w="3870" w:type="dxa"/>
            <w:tcBorders>
              <w:top w:val="nil"/>
              <w:left w:val="nil"/>
              <w:bottom w:val="single" w:sz="4" w:space="0" w:color="auto"/>
              <w:right w:val="nil"/>
            </w:tcBorders>
            <w:shd w:val="clear" w:color="auto" w:fill="auto"/>
            <w:vAlign w:val="bottom"/>
            <w:hideMark/>
          </w:tcPr>
          <w:p w:rsidR="00EA1869" w:rsidRPr="00EA1869" w:rsidRDefault="00EA1869" w:rsidP="00EA1869">
            <w:pPr>
              <w:rPr>
                <w:rFonts w:ascii="Calibri" w:hAnsi="Calibri" w:cs="Calibri"/>
                <w:color w:val="000000"/>
                <w:sz w:val="22"/>
                <w:szCs w:val="22"/>
              </w:rPr>
            </w:pPr>
            <w:r w:rsidRPr="00EA1869">
              <w:rPr>
                <w:rFonts w:ascii="Calibri" w:hAnsi="Calibri" w:cs="Calibri"/>
                <w:color w:val="000000"/>
                <w:sz w:val="22"/>
                <w:szCs w:val="22"/>
              </w:rPr>
              <w:t>N</w:t>
            </w:r>
          </w:p>
        </w:tc>
        <w:tc>
          <w:tcPr>
            <w:tcW w:w="1080" w:type="dxa"/>
            <w:tcBorders>
              <w:top w:val="nil"/>
              <w:left w:val="nil"/>
              <w:bottom w:val="single" w:sz="4" w:space="0" w:color="auto"/>
              <w:right w:val="nil"/>
            </w:tcBorders>
            <w:shd w:val="clear" w:color="auto" w:fill="auto"/>
            <w:noWrap/>
            <w:vAlign w:val="bottom"/>
            <w:hideMark/>
          </w:tcPr>
          <w:p w:rsidR="00EA1869" w:rsidRPr="00EA1869" w:rsidRDefault="00EA1869" w:rsidP="00EA1869">
            <w:pPr>
              <w:jc w:val="center"/>
              <w:rPr>
                <w:rFonts w:ascii="Calibri" w:hAnsi="Calibri" w:cs="Calibri"/>
                <w:color w:val="000000"/>
                <w:sz w:val="22"/>
                <w:szCs w:val="22"/>
              </w:rPr>
            </w:pPr>
            <w:r w:rsidRPr="00EA1869">
              <w:rPr>
                <w:rFonts w:ascii="Calibri" w:hAnsi="Calibri" w:cs="Calibri"/>
                <w:color w:val="000000"/>
                <w:sz w:val="22"/>
                <w:szCs w:val="22"/>
              </w:rPr>
              <w:t>47148</w:t>
            </w:r>
          </w:p>
        </w:tc>
        <w:tc>
          <w:tcPr>
            <w:tcW w:w="1710" w:type="dxa"/>
            <w:tcBorders>
              <w:top w:val="nil"/>
              <w:left w:val="nil"/>
              <w:bottom w:val="single" w:sz="4" w:space="0" w:color="auto"/>
              <w:right w:val="nil"/>
            </w:tcBorders>
            <w:shd w:val="clear" w:color="auto" w:fill="auto"/>
            <w:noWrap/>
            <w:vAlign w:val="bottom"/>
            <w:hideMark/>
          </w:tcPr>
          <w:p w:rsidR="00EA1869" w:rsidRPr="00EA1869" w:rsidRDefault="00EA1869" w:rsidP="00EA1869">
            <w:pPr>
              <w:jc w:val="center"/>
              <w:rPr>
                <w:rFonts w:ascii="Calibri" w:hAnsi="Calibri" w:cs="Calibri"/>
                <w:color w:val="000000"/>
                <w:sz w:val="22"/>
                <w:szCs w:val="22"/>
              </w:rPr>
            </w:pPr>
            <w:r w:rsidRPr="00EA1869">
              <w:rPr>
                <w:rFonts w:ascii="Calibri" w:hAnsi="Calibri" w:cs="Calibri"/>
                <w:color w:val="000000"/>
                <w:sz w:val="22"/>
                <w:szCs w:val="22"/>
              </w:rPr>
              <w:t>72570</w:t>
            </w:r>
          </w:p>
        </w:tc>
        <w:tc>
          <w:tcPr>
            <w:tcW w:w="1260" w:type="dxa"/>
            <w:tcBorders>
              <w:top w:val="nil"/>
              <w:left w:val="nil"/>
              <w:bottom w:val="single" w:sz="4" w:space="0" w:color="auto"/>
              <w:right w:val="nil"/>
            </w:tcBorders>
            <w:shd w:val="clear" w:color="auto" w:fill="auto"/>
            <w:noWrap/>
            <w:vAlign w:val="bottom"/>
            <w:hideMark/>
          </w:tcPr>
          <w:p w:rsidR="00EA1869" w:rsidRPr="00EA1869" w:rsidRDefault="00EA1869" w:rsidP="00EA1869">
            <w:pPr>
              <w:jc w:val="center"/>
              <w:rPr>
                <w:rFonts w:ascii="Calibri" w:hAnsi="Calibri" w:cs="Calibri"/>
                <w:color w:val="000000"/>
                <w:sz w:val="22"/>
                <w:szCs w:val="22"/>
              </w:rPr>
            </w:pPr>
            <w:r w:rsidRPr="00EA1869">
              <w:rPr>
                <w:rFonts w:ascii="Calibri" w:hAnsi="Calibri" w:cs="Calibri"/>
                <w:color w:val="000000"/>
                <w:sz w:val="22"/>
                <w:szCs w:val="22"/>
              </w:rPr>
              <w:t>47224</w:t>
            </w:r>
          </w:p>
        </w:tc>
        <w:tc>
          <w:tcPr>
            <w:tcW w:w="1440" w:type="dxa"/>
            <w:tcBorders>
              <w:top w:val="nil"/>
              <w:left w:val="nil"/>
              <w:bottom w:val="single" w:sz="4" w:space="0" w:color="auto"/>
              <w:right w:val="nil"/>
            </w:tcBorders>
            <w:shd w:val="clear" w:color="auto" w:fill="auto"/>
            <w:noWrap/>
            <w:vAlign w:val="bottom"/>
            <w:hideMark/>
          </w:tcPr>
          <w:p w:rsidR="00EA1869" w:rsidRPr="00EA1869" w:rsidRDefault="00EA1869" w:rsidP="00EA1869">
            <w:pPr>
              <w:jc w:val="center"/>
              <w:rPr>
                <w:rFonts w:ascii="Calibri" w:hAnsi="Calibri" w:cs="Calibri"/>
                <w:color w:val="000000"/>
                <w:sz w:val="22"/>
                <w:szCs w:val="22"/>
              </w:rPr>
            </w:pPr>
            <w:r w:rsidRPr="00EA1869">
              <w:rPr>
                <w:rFonts w:ascii="Calibri" w:hAnsi="Calibri" w:cs="Calibri"/>
                <w:color w:val="000000"/>
                <w:sz w:val="22"/>
                <w:szCs w:val="22"/>
              </w:rPr>
              <w:t>49811</w:t>
            </w:r>
          </w:p>
        </w:tc>
      </w:tr>
    </w:tbl>
    <w:p w:rsidR="00491035" w:rsidRDefault="00491035" w:rsidP="00491035">
      <w:pPr>
        <w:spacing w:line="276" w:lineRule="auto"/>
        <w:rPr>
          <w:sz w:val="16"/>
          <w:szCs w:val="16"/>
        </w:rPr>
      </w:pPr>
      <w:r w:rsidRPr="005A43BD">
        <w:rPr>
          <w:i/>
          <w:sz w:val="16"/>
          <w:szCs w:val="16"/>
        </w:rPr>
        <w:t xml:space="preserve">Notes: </w:t>
      </w:r>
      <w:r>
        <w:rPr>
          <w:sz w:val="16"/>
          <w:szCs w:val="16"/>
        </w:rPr>
        <w:t>Standard errors, heteroskedasticity-robust and clustered at the state level, are in parentheses. *** Denotes statistical significance at 1 percent level, ** Denotes statistical significance at 5 percent level,</w:t>
      </w:r>
      <w:r w:rsidRPr="005A43BD">
        <w:rPr>
          <w:sz w:val="16"/>
          <w:szCs w:val="16"/>
        </w:rPr>
        <w:t xml:space="preserve"> </w:t>
      </w:r>
      <w:r>
        <w:rPr>
          <w:sz w:val="16"/>
          <w:szCs w:val="16"/>
        </w:rPr>
        <w:t>* Denotes statistical significance at 10 percent level</w:t>
      </w:r>
    </w:p>
    <w:p w:rsidR="00814852" w:rsidRDefault="00814852" w:rsidP="00491035">
      <w:pPr>
        <w:spacing w:line="276" w:lineRule="auto"/>
        <w:rPr>
          <w:b/>
          <w:u w:val="single"/>
        </w:rPr>
      </w:pPr>
    </w:p>
    <w:p w:rsidR="005A738C" w:rsidRPr="007E0CC0" w:rsidRDefault="00897128" w:rsidP="00975E27">
      <w:pPr>
        <w:pStyle w:val="ListParagraph"/>
        <w:numPr>
          <w:ilvl w:val="0"/>
          <w:numId w:val="4"/>
        </w:numPr>
        <w:spacing w:line="480" w:lineRule="auto"/>
        <w:rPr>
          <w:b/>
          <w:u w:val="single"/>
        </w:rPr>
      </w:pPr>
      <w:r w:rsidRPr="007E0CC0">
        <w:rPr>
          <w:b/>
          <w:u w:val="single"/>
        </w:rPr>
        <w:lastRenderedPageBreak/>
        <w:t>Conclusion/Discussion</w:t>
      </w:r>
    </w:p>
    <w:p w:rsidR="007B073A" w:rsidRDefault="00842976" w:rsidP="00975E27">
      <w:pPr>
        <w:spacing w:line="480" w:lineRule="auto"/>
        <w:ind w:firstLine="720"/>
      </w:pPr>
      <w:r>
        <w:t xml:space="preserve">In summation, the Affordable Care Act </w:t>
      </w:r>
      <w:r w:rsidR="00B710A7">
        <w:t xml:space="preserve">is </w:t>
      </w:r>
      <w:r>
        <w:t xml:space="preserve">the most significant change to U.S National health policy </w:t>
      </w:r>
      <w:r w:rsidR="00D42F5E">
        <w:t xml:space="preserve">in recent history. </w:t>
      </w:r>
      <w:r w:rsidR="00DA57CC">
        <w:t>Several studies have attempted to estimate the effects of this sweeping reform on labor supply by studying the 2014 rollout of many of its key provisions</w:t>
      </w:r>
      <w:r w:rsidR="00713ADE">
        <w:t>, including the Medicaid expansion</w:t>
      </w:r>
      <w:r w:rsidR="00DA57CC">
        <w:t xml:space="preserve">. </w:t>
      </w:r>
    </w:p>
    <w:p w:rsidR="00744E26" w:rsidRDefault="00935150" w:rsidP="00975E27">
      <w:pPr>
        <w:spacing w:line="480" w:lineRule="auto"/>
        <w:ind w:firstLine="720"/>
      </w:pPr>
      <w:r>
        <w:t>One of the goals of this paper was</w:t>
      </w:r>
      <w:r w:rsidR="00744E26">
        <w:t xml:space="preserve"> to determine whether the null results of previous studies </w:t>
      </w:r>
      <w:r w:rsidR="007B5A62">
        <w:t xml:space="preserve">on the effects of the ACA Medicaid expansion </w:t>
      </w:r>
      <w:r w:rsidR="00744E26">
        <w:t xml:space="preserve">were </w:t>
      </w:r>
      <w:r w:rsidR="002901AD">
        <w:t xml:space="preserve">truly null results, or merely type II error/a lack of statistical power due to a lack of much identifying variation. </w:t>
      </w:r>
      <w:r w:rsidR="00A01504">
        <w:t xml:space="preserve">By </w:t>
      </w:r>
      <w:r w:rsidR="000A0776">
        <w:t xml:space="preserve">utilizing the Difference-in-Difference-in-Differences model to </w:t>
      </w:r>
      <w:r w:rsidR="00A01504">
        <w:t>leverag</w:t>
      </w:r>
      <w:r w:rsidR="000A0776">
        <w:t>e</w:t>
      </w:r>
      <w:r w:rsidR="00A01504">
        <w:t xml:space="preserve"> pre-treatment uninsured rates in local areas </w:t>
      </w:r>
      <w:r w:rsidR="000A0776">
        <w:t>and</w:t>
      </w:r>
      <w:r w:rsidR="00A01504">
        <w:t xml:space="preserve"> provide more identifying variation</w:t>
      </w:r>
      <w:r w:rsidR="0009391D">
        <w:t>, I provided additional suggestive evidence that the 2014 Medicaid expansion was not associated with substantial effects on labor supply, possibly with the exception of wages.</w:t>
      </w:r>
      <w:r>
        <w:t xml:space="preserve"> However, </w:t>
      </w:r>
      <w:r w:rsidR="00D538D5">
        <w:t xml:space="preserve">with regard to wages, </w:t>
      </w:r>
      <w:r>
        <w:t>there is not a clear explanation as to why the Medicaid expansion would be associated with a decrease in wages</w:t>
      </w:r>
      <w:r w:rsidR="00C00396">
        <w:t xml:space="preserve">, especially given that I find no significant effects on hours worked. </w:t>
      </w:r>
      <w:r w:rsidR="00D511A2">
        <w:t xml:space="preserve">Given that these estimates were highly variable and not </w:t>
      </w:r>
      <w:r w:rsidR="00713ADE">
        <w:t>statistically</w:t>
      </w:r>
      <w:r w:rsidR="00D511A2">
        <w:t xml:space="preserve"> significant, I am not confident in them. More investigation that is beyond the scope of this paper would be required to determine the veracity of these estimates. </w:t>
      </w:r>
    </w:p>
    <w:p w:rsidR="00E7135D" w:rsidRDefault="00B855F2" w:rsidP="00975E27">
      <w:pPr>
        <w:spacing w:line="480" w:lineRule="auto"/>
        <w:ind w:firstLine="720"/>
      </w:pPr>
      <w:r>
        <w:t xml:space="preserve">The other primary goal of this paper was to estimate the effects of the non-Medicaid ACA provisions, rolled out in 2014, on labor supply. </w:t>
      </w:r>
      <w:r w:rsidR="00647E8C">
        <w:t xml:space="preserve">The only clear, significant estimate of substantial magnitude is that of the non-Medicaid provisions on employment: this estimate of 0.0501 (from my main results) implies that the 2014 rollout of the individual mandate, insurance regulations, and insurance exchanges with subsidies is associated with an increase in employment of 1.1 percentage points for the average PUMA, an increase in employment of 0.2 percentage points for the minimum uninsured PUMA, and an increase in employment of 2.6 </w:t>
      </w:r>
      <w:r w:rsidR="00647E8C">
        <w:lastRenderedPageBreak/>
        <w:t xml:space="preserve">percentage points for the maximum uninsured PUMA. </w:t>
      </w:r>
      <w:r w:rsidR="001A78AE">
        <w:t>Looking across my main results, heterogeneity results, robustness checks, and associated event study results</w:t>
      </w:r>
      <w:r w:rsidR="00E703D5">
        <w:t xml:space="preserve">, this effect on employment seems to be fairly robust. </w:t>
      </w:r>
    </w:p>
    <w:p w:rsidR="00B855F2" w:rsidRDefault="00C53765" w:rsidP="00975E27">
      <w:pPr>
        <w:spacing w:line="480" w:lineRule="auto"/>
        <w:ind w:firstLine="720"/>
      </w:pPr>
      <w:r>
        <w:t xml:space="preserve">This seems to fit with the </w:t>
      </w:r>
      <w:r w:rsidR="009267D0">
        <w:t>“job lock” story outlined earlier. While the insurance exchanges (and associated subsidies) and the Medicaid expansion were intended to reduce the link between employment and health insurance, these provisions did not apply to everyone</w:t>
      </w:r>
      <w:r w:rsidR="002B4D6C">
        <w:t xml:space="preserve">: the subsidies only applied to individuals with incomes below 400% of the federal poverty line, and the Medicaid expansion applied to individuals below 138% of the federal poverty line. </w:t>
      </w:r>
      <w:r w:rsidR="00E7135D">
        <w:t xml:space="preserve">Additionally, the individual mandate and insurance regulations took effect in 2014, and the employer mandate took effect in 2015. Given the requirement to have insurance, the fact that private insurance improved due to the new regulations, and the increased prevalence of employer provided insurance from 2015 on, it could be that many individuals still saw employer provided health insurance as their best option for obtaining health coverage, and became more reluctant to leave jobs with said health insurance benefits. </w:t>
      </w:r>
    </w:p>
    <w:p w:rsidR="007F3C9E" w:rsidRDefault="0050396F" w:rsidP="00975E27">
      <w:pPr>
        <w:spacing w:line="480" w:lineRule="auto"/>
        <w:ind w:firstLine="720"/>
      </w:pPr>
      <w:r>
        <w:t>The only other notable estimates are that of the modest (but insignificant) estimates of the Medicaid expansion on female labor supply (labor force participation, hours worked, wages) and the estimated decrease in labor force participation</w:t>
      </w:r>
      <w:r w:rsidR="00F662A0">
        <w:t xml:space="preserve"> associated with the Medicaid expansion. The estimates for Medicaid and female labor supply are nearing significance and show up across three of four outcome variables. This </w:t>
      </w:r>
      <w:r w:rsidR="00FF0DF0">
        <w:t xml:space="preserve">could possibly be driven by married women, who are likely to be secondary earners in a household. Indeed, Currie &amp; Madrian note that married women are particularly less likely to be employed if there is a source of health insurance available that is not tied to employment. </w:t>
      </w:r>
      <w:r w:rsidR="00810A62">
        <w:t xml:space="preserve">Finally, the estimated </w:t>
      </w:r>
      <w:r w:rsidR="008123D2">
        <w:t xml:space="preserve">modest </w:t>
      </w:r>
      <w:r w:rsidR="00810A62">
        <w:t>decrease in labor supply associated with the non-</w:t>
      </w:r>
      <w:r w:rsidR="008123D2">
        <w:t>M</w:t>
      </w:r>
      <w:r w:rsidR="00810A62">
        <w:t>edicaid provisions</w:t>
      </w:r>
      <w:r w:rsidR="008123D2">
        <w:t xml:space="preserve"> from the 2009-2016 sample is interesting. While I do not have a good </w:t>
      </w:r>
      <w:r w:rsidR="008123D2">
        <w:lastRenderedPageBreak/>
        <w:t>way of probing the robustness of this estimate, this estimate is consistent with the results of Duggan et al. (2017) which attributes this estimated effect to the health insurance exchanges. Indeed</w:t>
      </w:r>
      <w:r w:rsidR="007C6FD8">
        <w:t>,</w:t>
      </w:r>
      <w:bookmarkStart w:id="3" w:name="_GoBack"/>
      <w:bookmarkEnd w:id="3"/>
      <w:r w:rsidR="008123D2">
        <w:t xml:space="preserve"> this is consistent with the CBO’s projections that the </w:t>
      </w:r>
      <w:r w:rsidR="00715363">
        <w:t xml:space="preserve">insurance exchange subsidies would reduce labor supply due to </w:t>
      </w:r>
      <w:r w:rsidR="008123D2">
        <w:t>increased effective marginal</w:t>
      </w:r>
      <w:r w:rsidR="00715363">
        <w:t xml:space="preserve"> tax rates of income (the subsidies phase out as one nears the eligibility threshold.</w:t>
      </w:r>
    </w:p>
    <w:p w:rsidR="005E6AE4" w:rsidRPr="005E6AE4" w:rsidRDefault="005E6AE4" w:rsidP="00975E27">
      <w:pPr>
        <w:spacing w:line="480" w:lineRule="auto"/>
        <w:ind w:firstLine="720"/>
      </w:pPr>
      <w:r>
        <w:t xml:space="preserve">It is important to note that the ACA, due to </w:t>
      </w:r>
      <w:r w:rsidR="00900E03">
        <w:t xml:space="preserve">the </w:t>
      </w:r>
      <w:r>
        <w:t>sweep</w:t>
      </w:r>
      <w:r w:rsidR="00BF7B21">
        <w:t>ing</w:t>
      </w:r>
      <w:r>
        <w:t xml:space="preserve"> nature</w:t>
      </w:r>
      <w:r w:rsidR="00900E03">
        <w:t xml:space="preserve"> of the reform</w:t>
      </w:r>
      <w:r>
        <w:t xml:space="preserve">, is quite the blunt instrument. This means that any estimated effects are not necessarily applicable to other contexts. </w:t>
      </w:r>
      <w:r w:rsidR="000836B6">
        <w:t xml:space="preserve">To improve upon this analysis, there are a few key directions to take it. I would like to be able to estimate a model with PUMA specific linear trends, but this requires significant computational power I did not have access to. This was also the case for running individual level regressions, which would be preferable to aggregate analysis because it would allow the use of individual level controls. </w:t>
      </w:r>
      <w:r w:rsidR="00436EB5">
        <w:t xml:space="preserve">Future work could additionally include late-expanding states by coding the treatment variable by year, although this would require more years of data to get good estimates. </w:t>
      </w:r>
      <w:r w:rsidR="00ED2CD2">
        <w:t>Finally, it would be interesting to perform more heterogeneity analysis on the basis of number of children, income &amp; marital status, given that these were some the groups whose health coverage increased the most due to the ACA.</w:t>
      </w:r>
    </w:p>
    <w:p w:rsidR="00C57E33" w:rsidRDefault="00C57E33" w:rsidP="000A0776">
      <w:pPr>
        <w:spacing w:line="276" w:lineRule="auto"/>
        <w:ind w:firstLine="720"/>
      </w:pPr>
    </w:p>
    <w:p w:rsidR="009B07B0" w:rsidRDefault="009B07B0">
      <w:pPr>
        <w:spacing w:after="160" w:line="259" w:lineRule="auto"/>
      </w:pPr>
      <w:r>
        <w:br w:type="page"/>
      </w:r>
    </w:p>
    <w:p w:rsidR="00836E63" w:rsidRPr="00931F0E" w:rsidRDefault="005A738C" w:rsidP="00482A31">
      <w:pPr>
        <w:spacing w:line="276" w:lineRule="auto"/>
        <w:rPr>
          <w:b/>
          <w:u w:val="single"/>
        </w:rPr>
      </w:pPr>
      <w:r w:rsidRPr="00BA19D2">
        <w:rPr>
          <w:b/>
          <w:u w:val="single"/>
        </w:rPr>
        <w:lastRenderedPageBreak/>
        <w:t>References</w:t>
      </w:r>
    </w:p>
    <w:p w:rsidR="00930C46" w:rsidRDefault="00930C46" w:rsidP="00372AE6">
      <w:pPr>
        <w:spacing w:line="276" w:lineRule="auto"/>
        <w:ind w:left="720" w:hanging="720"/>
      </w:pPr>
    </w:p>
    <w:p w:rsidR="00930C46" w:rsidRDefault="00930C46" w:rsidP="00372AE6">
      <w:pPr>
        <w:spacing w:line="276" w:lineRule="auto"/>
        <w:ind w:left="720" w:hanging="720"/>
      </w:pPr>
      <w:r w:rsidRPr="00930C46">
        <w:rPr>
          <w:iCs/>
        </w:rPr>
        <w:t>Advisory Board</w:t>
      </w:r>
      <w:r w:rsidRPr="00930C46">
        <w:t>, “Daily Briefing Primer: The Affordable Care Act's 2014 Rollout.” 11 Sept. 2013, www.advisory.com/daily-briefing/resources/primers/aca-2014-rollout.</w:t>
      </w:r>
    </w:p>
    <w:p w:rsidR="00372AE6" w:rsidRDefault="00372AE6" w:rsidP="00372AE6">
      <w:pPr>
        <w:spacing w:line="276" w:lineRule="auto"/>
        <w:ind w:left="720" w:hanging="720"/>
      </w:pPr>
      <w:r w:rsidRPr="00372AE6">
        <w:t>Baicker, Katherine, et al. "The impact of Medicaid on labor market activity and program participation: evidence from the Oregon Health Insurance Experiment." </w:t>
      </w:r>
      <w:r w:rsidRPr="00372AE6">
        <w:rPr>
          <w:i/>
          <w:iCs/>
        </w:rPr>
        <w:t>American Economic Review</w:t>
      </w:r>
      <w:r w:rsidRPr="00372AE6">
        <w:t> 104.5 (2014): 322-28.</w:t>
      </w:r>
    </w:p>
    <w:p w:rsidR="00C66985" w:rsidRDefault="00646F17" w:rsidP="00646F17">
      <w:pPr>
        <w:spacing w:line="276" w:lineRule="auto"/>
        <w:ind w:left="720" w:hanging="720"/>
      </w:pPr>
      <w:r w:rsidRPr="00646F17">
        <w:t>Courtemanche, Charles, et al. "Early impacts of the Affordable Care Act on health insurance coverage in Medicaid expansion and non‐expansion states." </w:t>
      </w:r>
      <w:r w:rsidRPr="00646F17">
        <w:rPr>
          <w:i/>
          <w:iCs/>
        </w:rPr>
        <w:t>Journal of Policy Analysis and Management</w:t>
      </w:r>
      <w:r w:rsidRPr="00646F17">
        <w:t> 36.1 (2017): 178-210.</w:t>
      </w:r>
    </w:p>
    <w:p w:rsidR="004E226D" w:rsidRDefault="0017525C" w:rsidP="004E226D">
      <w:pPr>
        <w:spacing w:line="276" w:lineRule="auto"/>
      </w:pPr>
      <w:r w:rsidRPr="0017525C">
        <w:t>Currie, Janet, and Brigitte C. Madrian. "Health, health insurance and the labo</w:t>
      </w:r>
      <w:r w:rsidR="004E226D">
        <w:t xml:space="preserve">r </w:t>
      </w:r>
      <w:r w:rsidRPr="0017525C">
        <w:t>market." </w:t>
      </w:r>
    </w:p>
    <w:p w:rsidR="0017525C" w:rsidRDefault="0017525C" w:rsidP="004E226D">
      <w:pPr>
        <w:spacing w:line="276" w:lineRule="auto"/>
        <w:ind w:firstLine="720"/>
      </w:pPr>
      <w:r w:rsidRPr="0017525C">
        <w:rPr>
          <w:i/>
          <w:iCs/>
        </w:rPr>
        <w:t>Handbook of labor economics</w:t>
      </w:r>
      <w:r w:rsidR="00995D84">
        <w:rPr>
          <w:i/>
          <w:iCs/>
        </w:rPr>
        <w:t>,</w:t>
      </w:r>
      <w:r w:rsidRPr="0017525C">
        <w:t> </w:t>
      </w:r>
      <w:r w:rsidR="00995D84">
        <w:t xml:space="preserve">Vol. </w:t>
      </w:r>
      <w:r w:rsidRPr="0017525C">
        <w:t>3</w:t>
      </w:r>
      <w:r w:rsidR="00995D84">
        <w:t>, Part C,</w:t>
      </w:r>
      <w:r w:rsidRPr="0017525C">
        <w:t xml:space="preserve"> (1999): 3309-3416.</w:t>
      </w:r>
    </w:p>
    <w:p w:rsidR="00CA24B3" w:rsidRDefault="00CA24B3" w:rsidP="00646F17">
      <w:pPr>
        <w:spacing w:line="276" w:lineRule="auto"/>
        <w:ind w:left="720" w:hanging="720"/>
      </w:pPr>
      <w:r w:rsidRPr="00CA24B3">
        <w:t>Dague, Laura, Thomas DeLeire, and Lindsey Leininger. "The effect of public insurance coverage for childless adults on labor supply." </w:t>
      </w:r>
      <w:r w:rsidRPr="00CA24B3">
        <w:rPr>
          <w:i/>
          <w:iCs/>
        </w:rPr>
        <w:t>American Economic Journal: Economic Policy</w:t>
      </w:r>
      <w:r w:rsidR="00995D84">
        <w:rPr>
          <w:i/>
          <w:iCs/>
        </w:rPr>
        <w:t xml:space="preserve"> </w:t>
      </w:r>
      <w:r w:rsidRPr="00CA24B3">
        <w:t>9.2 (2017): 124-54.</w:t>
      </w:r>
    </w:p>
    <w:p w:rsidR="006D104D" w:rsidRDefault="006D104D" w:rsidP="00646F17">
      <w:pPr>
        <w:spacing w:line="276" w:lineRule="auto"/>
        <w:ind w:left="720" w:hanging="720"/>
      </w:pPr>
      <w:r w:rsidRPr="006D104D">
        <w:t>Duggan, Mark, Gopi Shah Goda, and Emilie Jackson. </w:t>
      </w:r>
      <w:r w:rsidRPr="006D104D">
        <w:rPr>
          <w:i/>
          <w:iCs/>
        </w:rPr>
        <w:t>The effects of the Affordable Care Act on health insurance coverage and labor market outcomes</w:t>
      </w:r>
      <w:r w:rsidRPr="006D104D">
        <w:t>. No. w23607. National Bureau of Economic Research, 2017.</w:t>
      </w:r>
    </w:p>
    <w:p w:rsidR="002A1D9E" w:rsidRDefault="002A1D9E" w:rsidP="00646F17">
      <w:pPr>
        <w:spacing w:line="276" w:lineRule="auto"/>
        <w:ind w:left="720" w:hanging="720"/>
      </w:pPr>
      <w:r w:rsidRPr="002A1D9E">
        <w:t>Garthwaite, Craig, Tal Gross, and Matthew J. Notowidigdo. "Public health insurance, labor supply, and employment lock." </w:t>
      </w:r>
      <w:r w:rsidRPr="002A1D9E">
        <w:rPr>
          <w:i/>
          <w:iCs/>
        </w:rPr>
        <w:t>The Quarterly Journal of Economics</w:t>
      </w:r>
      <w:r w:rsidRPr="002A1D9E">
        <w:t> 129.2 (2014): 653-696.</w:t>
      </w:r>
    </w:p>
    <w:p w:rsidR="00E87299" w:rsidRDefault="00E87299" w:rsidP="006073F7">
      <w:pPr>
        <w:spacing w:line="276" w:lineRule="auto"/>
        <w:ind w:left="720" w:hanging="720"/>
      </w:pPr>
      <w:r w:rsidRPr="00E87299">
        <w:t>Gooptu, Angshuman, Asako S. Moriya, Kosali I. Simon, and Benjamin D. Sommers. "Medicaid expansion did not result in significant employment changes or job reductions in 2014." Health affairs 35, no. 1 (2016): 111-118.</w:t>
      </w:r>
    </w:p>
    <w:p w:rsidR="00EB0271" w:rsidRDefault="00EB0271" w:rsidP="006073F7">
      <w:pPr>
        <w:spacing w:line="276" w:lineRule="auto"/>
        <w:ind w:left="720" w:hanging="720"/>
      </w:pPr>
      <w:r w:rsidRPr="00EB0271">
        <w:t>Harris, Edward, and Shannon Mok. </w:t>
      </w:r>
      <w:r w:rsidRPr="00EB0271">
        <w:rPr>
          <w:i/>
          <w:iCs/>
        </w:rPr>
        <w:t>How CBO Estimates the Effects of the Affordable Care Act on the Labor Market: Working Paper 2015-09</w:t>
      </w:r>
      <w:r w:rsidRPr="00EB0271">
        <w:t>. No. 51065. Congressional Budget Office, 2015.</w:t>
      </w:r>
      <w:r>
        <w:t xml:space="preserve"> </w:t>
      </w:r>
    </w:p>
    <w:p w:rsidR="00B9740A" w:rsidRDefault="004E6F51" w:rsidP="006073F7">
      <w:pPr>
        <w:spacing w:line="276" w:lineRule="auto"/>
        <w:ind w:left="720" w:hanging="720"/>
      </w:pPr>
      <w:r w:rsidRPr="004E6F51">
        <w:rPr>
          <w:iCs/>
        </w:rPr>
        <w:t>Health Reform Tracker</w:t>
      </w:r>
      <w:r>
        <w:t xml:space="preserve">, </w:t>
      </w:r>
      <w:r w:rsidR="00B9740A" w:rsidRPr="00B9740A">
        <w:t>“Medicaid: Changes under the Affordable Care Act.” 3 May 2017, www.healthreformtracker.org/medicaid-changes-under-the-affordable-care-act/.</w:t>
      </w:r>
    </w:p>
    <w:p w:rsidR="00E87299" w:rsidRDefault="00E87299" w:rsidP="006073F7">
      <w:pPr>
        <w:spacing w:line="276" w:lineRule="auto"/>
        <w:ind w:left="720" w:hanging="720"/>
      </w:pPr>
      <w:r w:rsidRPr="00E87299">
        <w:t>Kaestner, Robert, Bowen Garrett, Jiajia Chen, Anuj Gangopadhyaya, and Caitlyn Fleming. "Effects of ACA Medicaid expansions on health insurance coverage and labor supply." Journal of Policy Analysis and Management 36, no. 3 (2017): 608-642.</w:t>
      </w:r>
    </w:p>
    <w:p w:rsidR="00F7485C" w:rsidRPr="003C4529" w:rsidRDefault="003C4529" w:rsidP="003C4529">
      <w:pPr>
        <w:spacing w:line="276" w:lineRule="auto"/>
        <w:ind w:left="720" w:hanging="720"/>
        <w:rPr>
          <w:bCs/>
        </w:rPr>
      </w:pPr>
      <w:r w:rsidRPr="003C4529">
        <w:t>Kaiser Family Foundation, “</w:t>
      </w:r>
      <w:r w:rsidRPr="003C4529">
        <w:rPr>
          <w:bCs/>
        </w:rPr>
        <w:t>Status of State Action on the Medicaid Expansion Decision</w:t>
      </w:r>
      <w:r>
        <w:rPr>
          <w:bCs/>
        </w:rPr>
        <w:t>.</w:t>
      </w:r>
      <w:r w:rsidRPr="003C4529">
        <w:t>”</w:t>
      </w:r>
      <w:r>
        <w:t xml:space="preserve"> 26 November 2018, </w:t>
      </w:r>
      <w:r w:rsidRPr="003C4529">
        <w:t>https://www.kff.org/health-reform/state-indicator/state-activity-around-expanding-medicaid-under-the-affordable-care-act/</w:t>
      </w:r>
    </w:p>
    <w:p w:rsidR="00E87299" w:rsidRDefault="00E87299" w:rsidP="006073F7">
      <w:pPr>
        <w:spacing w:line="276" w:lineRule="auto"/>
        <w:ind w:left="720" w:hanging="720"/>
      </w:pPr>
      <w:r w:rsidRPr="00E87299">
        <w:t xml:space="preserve">Leung, Pauline, and Alexandre Mas. </w:t>
      </w:r>
      <w:r w:rsidR="005235CC">
        <w:t>“</w:t>
      </w:r>
      <w:r w:rsidRPr="00E87299">
        <w:t>Employment effects of the ACA Medicaid expansions.</w:t>
      </w:r>
      <w:r w:rsidR="005235CC">
        <w:t>”</w:t>
      </w:r>
      <w:r w:rsidRPr="00E87299">
        <w:t xml:space="preserve"> No. w22540. Natio</w:t>
      </w:r>
      <w:r w:rsidR="000C6879">
        <w:t>nal Bureau of Economic Research</w:t>
      </w:r>
      <w:r w:rsidR="006D104D">
        <w:t>,</w:t>
      </w:r>
      <w:r w:rsidRPr="00E87299">
        <w:t xml:space="preserve"> 2016</w:t>
      </w:r>
    </w:p>
    <w:p w:rsidR="00A15422" w:rsidRDefault="00A15422" w:rsidP="006073F7">
      <w:pPr>
        <w:spacing w:line="276" w:lineRule="auto"/>
        <w:ind w:left="720" w:hanging="720"/>
      </w:pPr>
      <w:r w:rsidRPr="00A15422">
        <w:t>Paradise, Julia. “Medicaid Moving Forward.” </w:t>
      </w:r>
      <w:r w:rsidRPr="00A15422">
        <w:rPr>
          <w:i/>
          <w:iCs/>
        </w:rPr>
        <w:t>The Henry J. Kaiser Family Foundation</w:t>
      </w:r>
      <w:r w:rsidRPr="00A15422">
        <w:t>, 29 Mar. 2016, www.kff.org/health-reform/issue-brief/medicaid-moving-forward/.</w:t>
      </w:r>
    </w:p>
    <w:p w:rsidR="00851820" w:rsidRDefault="00043FE7" w:rsidP="00043FE7">
      <w:pPr>
        <w:spacing w:line="276" w:lineRule="auto"/>
        <w:ind w:left="720" w:hanging="720"/>
      </w:pPr>
      <w:r w:rsidRPr="00043FE7">
        <w:lastRenderedPageBreak/>
        <w:t>Peng, Lizhong, Xiaohui Ronnie Guo, and Chad D. Meyerhoefer. </w:t>
      </w:r>
      <w:r w:rsidRPr="00043FE7">
        <w:rPr>
          <w:i/>
          <w:iCs/>
        </w:rPr>
        <w:t>The Effects of Medicaid Expansion on Labor Market Outcomes: Evidence from Border Counties</w:t>
      </w:r>
      <w:r w:rsidRPr="00043FE7">
        <w:t>. No. w25105. National Bureau of Economic Research, 2018.</w:t>
      </w:r>
    </w:p>
    <w:p w:rsidR="00512454" w:rsidRPr="00851820" w:rsidRDefault="00512454" w:rsidP="00043FE7">
      <w:pPr>
        <w:spacing w:line="276" w:lineRule="auto"/>
        <w:ind w:left="720" w:hanging="720"/>
      </w:pPr>
      <w:r w:rsidRPr="00512454">
        <w:t>Sobel, Russell S. "The elephant in the room: why some states are refusing to expand Medicaid." </w:t>
      </w:r>
      <w:r w:rsidRPr="00512454">
        <w:rPr>
          <w:i/>
          <w:iCs/>
        </w:rPr>
        <w:t>Applied Economics Letters</w:t>
      </w:r>
      <w:r w:rsidRPr="00512454">
        <w:t>21.17 (2014): 1226-1229.</w:t>
      </w:r>
    </w:p>
    <w:p w:rsidR="00851820" w:rsidRPr="00851820" w:rsidRDefault="00851820" w:rsidP="00482A31">
      <w:pPr>
        <w:spacing w:line="276" w:lineRule="auto"/>
      </w:pPr>
    </w:p>
    <w:p w:rsidR="00851820" w:rsidRPr="00851820" w:rsidRDefault="00851820" w:rsidP="00482A31">
      <w:pPr>
        <w:spacing w:line="276" w:lineRule="auto"/>
      </w:pPr>
    </w:p>
    <w:p w:rsidR="00851820" w:rsidRPr="00851820" w:rsidRDefault="00851820" w:rsidP="00482A31">
      <w:pPr>
        <w:spacing w:line="276" w:lineRule="auto"/>
      </w:pPr>
    </w:p>
    <w:p w:rsidR="00851820" w:rsidRPr="00851820" w:rsidRDefault="00851820" w:rsidP="00482A31">
      <w:pPr>
        <w:spacing w:line="276" w:lineRule="auto"/>
      </w:pPr>
    </w:p>
    <w:p w:rsidR="00851820" w:rsidRPr="00851820" w:rsidRDefault="00851820" w:rsidP="00482A31">
      <w:pPr>
        <w:spacing w:line="276" w:lineRule="auto"/>
      </w:pPr>
    </w:p>
    <w:p w:rsidR="00851820" w:rsidRPr="00851820" w:rsidRDefault="00851820">
      <w:pPr>
        <w:spacing w:after="160" w:line="259" w:lineRule="auto"/>
      </w:pPr>
      <w:r w:rsidRPr="00851820">
        <w:br w:type="page"/>
      </w:r>
    </w:p>
    <w:p w:rsidR="00851820" w:rsidRDefault="00851820" w:rsidP="00482A31">
      <w:pPr>
        <w:spacing w:line="276" w:lineRule="auto"/>
        <w:rPr>
          <w:b/>
          <w:u w:val="single"/>
        </w:rPr>
      </w:pPr>
      <w:r w:rsidRPr="00851820">
        <w:rPr>
          <w:b/>
          <w:u w:val="single"/>
        </w:rPr>
        <w:lastRenderedPageBreak/>
        <w:t>Appendix</w:t>
      </w:r>
    </w:p>
    <w:p w:rsidR="00124E90" w:rsidRDefault="00124E90" w:rsidP="00482A31">
      <w:pPr>
        <w:spacing w:line="276" w:lineRule="auto"/>
        <w:rPr>
          <w:b/>
          <w:u w:val="single"/>
        </w:rPr>
      </w:pPr>
    </w:p>
    <w:p w:rsidR="00124E90" w:rsidRDefault="00124E90" w:rsidP="00482A31">
      <w:pPr>
        <w:spacing w:line="276" w:lineRule="auto"/>
        <w:rPr>
          <w:b/>
          <w:u w:val="single"/>
        </w:rPr>
      </w:pPr>
    </w:p>
    <w:p w:rsidR="00124E90" w:rsidRDefault="00124E90" w:rsidP="00482A31">
      <w:pPr>
        <w:spacing w:line="276" w:lineRule="auto"/>
        <w:rPr>
          <w:b/>
          <w:u w:val="single"/>
        </w:rPr>
      </w:pPr>
    </w:p>
    <w:tbl>
      <w:tblPr>
        <w:tblW w:w="5000" w:type="pct"/>
        <w:tblLook w:val="04A0" w:firstRow="1" w:lastRow="0" w:firstColumn="1" w:lastColumn="0" w:noHBand="0" w:noVBand="1"/>
      </w:tblPr>
      <w:tblGrid>
        <w:gridCol w:w="2682"/>
        <w:gridCol w:w="1053"/>
        <w:gridCol w:w="2459"/>
        <w:gridCol w:w="1106"/>
        <w:gridCol w:w="2060"/>
      </w:tblGrid>
      <w:tr w:rsidR="00124E90" w:rsidRPr="001A2FDB" w:rsidTr="005F0F2C">
        <w:trPr>
          <w:trHeight w:val="290"/>
        </w:trPr>
        <w:tc>
          <w:tcPr>
            <w:tcW w:w="5000" w:type="pct"/>
            <w:gridSpan w:val="5"/>
            <w:tcBorders>
              <w:top w:val="nil"/>
              <w:left w:val="nil"/>
              <w:bottom w:val="single" w:sz="4" w:space="0" w:color="auto"/>
              <w:right w:val="nil"/>
            </w:tcBorders>
            <w:shd w:val="clear" w:color="auto" w:fill="auto"/>
            <w:vAlign w:val="bottom"/>
            <w:hideMark/>
          </w:tcPr>
          <w:p w:rsidR="00124E90" w:rsidRPr="001A2FDB" w:rsidRDefault="00124E90" w:rsidP="005F0F2C">
            <w:pPr>
              <w:jc w:val="center"/>
              <w:rPr>
                <w:rFonts w:ascii="Calibri" w:hAnsi="Calibri" w:cs="Calibri"/>
                <w:b/>
                <w:bCs/>
                <w:color w:val="000000"/>
                <w:sz w:val="22"/>
                <w:szCs w:val="22"/>
                <w:u w:val="single"/>
              </w:rPr>
            </w:pPr>
            <w:r w:rsidRPr="001A2FDB">
              <w:rPr>
                <w:rFonts w:ascii="Calibri" w:hAnsi="Calibri" w:cs="Calibri"/>
                <w:b/>
                <w:bCs/>
                <w:color w:val="000000"/>
                <w:sz w:val="22"/>
                <w:szCs w:val="22"/>
                <w:u w:val="single"/>
              </w:rPr>
              <w:t xml:space="preserve">Table </w:t>
            </w:r>
            <w:r>
              <w:rPr>
                <w:rFonts w:ascii="Calibri" w:hAnsi="Calibri" w:cs="Calibri"/>
                <w:b/>
                <w:bCs/>
                <w:color w:val="000000"/>
                <w:sz w:val="22"/>
                <w:szCs w:val="22"/>
                <w:u w:val="single"/>
              </w:rPr>
              <w:t>A1</w:t>
            </w:r>
            <w:r w:rsidRPr="001A2FDB">
              <w:rPr>
                <w:rFonts w:ascii="Calibri" w:hAnsi="Calibri" w:cs="Calibri"/>
                <w:b/>
                <w:bCs/>
                <w:color w:val="000000"/>
                <w:sz w:val="22"/>
                <w:szCs w:val="22"/>
                <w:u w:val="single"/>
              </w:rPr>
              <w:t xml:space="preserve">: </w:t>
            </w:r>
            <w:r w:rsidR="00D201B1">
              <w:rPr>
                <w:rFonts w:ascii="Calibri" w:hAnsi="Calibri" w:cs="Calibri"/>
                <w:b/>
                <w:bCs/>
                <w:color w:val="000000"/>
                <w:sz w:val="22"/>
                <w:szCs w:val="22"/>
                <w:u w:val="single"/>
              </w:rPr>
              <w:t xml:space="preserve">Full Sample </w:t>
            </w:r>
            <w:r w:rsidRPr="001A2FDB">
              <w:rPr>
                <w:rFonts w:ascii="Calibri" w:hAnsi="Calibri" w:cs="Calibri"/>
                <w:b/>
                <w:bCs/>
                <w:color w:val="000000"/>
                <w:sz w:val="22"/>
                <w:szCs w:val="22"/>
                <w:u w:val="single"/>
              </w:rPr>
              <w:t>DiD Event Study</w:t>
            </w:r>
          </w:p>
        </w:tc>
      </w:tr>
      <w:tr w:rsidR="00124E90" w:rsidRPr="001A2FDB" w:rsidTr="005F0F2C">
        <w:trPr>
          <w:trHeight w:val="290"/>
        </w:trPr>
        <w:tc>
          <w:tcPr>
            <w:tcW w:w="1433" w:type="pct"/>
            <w:tcBorders>
              <w:top w:val="nil"/>
              <w:left w:val="nil"/>
              <w:bottom w:val="nil"/>
              <w:right w:val="nil"/>
            </w:tcBorders>
            <w:shd w:val="clear" w:color="auto" w:fill="auto"/>
            <w:vAlign w:val="bottom"/>
            <w:hideMark/>
          </w:tcPr>
          <w:p w:rsidR="00124E90" w:rsidRPr="001A2FDB" w:rsidRDefault="00124E90" w:rsidP="005F0F2C">
            <w:pPr>
              <w:jc w:val="center"/>
              <w:rPr>
                <w:rFonts w:ascii="Calibri" w:hAnsi="Calibri" w:cs="Calibri"/>
                <w:b/>
                <w:bCs/>
                <w:color w:val="000000"/>
                <w:sz w:val="22"/>
                <w:szCs w:val="22"/>
                <w:u w:val="single"/>
              </w:rPr>
            </w:pPr>
          </w:p>
        </w:tc>
        <w:tc>
          <w:tcPr>
            <w:tcW w:w="563" w:type="pct"/>
            <w:tcBorders>
              <w:top w:val="nil"/>
              <w:left w:val="nil"/>
              <w:bottom w:val="single" w:sz="4" w:space="0" w:color="auto"/>
              <w:right w:val="nil"/>
            </w:tcBorders>
            <w:shd w:val="clear" w:color="auto" w:fill="auto"/>
            <w:vAlign w:val="bottom"/>
            <w:hideMark/>
          </w:tcPr>
          <w:p w:rsidR="00124E90" w:rsidRPr="001A2FDB" w:rsidRDefault="00124E90" w:rsidP="005F0F2C">
            <w:pPr>
              <w:jc w:val="center"/>
              <w:rPr>
                <w:rFonts w:ascii="Calibri" w:hAnsi="Calibri" w:cs="Calibri"/>
                <w:color w:val="000000"/>
                <w:sz w:val="22"/>
                <w:szCs w:val="22"/>
              </w:rPr>
            </w:pPr>
            <w:proofErr w:type="gramStart"/>
            <w:r w:rsidRPr="001A2FDB">
              <w:rPr>
                <w:rFonts w:ascii="Calibri" w:hAnsi="Calibri" w:cs="Calibri"/>
                <w:color w:val="000000"/>
                <w:sz w:val="22"/>
                <w:szCs w:val="22"/>
              </w:rPr>
              <w:t>ln(</w:t>
            </w:r>
            <w:proofErr w:type="gramEnd"/>
            <w:r w:rsidRPr="001A2FDB">
              <w:rPr>
                <w:rFonts w:ascii="Calibri" w:hAnsi="Calibri" w:cs="Calibri"/>
                <w:color w:val="000000"/>
                <w:sz w:val="22"/>
                <w:szCs w:val="22"/>
              </w:rPr>
              <w:t>Wage)</w:t>
            </w:r>
          </w:p>
        </w:tc>
        <w:tc>
          <w:tcPr>
            <w:tcW w:w="1314" w:type="pct"/>
            <w:tcBorders>
              <w:top w:val="nil"/>
              <w:left w:val="nil"/>
              <w:bottom w:val="single" w:sz="4" w:space="0" w:color="auto"/>
              <w:right w:val="nil"/>
            </w:tcBorders>
            <w:shd w:val="clear" w:color="auto" w:fill="auto"/>
            <w:noWrap/>
            <w:vAlign w:val="center"/>
            <w:hideMark/>
          </w:tcPr>
          <w:p w:rsidR="00124E90" w:rsidRPr="001A2FDB" w:rsidRDefault="00124E90" w:rsidP="005F0F2C">
            <w:pPr>
              <w:jc w:val="center"/>
              <w:rPr>
                <w:rFonts w:ascii="Calibri" w:hAnsi="Calibri" w:cs="Calibri"/>
                <w:color w:val="000000"/>
                <w:sz w:val="22"/>
                <w:szCs w:val="22"/>
              </w:rPr>
            </w:pPr>
            <w:r w:rsidRPr="001A2FDB">
              <w:rPr>
                <w:rFonts w:ascii="Calibri" w:hAnsi="Calibri" w:cs="Calibri"/>
                <w:color w:val="000000"/>
                <w:sz w:val="22"/>
                <w:szCs w:val="22"/>
              </w:rPr>
              <w:t>Labor Force Participation</w:t>
            </w:r>
          </w:p>
        </w:tc>
        <w:tc>
          <w:tcPr>
            <w:tcW w:w="591" w:type="pct"/>
            <w:tcBorders>
              <w:top w:val="nil"/>
              <w:left w:val="nil"/>
              <w:bottom w:val="single" w:sz="4" w:space="0" w:color="auto"/>
              <w:right w:val="nil"/>
            </w:tcBorders>
            <w:shd w:val="clear" w:color="auto" w:fill="auto"/>
            <w:noWrap/>
            <w:vAlign w:val="center"/>
            <w:hideMark/>
          </w:tcPr>
          <w:p w:rsidR="00124E90" w:rsidRPr="001A2FDB" w:rsidRDefault="00124E90" w:rsidP="005F0F2C">
            <w:pPr>
              <w:jc w:val="center"/>
              <w:rPr>
                <w:rFonts w:ascii="Calibri" w:hAnsi="Calibri" w:cs="Calibri"/>
                <w:color w:val="000000"/>
                <w:sz w:val="22"/>
                <w:szCs w:val="22"/>
              </w:rPr>
            </w:pPr>
            <w:r w:rsidRPr="001A2FDB">
              <w:rPr>
                <w:rFonts w:ascii="Calibri" w:hAnsi="Calibri" w:cs="Calibri"/>
                <w:color w:val="000000"/>
                <w:sz w:val="22"/>
                <w:szCs w:val="22"/>
              </w:rPr>
              <w:t>Employed</w:t>
            </w:r>
          </w:p>
        </w:tc>
        <w:tc>
          <w:tcPr>
            <w:tcW w:w="1100" w:type="pct"/>
            <w:tcBorders>
              <w:top w:val="nil"/>
              <w:left w:val="nil"/>
              <w:bottom w:val="single" w:sz="4" w:space="0" w:color="auto"/>
              <w:right w:val="nil"/>
            </w:tcBorders>
            <w:shd w:val="clear" w:color="auto" w:fill="auto"/>
            <w:noWrap/>
            <w:vAlign w:val="center"/>
            <w:hideMark/>
          </w:tcPr>
          <w:p w:rsidR="00124E90" w:rsidRPr="001A2FDB" w:rsidRDefault="00124E90" w:rsidP="005F0F2C">
            <w:pPr>
              <w:jc w:val="center"/>
              <w:rPr>
                <w:rFonts w:ascii="Calibri" w:hAnsi="Calibri" w:cs="Calibri"/>
                <w:color w:val="000000"/>
                <w:sz w:val="22"/>
                <w:szCs w:val="22"/>
              </w:rPr>
            </w:pPr>
            <w:r w:rsidRPr="001A2FDB">
              <w:rPr>
                <w:rFonts w:ascii="Calibri" w:hAnsi="Calibri" w:cs="Calibri"/>
                <w:color w:val="000000"/>
                <w:sz w:val="22"/>
                <w:szCs w:val="22"/>
              </w:rPr>
              <w:t>Usual Hours Worked</w:t>
            </w:r>
          </w:p>
        </w:tc>
      </w:tr>
      <w:tr w:rsidR="00124E90" w:rsidRPr="001A2FDB" w:rsidTr="005F0F2C">
        <w:trPr>
          <w:trHeight w:val="290"/>
        </w:trPr>
        <w:tc>
          <w:tcPr>
            <w:tcW w:w="1433" w:type="pct"/>
            <w:tcBorders>
              <w:top w:val="nil"/>
              <w:left w:val="nil"/>
              <w:bottom w:val="nil"/>
              <w:right w:val="nil"/>
            </w:tcBorders>
            <w:shd w:val="clear" w:color="auto" w:fill="auto"/>
            <w:vAlign w:val="bottom"/>
            <w:hideMark/>
          </w:tcPr>
          <w:p w:rsidR="00124E90" w:rsidRPr="001A2FDB" w:rsidRDefault="00124E90" w:rsidP="005F0F2C">
            <w:pPr>
              <w:jc w:val="center"/>
              <w:rPr>
                <w:rFonts w:ascii="Calibri" w:hAnsi="Calibri" w:cs="Calibri"/>
                <w:color w:val="000000"/>
                <w:sz w:val="22"/>
                <w:szCs w:val="22"/>
              </w:rPr>
            </w:pPr>
          </w:p>
        </w:tc>
        <w:tc>
          <w:tcPr>
            <w:tcW w:w="563" w:type="pct"/>
            <w:tcBorders>
              <w:top w:val="nil"/>
              <w:left w:val="nil"/>
              <w:bottom w:val="nil"/>
              <w:right w:val="nil"/>
            </w:tcBorders>
            <w:shd w:val="clear" w:color="auto" w:fill="auto"/>
            <w:vAlign w:val="bottom"/>
            <w:hideMark/>
          </w:tcPr>
          <w:p w:rsidR="00124E90" w:rsidRPr="001A2FDB" w:rsidRDefault="00124E90" w:rsidP="005F0F2C">
            <w:pPr>
              <w:rPr>
                <w:sz w:val="20"/>
                <w:szCs w:val="20"/>
              </w:rPr>
            </w:pPr>
          </w:p>
        </w:tc>
        <w:tc>
          <w:tcPr>
            <w:tcW w:w="1314" w:type="pct"/>
            <w:tcBorders>
              <w:top w:val="nil"/>
              <w:left w:val="nil"/>
              <w:bottom w:val="nil"/>
              <w:right w:val="nil"/>
            </w:tcBorders>
            <w:shd w:val="clear" w:color="auto" w:fill="auto"/>
            <w:vAlign w:val="bottom"/>
            <w:hideMark/>
          </w:tcPr>
          <w:p w:rsidR="00124E90" w:rsidRPr="001A2FDB" w:rsidRDefault="00124E90" w:rsidP="005F0F2C">
            <w:pPr>
              <w:jc w:val="center"/>
              <w:rPr>
                <w:sz w:val="20"/>
                <w:szCs w:val="20"/>
              </w:rPr>
            </w:pPr>
          </w:p>
        </w:tc>
        <w:tc>
          <w:tcPr>
            <w:tcW w:w="591" w:type="pct"/>
            <w:tcBorders>
              <w:top w:val="nil"/>
              <w:left w:val="nil"/>
              <w:bottom w:val="nil"/>
              <w:right w:val="nil"/>
            </w:tcBorders>
            <w:shd w:val="clear" w:color="auto" w:fill="auto"/>
            <w:vAlign w:val="bottom"/>
            <w:hideMark/>
          </w:tcPr>
          <w:p w:rsidR="00124E90" w:rsidRPr="001A2FDB" w:rsidRDefault="00124E90" w:rsidP="005F0F2C">
            <w:pPr>
              <w:jc w:val="center"/>
              <w:rPr>
                <w:sz w:val="20"/>
                <w:szCs w:val="20"/>
              </w:rPr>
            </w:pPr>
          </w:p>
        </w:tc>
        <w:tc>
          <w:tcPr>
            <w:tcW w:w="1100" w:type="pct"/>
            <w:tcBorders>
              <w:top w:val="nil"/>
              <w:left w:val="nil"/>
              <w:bottom w:val="nil"/>
              <w:right w:val="nil"/>
            </w:tcBorders>
            <w:shd w:val="clear" w:color="auto" w:fill="auto"/>
            <w:vAlign w:val="bottom"/>
            <w:hideMark/>
          </w:tcPr>
          <w:p w:rsidR="00124E90" w:rsidRPr="001A2FDB" w:rsidRDefault="00124E90" w:rsidP="005F0F2C">
            <w:pPr>
              <w:jc w:val="center"/>
              <w:rPr>
                <w:sz w:val="20"/>
                <w:szCs w:val="20"/>
              </w:rPr>
            </w:pPr>
          </w:p>
        </w:tc>
      </w:tr>
      <w:tr w:rsidR="00124E90" w:rsidRPr="001A2FDB" w:rsidTr="005F0F2C">
        <w:trPr>
          <w:trHeight w:val="290"/>
        </w:trPr>
        <w:tc>
          <w:tcPr>
            <w:tcW w:w="1433" w:type="pct"/>
            <w:tcBorders>
              <w:top w:val="nil"/>
              <w:left w:val="nil"/>
              <w:bottom w:val="nil"/>
              <w:right w:val="nil"/>
            </w:tcBorders>
            <w:shd w:val="clear" w:color="auto" w:fill="auto"/>
            <w:vAlign w:val="bottom"/>
            <w:hideMark/>
          </w:tcPr>
          <w:p w:rsidR="00124E90" w:rsidRPr="001A2FDB" w:rsidRDefault="00124E90" w:rsidP="005F0F2C">
            <w:pPr>
              <w:rPr>
                <w:rFonts w:ascii="Calibri" w:hAnsi="Calibri" w:cs="Calibri"/>
                <w:color w:val="000000"/>
                <w:sz w:val="22"/>
                <w:szCs w:val="22"/>
              </w:rPr>
            </w:pPr>
            <w:r w:rsidRPr="001A2FDB">
              <w:rPr>
                <w:rFonts w:ascii="Calibri" w:hAnsi="Calibri" w:cs="Calibri"/>
                <w:color w:val="000000"/>
                <w:sz w:val="22"/>
                <w:szCs w:val="22"/>
              </w:rPr>
              <w:t>Medicaid x 2011</w:t>
            </w:r>
          </w:p>
        </w:tc>
        <w:tc>
          <w:tcPr>
            <w:tcW w:w="563" w:type="pct"/>
            <w:tcBorders>
              <w:top w:val="nil"/>
              <w:left w:val="nil"/>
              <w:bottom w:val="nil"/>
              <w:right w:val="nil"/>
            </w:tcBorders>
            <w:shd w:val="clear" w:color="auto" w:fill="auto"/>
            <w:vAlign w:val="bottom"/>
            <w:hideMark/>
          </w:tcPr>
          <w:p w:rsidR="00124E90" w:rsidRPr="001A2FDB" w:rsidRDefault="00124E90" w:rsidP="005F0F2C">
            <w:pPr>
              <w:jc w:val="center"/>
              <w:rPr>
                <w:rFonts w:ascii="Calibri" w:hAnsi="Calibri" w:cs="Calibri"/>
                <w:color w:val="000000"/>
                <w:sz w:val="22"/>
                <w:szCs w:val="22"/>
              </w:rPr>
            </w:pPr>
            <w:r w:rsidRPr="001A2FDB">
              <w:rPr>
                <w:rFonts w:ascii="Calibri" w:hAnsi="Calibri" w:cs="Calibri"/>
                <w:color w:val="000000"/>
                <w:sz w:val="22"/>
                <w:szCs w:val="22"/>
              </w:rPr>
              <w:t>0.000337</w:t>
            </w:r>
          </w:p>
        </w:tc>
        <w:tc>
          <w:tcPr>
            <w:tcW w:w="1314" w:type="pct"/>
            <w:tcBorders>
              <w:top w:val="nil"/>
              <w:left w:val="nil"/>
              <w:bottom w:val="nil"/>
              <w:right w:val="nil"/>
            </w:tcBorders>
            <w:shd w:val="clear" w:color="auto" w:fill="auto"/>
            <w:vAlign w:val="bottom"/>
            <w:hideMark/>
          </w:tcPr>
          <w:p w:rsidR="00124E90" w:rsidRPr="001A2FDB" w:rsidRDefault="00124E90" w:rsidP="005F0F2C">
            <w:pPr>
              <w:jc w:val="center"/>
              <w:rPr>
                <w:rFonts w:ascii="Calibri" w:hAnsi="Calibri" w:cs="Calibri"/>
                <w:color w:val="000000"/>
                <w:sz w:val="22"/>
                <w:szCs w:val="22"/>
              </w:rPr>
            </w:pPr>
            <w:r w:rsidRPr="001A2FDB">
              <w:rPr>
                <w:rFonts w:ascii="Calibri" w:hAnsi="Calibri" w:cs="Calibri"/>
                <w:color w:val="000000"/>
                <w:sz w:val="22"/>
                <w:szCs w:val="22"/>
              </w:rPr>
              <w:t>-0.00295</w:t>
            </w:r>
          </w:p>
        </w:tc>
        <w:tc>
          <w:tcPr>
            <w:tcW w:w="591" w:type="pct"/>
            <w:tcBorders>
              <w:top w:val="nil"/>
              <w:left w:val="nil"/>
              <w:bottom w:val="nil"/>
              <w:right w:val="nil"/>
            </w:tcBorders>
            <w:shd w:val="clear" w:color="auto" w:fill="auto"/>
            <w:vAlign w:val="bottom"/>
            <w:hideMark/>
          </w:tcPr>
          <w:p w:rsidR="00124E90" w:rsidRPr="001A2FDB" w:rsidRDefault="00124E90" w:rsidP="005F0F2C">
            <w:pPr>
              <w:jc w:val="center"/>
              <w:rPr>
                <w:rFonts w:ascii="Calibri" w:hAnsi="Calibri" w:cs="Calibri"/>
                <w:color w:val="000000"/>
                <w:sz w:val="22"/>
                <w:szCs w:val="22"/>
              </w:rPr>
            </w:pPr>
            <w:r w:rsidRPr="001A2FDB">
              <w:rPr>
                <w:rFonts w:ascii="Calibri" w:hAnsi="Calibri" w:cs="Calibri"/>
                <w:color w:val="000000"/>
                <w:sz w:val="22"/>
                <w:szCs w:val="22"/>
              </w:rPr>
              <w:t>0.000400</w:t>
            </w:r>
          </w:p>
        </w:tc>
        <w:tc>
          <w:tcPr>
            <w:tcW w:w="1100" w:type="pct"/>
            <w:tcBorders>
              <w:top w:val="nil"/>
              <w:left w:val="nil"/>
              <w:bottom w:val="nil"/>
              <w:right w:val="nil"/>
            </w:tcBorders>
            <w:shd w:val="clear" w:color="auto" w:fill="auto"/>
            <w:vAlign w:val="bottom"/>
            <w:hideMark/>
          </w:tcPr>
          <w:p w:rsidR="00124E90" w:rsidRPr="001A2FDB" w:rsidRDefault="00124E90" w:rsidP="005F0F2C">
            <w:pPr>
              <w:jc w:val="center"/>
              <w:rPr>
                <w:rFonts w:ascii="Calibri" w:hAnsi="Calibri" w:cs="Calibri"/>
                <w:color w:val="000000"/>
                <w:sz w:val="22"/>
                <w:szCs w:val="22"/>
              </w:rPr>
            </w:pPr>
            <w:r w:rsidRPr="001A2FDB">
              <w:rPr>
                <w:rFonts w:ascii="Calibri" w:hAnsi="Calibri" w:cs="Calibri"/>
                <w:color w:val="000000"/>
                <w:sz w:val="22"/>
                <w:szCs w:val="22"/>
              </w:rPr>
              <w:t>-0.108</w:t>
            </w:r>
          </w:p>
        </w:tc>
      </w:tr>
      <w:tr w:rsidR="00124E90" w:rsidRPr="001A2FDB" w:rsidTr="005F0F2C">
        <w:trPr>
          <w:trHeight w:val="290"/>
        </w:trPr>
        <w:tc>
          <w:tcPr>
            <w:tcW w:w="1433" w:type="pct"/>
            <w:tcBorders>
              <w:top w:val="nil"/>
              <w:left w:val="nil"/>
              <w:bottom w:val="nil"/>
              <w:right w:val="nil"/>
            </w:tcBorders>
            <w:shd w:val="clear" w:color="auto" w:fill="auto"/>
            <w:vAlign w:val="bottom"/>
            <w:hideMark/>
          </w:tcPr>
          <w:p w:rsidR="00124E90" w:rsidRPr="001A2FDB" w:rsidRDefault="00124E90" w:rsidP="005F0F2C">
            <w:pPr>
              <w:jc w:val="center"/>
              <w:rPr>
                <w:rFonts w:ascii="Calibri" w:hAnsi="Calibri" w:cs="Calibri"/>
                <w:color w:val="000000"/>
                <w:sz w:val="22"/>
                <w:szCs w:val="22"/>
              </w:rPr>
            </w:pPr>
          </w:p>
        </w:tc>
        <w:tc>
          <w:tcPr>
            <w:tcW w:w="563" w:type="pct"/>
            <w:tcBorders>
              <w:top w:val="nil"/>
              <w:left w:val="nil"/>
              <w:bottom w:val="nil"/>
              <w:right w:val="nil"/>
            </w:tcBorders>
            <w:shd w:val="clear" w:color="auto" w:fill="auto"/>
            <w:vAlign w:val="bottom"/>
            <w:hideMark/>
          </w:tcPr>
          <w:p w:rsidR="00124E90" w:rsidRPr="001A2FDB" w:rsidRDefault="00124E90" w:rsidP="005F0F2C">
            <w:pPr>
              <w:jc w:val="center"/>
              <w:rPr>
                <w:rFonts w:ascii="Calibri" w:hAnsi="Calibri" w:cs="Calibri"/>
                <w:color w:val="000000"/>
                <w:sz w:val="22"/>
                <w:szCs w:val="22"/>
              </w:rPr>
            </w:pPr>
            <w:r w:rsidRPr="001A2FDB">
              <w:rPr>
                <w:rFonts w:ascii="Calibri" w:hAnsi="Calibri" w:cs="Calibri"/>
                <w:color w:val="000000"/>
                <w:sz w:val="22"/>
                <w:szCs w:val="22"/>
              </w:rPr>
              <w:t>(0.0053)</w:t>
            </w:r>
          </w:p>
        </w:tc>
        <w:tc>
          <w:tcPr>
            <w:tcW w:w="1314" w:type="pct"/>
            <w:tcBorders>
              <w:top w:val="nil"/>
              <w:left w:val="nil"/>
              <w:bottom w:val="nil"/>
              <w:right w:val="nil"/>
            </w:tcBorders>
            <w:shd w:val="clear" w:color="auto" w:fill="auto"/>
            <w:vAlign w:val="bottom"/>
            <w:hideMark/>
          </w:tcPr>
          <w:p w:rsidR="00124E90" w:rsidRPr="001A2FDB" w:rsidRDefault="00124E90" w:rsidP="005F0F2C">
            <w:pPr>
              <w:jc w:val="center"/>
              <w:rPr>
                <w:rFonts w:ascii="Calibri" w:hAnsi="Calibri" w:cs="Calibri"/>
                <w:color w:val="000000"/>
                <w:sz w:val="22"/>
                <w:szCs w:val="22"/>
              </w:rPr>
            </w:pPr>
            <w:r w:rsidRPr="001A2FDB">
              <w:rPr>
                <w:rFonts w:ascii="Calibri" w:hAnsi="Calibri" w:cs="Calibri"/>
                <w:color w:val="000000"/>
                <w:sz w:val="22"/>
                <w:szCs w:val="22"/>
              </w:rPr>
              <w:t>(0.0020)</w:t>
            </w:r>
          </w:p>
        </w:tc>
        <w:tc>
          <w:tcPr>
            <w:tcW w:w="591" w:type="pct"/>
            <w:tcBorders>
              <w:top w:val="nil"/>
              <w:left w:val="nil"/>
              <w:bottom w:val="nil"/>
              <w:right w:val="nil"/>
            </w:tcBorders>
            <w:shd w:val="clear" w:color="auto" w:fill="auto"/>
            <w:vAlign w:val="bottom"/>
            <w:hideMark/>
          </w:tcPr>
          <w:p w:rsidR="00124E90" w:rsidRPr="001A2FDB" w:rsidRDefault="00124E90" w:rsidP="005F0F2C">
            <w:pPr>
              <w:jc w:val="center"/>
              <w:rPr>
                <w:rFonts w:ascii="Calibri" w:hAnsi="Calibri" w:cs="Calibri"/>
                <w:color w:val="000000"/>
                <w:sz w:val="22"/>
                <w:szCs w:val="22"/>
              </w:rPr>
            </w:pPr>
            <w:r w:rsidRPr="001A2FDB">
              <w:rPr>
                <w:rFonts w:ascii="Calibri" w:hAnsi="Calibri" w:cs="Calibri"/>
                <w:color w:val="000000"/>
                <w:sz w:val="22"/>
                <w:szCs w:val="22"/>
              </w:rPr>
              <w:t>(0.0025)</w:t>
            </w:r>
          </w:p>
        </w:tc>
        <w:tc>
          <w:tcPr>
            <w:tcW w:w="1100" w:type="pct"/>
            <w:tcBorders>
              <w:top w:val="nil"/>
              <w:left w:val="nil"/>
              <w:bottom w:val="nil"/>
              <w:right w:val="nil"/>
            </w:tcBorders>
            <w:shd w:val="clear" w:color="auto" w:fill="auto"/>
            <w:vAlign w:val="bottom"/>
            <w:hideMark/>
          </w:tcPr>
          <w:p w:rsidR="00124E90" w:rsidRPr="001A2FDB" w:rsidRDefault="00124E90" w:rsidP="005F0F2C">
            <w:pPr>
              <w:jc w:val="center"/>
              <w:rPr>
                <w:rFonts w:ascii="Calibri" w:hAnsi="Calibri" w:cs="Calibri"/>
                <w:color w:val="000000"/>
                <w:sz w:val="22"/>
                <w:szCs w:val="22"/>
              </w:rPr>
            </w:pPr>
            <w:r w:rsidRPr="001A2FDB">
              <w:rPr>
                <w:rFonts w:ascii="Calibri" w:hAnsi="Calibri" w:cs="Calibri"/>
                <w:color w:val="000000"/>
                <w:sz w:val="22"/>
                <w:szCs w:val="22"/>
              </w:rPr>
              <w:t>(0.0822)</w:t>
            </w:r>
          </w:p>
        </w:tc>
      </w:tr>
      <w:tr w:rsidR="00124E90" w:rsidRPr="001A2FDB" w:rsidTr="005F0F2C">
        <w:trPr>
          <w:trHeight w:val="290"/>
        </w:trPr>
        <w:tc>
          <w:tcPr>
            <w:tcW w:w="1433" w:type="pct"/>
            <w:tcBorders>
              <w:top w:val="nil"/>
              <w:left w:val="nil"/>
              <w:bottom w:val="nil"/>
              <w:right w:val="nil"/>
            </w:tcBorders>
            <w:shd w:val="clear" w:color="auto" w:fill="auto"/>
            <w:vAlign w:val="bottom"/>
            <w:hideMark/>
          </w:tcPr>
          <w:p w:rsidR="00124E90" w:rsidRPr="001A2FDB" w:rsidRDefault="00124E90" w:rsidP="005F0F2C">
            <w:pPr>
              <w:jc w:val="center"/>
              <w:rPr>
                <w:rFonts w:ascii="Calibri" w:hAnsi="Calibri" w:cs="Calibri"/>
                <w:color w:val="000000"/>
                <w:sz w:val="22"/>
                <w:szCs w:val="22"/>
              </w:rPr>
            </w:pPr>
          </w:p>
        </w:tc>
        <w:tc>
          <w:tcPr>
            <w:tcW w:w="563" w:type="pct"/>
            <w:tcBorders>
              <w:top w:val="nil"/>
              <w:left w:val="nil"/>
              <w:bottom w:val="nil"/>
              <w:right w:val="nil"/>
            </w:tcBorders>
            <w:shd w:val="clear" w:color="auto" w:fill="auto"/>
            <w:vAlign w:val="bottom"/>
            <w:hideMark/>
          </w:tcPr>
          <w:p w:rsidR="00124E90" w:rsidRPr="001A2FDB" w:rsidRDefault="00124E90" w:rsidP="005F0F2C">
            <w:pPr>
              <w:rPr>
                <w:sz w:val="20"/>
                <w:szCs w:val="20"/>
              </w:rPr>
            </w:pPr>
          </w:p>
        </w:tc>
        <w:tc>
          <w:tcPr>
            <w:tcW w:w="1314" w:type="pct"/>
            <w:tcBorders>
              <w:top w:val="nil"/>
              <w:left w:val="nil"/>
              <w:bottom w:val="nil"/>
              <w:right w:val="nil"/>
            </w:tcBorders>
            <w:shd w:val="clear" w:color="auto" w:fill="auto"/>
            <w:vAlign w:val="bottom"/>
            <w:hideMark/>
          </w:tcPr>
          <w:p w:rsidR="00124E90" w:rsidRPr="001A2FDB" w:rsidRDefault="00124E90" w:rsidP="005F0F2C">
            <w:pPr>
              <w:jc w:val="center"/>
              <w:rPr>
                <w:sz w:val="20"/>
                <w:szCs w:val="20"/>
              </w:rPr>
            </w:pPr>
          </w:p>
        </w:tc>
        <w:tc>
          <w:tcPr>
            <w:tcW w:w="591" w:type="pct"/>
            <w:tcBorders>
              <w:top w:val="nil"/>
              <w:left w:val="nil"/>
              <w:bottom w:val="nil"/>
              <w:right w:val="nil"/>
            </w:tcBorders>
            <w:shd w:val="clear" w:color="auto" w:fill="auto"/>
            <w:vAlign w:val="bottom"/>
            <w:hideMark/>
          </w:tcPr>
          <w:p w:rsidR="00124E90" w:rsidRPr="001A2FDB" w:rsidRDefault="00124E90" w:rsidP="005F0F2C">
            <w:pPr>
              <w:jc w:val="center"/>
              <w:rPr>
                <w:sz w:val="20"/>
                <w:szCs w:val="20"/>
              </w:rPr>
            </w:pPr>
          </w:p>
        </w:tc>
        <w:tc>
          <w:tcPr>
            <w:tcW w:w="1100" w:type="pct"/>
            <w:tcBorders>
              <w:top w:val="nil"/>
              <w:left w:val="nil"/>
              <w:bottom w:val="nil"/>
              <w:right w:val="nil"/>
            </w:tcBorders>
            <w:shd w:val="clear" w:color="auto" w:fill="auto"/>
            <w:vAlign w:val="bottom"/>
            <w:hideMark/>
          </w:tcPr>
          <w:p w:rsidR="00124E90" w:rsidRPr="001A2FDB" w:rsidRDefault="00124E90" w:rsidP="005F0F2C">
            <w:pPr>
              <w:jc w:val="center"/>
              <w:rPr>
                <w:sz w:val="20"/>
                <w:szCs w:val="20"/>
              </w:rPr>
            </w:pPr>
          </w:p>
        </w:tc>
      </w:tr>
      <w:tr w:rsidR="00124E90" w:rsidRPr="001A2FDB" w:rsidTr="005F0F2C">
        <w:trPr>
          <w:trHeight w:val="290"/>
        </w:trPr>
        <w:tc>
          <w:tcPr>
            <w:tcW w:w="1433" w:type="pct"/>
            <w:tcBorders>
              <w:top w:val="nil"/>
              <w:left w:val="nil"/>
              <w:bottom w:val="nil"/>
              <w:right w:val="nil"/>
            </w:tcBorders>
            <w:shd w:val="clear" w:color="auto" w:fill="auto"/>
            <w:vAlign w:val="bottom"/>
            <w:hideMark/>
          </w:tcPr>
          <w:p w:rsidR="00124E90" w:rsidRPr="001A2FDB" w:rsidRDefault="00124E90" w:rsidP="005F0F2C">
            <w:pPr>
              <w:rPr>
                <w:rFonts w:ascii="Calibri" w:hAnsi="Calibri" w:cs="Calibri"/>
                <w:color w:val="000000"/>
                <w:sz w:val="22"/>
                <w:szCs w:val="22"/>
              </w:rPr>
            </w:pPr>
            <w:r w:rsidRPr="001A2FDB">
              <w:rPr>
                <w:rFonts w:ascii="Calibri" w:hAnsi="Calibri" w:cs="Calibri"/>
                <w:color w:val="000000"/>
                <w:sz w:val="22"/>
                <w:szCs w:val="22"/>
              </w:rPr>
              <w:t>Medicaid x 2012</w:t>
            </w:r>
          </w:p>
        </w:tc>
        <w:tc>
          <w:tcPr>
            <w:tcW w:w="563" w:type="pct"/>
            <w:tcBorders>
              <w:top w:val="nil"/>
              <w:left w:val="nil"/>
              <w:bottom w:val="nil"/>
              <w:right w:val="nil"/>
            </w:tcBorders>
            <w:shd w:val="clear" w:color="auto" w:fill="auto"/>
            <w:vAlign w:val="bottom"/>
            <w:hideMark/>
          </w:tcPr>
          <w:p w:rsidR="00124E90" w:rsidRPr="001A2FDB" w:rsidRDefault="00124E90" w:rsidP="005F0F2C">
            <w:pPr>
              <w:jc w:val="center"/>
              <w:rPr>
                <w:rFonts w:ascii="Calibri" w:hAnsi="Calibri" w:cs="Calibri"/>
                <w:color w:val="000000"/>
                <w:sz w:val="22"/>
                <w:szCs w:val="22"/>
              </w:rPr>
            </w:pPr>
            <w:r w:rsidRPr="001A2FDB">
              <w:rPr>
                <w:rFonts w:ascii="Calibri" w:hAnsi="Calibri" w:cs="Calibri"/>
                <w:color w:val="000000"/>
                <w:sz w:val="22"/>
                <w:szCs w:val="22"/>
              </w:rPr>
              <w:t>0.000388</w:t>
            </w:r>
          </w:p>
        </w:tc>
        <w:tc>
          <w:tcPr>
            <w:tcW w:w="1314" w:type="pct"/>
            <w:tcBorders>
              <w:top w:val="nil"/>
              <w:left w:val="nil"/>
              <w:bottom w:val="nil"/>
              <w:right w:val="nil"/>
            </w:tcBorders>
            <w:shd w:val="clear" w:color="auto" w:fill="auto"/>
            <w:vAlign w:val="bottom"/>
            <w:hideMark/>
          </w:tcPr>
          <w:p w:rsidR="00124E90" w:rsidRPr="001A2FDB" w:rsidRDefault="00124E90" w:rsidP="005F0F2C">
            <w:pPr>
              <w:jc w:val="center"/>
              <w:rPr>
                <w:rFonts w:ascii="Calibri" w:hAnsi="Calibri" w:cs="Calibri"/>
                <w:color w:val="000000"/>
                <w:sz w:val="22"/>
                <w:szCs w:val="22"/>
              </w:rPr>
            </w:pPr>
            <w:r w:rsidRPr="001A2FDB">
              <w:rPr>
                <w:rFonts w:ascii="Calibri" w:hAnsi="Calibri" w:cs="Calibri"/>
                <w:color w:val="000000"/>
                <w:sz w:val="22"/>
                <w:szCs w:val="22"/>
              </w:rPr>
              <w:t>-0.000124</w:t>
            </w:r>
          </w:p>
        </w:tc>
        <w:tc>
          <w:tcPr>
            <w:tcW w:w="591" w:type="pct"/>
            <w:tcBorders>
              <w:top w:val="nil"/>
              <w:left w:val="nil"/>
              <w:bottom w:val="nil"/>
              <w:right w:val="nil"/>
            </w:tcBorders>
            <w:shd w:val="clear" w:color="auto" w:fill="auto"/>
            <w:vAlign w:val="bottom"/>
            <w:hideMark/>
          </w:tcPr>
          <w:p w:rsidR="00124E90" w:rsidRPr="001A2FDB" w:rsidRDefault="00124E90" w:rsidP="005F0F2C">
            <w:pPr>
              <w:jc w:val="center"/>
              <w:rPr>
                <w:rFonts w:ascii="Calibri" w:hAnsi="Calibri" w:cs="Calibri"/>
                <w:color w:val="000000"/>
                <w:sz w:val="22"/>
                <w:szCs w:val="22"/>
              </w:rPr>
            </w:pPr>
            <w:r w:rsidRPr="001A2FDB">
              <w:rPr>
                <w:rFonts w:ascii="Calibri" w:hAnsi="Calibri" w:cs="Calibri"/>
                <w:color w:val="000000"/>
                <w:sz w:val="22"/>
                <w:szCs w:val="22"/>
              </w:rPr>
              <w:t>0.00125</w:t>
            </w:r>
          </w:p>
        </w:tc>
        <w:tc>
          <w:tcPr>
            <w:tcW w:w="1100" w:type="pct"/>
            <w:tcBorders>
              <w:top w:val="nil"/>
              <w:left w:val="nil"/>
              <w:bottom w:val="nil"/>
              <w:right w:val="nil"/>
            </w:tcBorders>
            <w:shd w:val="clear" w:color="auto" w:fill="auto"/>
            <w:vAlign w:val="bottom"/>
            <w:hideMark/>
          </w:tcPr>
          <w:p w:rsidR="00124E90" w:rsidRPr="001A2FDB" w:rsidRDefault="00124E90" w:rsidP="005F0F2C">
            <w:pPr>
              <w:jc w:val="center"/>
              <w:rPr>
                <w:rFonts w:ascii="Calibri" w:hAnsi="Calibri" w:cs="Calibri"/>
                <w:color w:val="000000"/>
                <w:sz w:val="22"/>
                <w:szCs w:val="22"/>
              </w:rPr>
            </w:pPr>
            <w:r w:rsidRPr="001A2FDB">
              <w:rPr>
                <w:rFonts w:ascii="Calibri" w:hAnsi="Calibri" w:cs="Calibri"/>
                <w:color w:val="000000"/>
                <w:sz w:val="22"/>
                <w:szCs w:val="22"/>
              </w:rPr>
              <w:t>-0.0238</w:t>
            </w:r>
          </w:p>
        </w:tc>
      </w:tr>
      <w:tr w:rsidR="00124E90" w:rsidRPr="001A2FDB" w:rsidTr="005F0F2C">
        <w:trPr>
          <w:trHeight w:val="290"/>
        </w:trPr>
        <w:tc>
          <w:tcPr>
            <w:tcW w:w="1433" w:type="pct"/>
            <w:tcBorders>
              <w:top w:val="nil"/>
              <w:left w:val="nil"/>
              <w:bottom w:val="nil"/>
              <w:right w:val="nil"/>
            </w:tcBorders>
            <w:shd w:val="clear" w:color="auto" w:fill="auto"/>
            <w:vAlign w:val="bottom"/>
            <w:hideMark/>
          </w:tcPr>
          <w:p w:rsidR="00124E90" w:rsidRPr="001A2FDB" w:rsidRDefault="00124E90" w:rsidP="005F0F2C">
            <w:pPr>
              <w:jc w:val="center"/>
              <w:rPr>
                <w:rFonts w:ascii="Calibri" w:hAnsi="Calibri" w:cs="Calibri"/>
                <w:color w:val="000000"/>
                <w:sz w:val="22"/>
                <w:szCs w:val="22"/>
              </w:rPr>
            </w:pPr>
          </w:p>
        </w:tc>
        <w:tc>
          <w:tcPr>
            <w:tcW w:w="563" w:type="pct"/>
            <w:tcBorders>
              <w:top w:val="nil"/>
              <w:left w:val="nil"/>
              <w:bottom w:val="nil"/>
              <w:right w:val="nil"/>
            </w:tcBorders>
            <w:shd w:val="clear" w:color="auto" w:fill="auto"/>
            <w:vAlign w:val="bottom"/>
            <w:hideMark/>
          </w:tcPr>
          <w:p w:rsidR="00124E90" w:rsidRPr="001A2FDB" w:rsidRDefault="00124E90" w:rsidP="005F0F2C">
            <w:pPr>
              <w:jc w:val="center"/>
              <w:rPr>
                <w:rFonts w:ascii="Calibri" w:hAnsi="Calibri" w:cs="Calibri"/>
                <w:color w:val="000000"/>
                <w:sz w:val="22"/>
                <w:szCs w:val="22"/>
              </w:rPr>
            </w:pPr>
            <w:r w:rsidRPr="001A2FDB">
              <w:rPr>
                <w:rFonts w:ascii="Calibri" w:hAnsi="Calibri" w:cs="Calibri"/>
                <w:color w:val="000000"/>
                <w:sz w:val="22"/>
                <w:szCs w:val="22"/>
              </w:rPr>
              <w:t>(0.0034)</w:t>
            </w:r>
          </w:p>
        </w:tc>
        <w:tc>
          <w:tcPr>
            <w:tcW w:w="1314" w:type="pct"/>
            <w:tcBorders>
              <w:top w:val="nil"/>
              <w:left w:val="nil"/>
              <w:bottom w:val="nil"/>
              <w:right w:val="nil"/>
            </w:tcBorders>
            <w:shd w:val="clear" w:color="auto" w:fill="auto"/>
            <w:vAlign w:val="bottom"/>
            <w:hideMark/>
          </w:tcPr>
          <w:p w:rsidR="00124E90" w:rsidRPr="001A2FDB" w:rsidRDefault="00124E90" w:rsidP="005F0F2C">
            <w:pPr>
              <w:jc w:val="center"/>
              <w:rPr>
                <w:rFonts w:ascii="Calibri" w:hAnsi="Calibri" w:cs="Calibri"/>
                <w:color w:val="000000"/>
                <w:sz w:val="22"/>
                <w:szCs w:val="22"/>
              </w:rPr>
            </w:pPr>
            <w:r w:rsidRPr="001A2FDB">
              <w:rPr>
                <w:rFonts w:ascii="Calibri" w:hAnsi="Calibri" w:cs="Calibri"/>
                <w:color w:val="000000"/>
                <w:sz w:val="22"/>
                <w:szCs w:val="22"/>
              </w:rPr>
              <w:t>(0.0020)</w:t>
            </w:r>
          </w:p>
        </w:tc>
        <w:tc>
          <w:tcPr>
            <w:tcW w:w="591" w:type="pct"/>
            <w:tcBorders>
              <w:top w:val="nil"/>
              <w:left w:val="nil"/>
              <w:bottom w:val="nil"/>
              <w:right w:val="nil"/>
            </w:tcBorders>
            <w:shd w:val="clear" w:color="auto" w:fill="auto"/>
            <w:vAlign w:val="bottom"/>
            <w:hideMark/>
          </w:tcPr>
          <w:p w:rsidR="00124E90" w:rsidRPr="001A2FDB" w:rsidRDefault="00124E90" w:rsidP="005F0F2C">
            <w:pPr>
              <w:jc w:val="center"/>
              <w:rPr>
                <w:rFonts w:ascii="Calibri" w:hAnsi="Calibri" w:cs="Calibri"/>
                <w:color w:val="000000"/>
                <w:sz w:val="22"/>
                <w:szCs w:val="22"/>
              </w:rPr>
            </w:pPr>
            <w:r w:rsidRPr="001A2FDB">
              <w:rPr>
                <w:rFonts w:ascii="Calibri" w:hAnsi="Calibri" w:cs="Calibri"/>
                <w:color w:val="000000"/>
                <w:sz w:val="22"/>
                <w:szCs w:val="22"/>
              </w:rPr>
              <w:t>(0.0022)</w:t>
            </w:r>
          </w:p>
        </w:tc>
        <w:tc>
          <w:tcPr>
            <w:tcW w:w="1100" w:type="pct"/>
            <w:tcBorders>
              <w:top w:val="nil"/>
              <w:left w:val="nil"/>
              <w:bottom w:val="nil"/>
              <w:right w:val="nil"/>
            </w:tcBorders>
            <w:shd w:val="clear" w:color="auto" w:fill="auto"/>
            <w:vAlign w:val="bottom"/>
            <w:hideMark/>
          </w:tcPr>
          <w:p w:rsidR="00124E90" w:rsidRPr="001A2FDB" w:rsidRDefault="00124E90" w:rsidP="005F0F2C">
            <w:pPr>
              <w:jc w:val="center"/>
              <w:rPr>
                <w:rFonts w:ascii="Calibri" w:hAnsi="Calibri" w:cs="Calibri"/>
                <w:color w:val="000000"/>
                <w:sz w:val="22"/>
                <w:szCs w:val="22"/>
              </w:rPr>
            </w:pPr>
            <w:r w:rsidRPr="001A2FDB">
              <w:rPr>
                <w:rFonts w:ascii="Calibri" w:hAnsi="Calibri" w:cs="Calibri"/>
                <w:color w:val="000000"/>
                <w:sz w:val="22"/>
                <w:szCs w:val="22"/>
              </w:rPr>
              <w:t>(0.0640)</w:t>
            </w:r>
          </w:p>
        </w:tc>
      </w:tr>
      <w:tr w:rsidR="00124E90" w:rsidRPr="001A2FDB" w:rsidTr="005F0F2C">
        <w:trPr>
          <w:trHeight w:val="290"/>
        </w:trPr>
        <w:tc>
          <w:tcPr>
            <w:tcW w:w="1433" w:type="pct"/>
            <w:tcBorders>
              <w:top w:val="nil"/>
              <w:left w:val="nil"/>
              <w:bottom w:val="nil"/>
              <w:right w:val="nil"/>
            </w:tcBorders>
            <w:shd w:val="clear" w:color="auto" w:fill="auto"/>
            <w:vAlign w:val="bottom"/>
            <w:hideMark/>
          </w:tcPr>
          <w:p w:rsidR="00124E90" w:rsidRPr="001A2FDB" w:rsidRDefault="00124E90" w:rsidP="005F0F2C">
            <w:pPr>
              <w:jc w:val="center"/>
              <w:rPr>
                <w:rFonts w:ascii="Calibri" w:hAnsi="Calibri" w:cs="Calibri"/>
                <w:color w:val="000000"/>
                <w:sz w:val="22"/>
                <w:szCs w:val="22"/>
              </w:rPr>
            </w:pPr>
          </w:p>
        </w:tc>
        <w:tc>
          <w:tcPr>
            <w:tcW w:w="563" w:type="pct"/>
            <w:tcBorders>
              <w:top w:val="nil"/>
              <w:left w:val="nil"/>
              <w:bottom w:val="nil"/>
              <w:right w:val="nil"/>
            </w:tcBorders>
            <w:shd w:val="clear" w:color="auto" w:fill="auto"/>
            <w:vAlign w:val="bottom"/>
            <w:hideMark/>
          </w:tcPr>
          <w:p w:rsidR="00124E90" w:rsidRPr="001A2FDB" w:rsidRDefault="00124E90" w:rsidP="005F0F2C">
            <w:pPr>
              <w:rPr>
                <w:sz w:val="20"/>
                <w:szCs w:val="20"/>
              </w:rPr>
            </w:pPr>
          </w:p>
        </w:tc>
        <w:tc>
          <w:tcPr>
            <w:tcW w:w="1314" w:type="pct"/>
            <w:tcBorders>
              <w:top w:val="nil"/>
              <w:left w:val="nil"/>
              <w:bottom w:val="nil"/>
              <w:right w:val="nil"/>
            </w:tcBorders>
            <w:shd w:val="clear" w:color="auto" w:fill="auto"/>
            <w:vAlign w:val="bottom"/>
            <w:hideMark/>
          </w:tcPr>
          <w:p w:rsidR="00124E90" w:rsidRPr="001A2FDB" w:rsidRDefault="00124E90" w:rsidP="005F0F2C">
            <w:pPr>
              <w:jc w:val="center"/>
              <w:rPr>
                <w:sz w:val="20"/>
                <w:szCs w:val="20"/>
              </w:rPr>
            </w:pPr>
          </w:p>
        </w:tc>
        <w:tc>
          <w:tcPr>
            <w:tcW w:w="591" w:type="pct"/>
            <w:tcBorders>
              <w:top w:val="nil"/>
              <w:left w:val="nil"/>
              <w:bottom w:val="nil"/>
              <w:right w:val="nil"/>
            </w:tcBorders>
            <w:shd w:val="clear" w:color="auto" w:fill="auto"/>
            <w:vAlign w:val="bottom"/>
            <w:hideMark/>
          </w:tcPr>
          <w:p w:rsidR="00124E90" w:rsidRPr="001A2FDB" w:rsidRDefault="00124E90" w:rsidP="005F0F2C">
            <w:pPr>
              <w:jc w:val="center"/>
              <w:rPr>
                <w:sz w:val="20"/>
                <w:szCs w:val="20"/>
              </w:rPr>
            </w:pPr>
          </w:p>
        </w:tc>
        <w:tc>
          <w:tcPr>
            <w:tcW w:w="1100" w:type="pct"/>
            <w:tcBorders>
              <w:top w:val="nil"/>
              <w:left w:val="nil"/>
              <w:bottom w:val="nil"/>
              <w:right w:val="nil"/>
            </w:tcBorders>
            <w:shd w:val="clear" w:color="auto" w:fill="auto"/>
            <w:vAlign w:val="bottom"/>
            <w:hideMark/>
          </w:tcPr>
          <w:p w:rsidR="00124E90" w:rsidRPr="001A2FDB" w:rsidRDefault="00124E90" w:rsidP="005F0F2C">
            <w:pPr>
              <w:jc w:val="center"/>
              <w:rPr>
                <w:sz w:val="20"/>
                <w:szCs w:val="20"/>
              </w:rPr>
            </w:pPr>
          </w:p>
        </w:tc>
      </w:tr>
      <w:tr w:rsidR="00124E90" w:rsidRPr="001A2FDB" w:rsidTr="005F0F2C">
        <w:trPr>
          <w:trHeight w:val="290"/>
        </w:trPr>
        <w:tc>
          <w:tcPr>
            <w:tcW w:w="1433" w:type="pct"/>
            <w:tcBorders>
              <w:top w:val="nil"/>
              <w:left w:val="nil"/>
              <w:bottom w:val="nil"/>
              <w:right w:val="nil"/>
            </w:tcBorders>
            <w:shd w:val="clear" w:color="auto" w:fill="auto"/>
            <w:vAlign w:val="bottom"/>
            <w:hideMark/>
          </w:tcPr>
          <w:p w:rsidR="00124E90" w:rsidRPr="001A2FDB" w:rsidRDefault="00124E90" w:rsidP="005F0F2C">
            <w:pPr>
              <w:rPr>
                <w:rFonts w:ascii="Calibri" w:hAnsi="Calibri" w:cs="Calibri"/>
                <w:color w:val="000000"/>
                <w:sz w:val="22"/>
                <w:szCs w:val="22"/>
              </w:rPr>
            </w:pPr>
            <w:r w:rsidRPr="001A2FDB">
              <w:rPr>
                <w:rFonts w:ascii="Calibri" w:hAnsi="Calibri" w:cs="Calibri"/>
                <w:color w:val="000000"/>
                <w:sz w:val="22"/>
                <w:szCs w:val="22"/>
              </w:rPr>
              <w:t>Medicaid x 2014</w:t>
            </w:r>
          </w:p>
        </w:tc>
        <w:tc>
          <w:tcPr>
            <w:tcW w:w="563" w:type="pct"/>
            <w:tcBorders>
              <w:top w:val="nil"/>
              <w:left w:val="nil"/>
              <w:bottom w:val="nil"/>
              <w:right w:val="nil"/>
            </w:tcBorders>
            <w:shd w:val="clear" w:color="auto" w:fill="auto"/>
            <w:vAlign w:val="bottom"/>
            <w:hideMark/>
          </w:tcPr>
          <w:p w:rsidR="00124E90" w:rsidRPr="001A2FDB" w:rsidRDefault="00124E90" w:rsidP="005F0F2C">
            <w:pPr>
              <w:jc w:val="center"/>
              <w:rPr>
                <w:rFonts w:ascii="Calibri" w:hAnsi="Calibri" w:cs="Calibri"/>
                <w:color w:val="000000"/>
                <w:sz w:val="22"/>
                <w:szCs w:val="22"/>
              </w:rPr>
            </w:pPr>
            <w:r w:rsidRPr="001A2FDB">
              <w:rPr>
                <w:rFonts w:ascii="Calibri" w:hAnsi="Calibri" w:cs="Calibri"/>
                <w:color w:val="000000"/>
                <w:sz w:val="22"/>
                <w:szCs w:val="22"/>
              </w:rPr>
              <w:t>-0.00380</w:t>
            </w:r>
          </w:p>
        </w:tc>
        <w:tc>
          <w:tcPr>
            <w:tcW w:w="1314" w:type="pct"/>
            <w:tcBorders>
              <w:top w:val="nil"/>
              <w:left w:val="nil"/>
              <w:bottom w:val="nil"/>
              <w:right w:val="nil"/>
            </w:tcBorders>
            <w:shd w:val="clear" w:color="auto" w:fill="auto"/>
            <w:vAlign w:val="bottom"/>
            <w:hideMark/>
          </w:tcPr>
          <w:p w:rsidR="00124E90" w:rsidRPr="001A2FDB" w:rsidRDefault="00124E90" w:rsidP="005F0F2C">
            <w:pPr>
              <w:jc w:val="center"/>
              <w:rPr>
                <w:rFonts w:ascii="Calibri" w:hAnsi="Calibri" w:cs="Calibri"/>
                <w:color w:val="000000"/>
                <w:sz w:val="22"/>
                <w:szCs w:val="22"/>
              </w:rPr>
            </w:pPr>
            <w:r w:rsidRPr="001A2FDB">
              <w:rPr>
                <w:rFonts w:ascii="Calibri" w:hAnsi="Calibri" w:cs="Calibri"/>
                <w:color w:val="000000"/>
                <w:sz w:val="22"/>
                <w:szCs w:val="22"/>
              </w:rPr>
              <w:t>0.00104</w:t>
            </w:r>
          </w:p>
        </w:tc>
        <w:tc>
          <w:tcPr>
            <w:tcW w:w="591" w:type="pct"/>
            <w:tcBorders>
              <w:top w:val="nil"/>
              <w:left w:val="nil"/>
              <w:bottom w:val="nil"/>
              <w:right w:val="nil"/>
            </w:tcBorders>
            <w:shd w:val="clear" w:color="auto" w:fill="auto"/>
            <w:vAlign w:val="bottom"/>
            <w:hideMark/>
          </w:tcPr>
          <w:p w:rsidR="00124E90" w:rsidRPr="001A2FDB" w:rsidRDefault="00124E90" w:rsidP="005F0F2C">
            <w:pPr>
              <w:jc w:val="center"/>
              <w:rPr>
                <w:rFonts w:ascii="Calibri" w:hAnsi="Calibri" w:cs="Calibri"/>
                <w:color w:val="000000"/>
                <w:sz w:val="22"/>
                <w:szCs w:val="22"/>
              </w:rPr>
            </w:pPr>
            <w:r w:rsidRPr="001A2FDB">
              <w:rPr>
                <w:rFonts w:ascii="Calibri" w:hAnsi="Calibri" w:cs="Calibri"/>
                <w:color w:val="000000"/>
                <w:sz w:val="22"/>
                <w:szCs w:val="22"/>
              </w:rPr>
              <w:t>0.000207</w:t>
            </w:r>
          </w:p>
        </w:tc>
        <w:tc>
          <w:tcPr>
            <w:tcW w:w="1100" w:type="pct"/>
            <w:tcBorders>
              <w:top w:val="nil"/>
              <w:left w:val="nil"/>
              <w:bottom w:val="nil"/>
              <w:right w:val="nil"/>
            </w:tcBorders>
            <w:shd w:val="clear" w:color="auto" w:fill="auto"/>
            <w:vAlign w:val="bottom"/>
            <w:hideMark/>
          </w:tcPr>
          <w:p w:rsidR="00124E90" w:rsidRPr="001A2FDB" w:rsidRDefault="00124E90" w:rsidP="005F0F2C">
            <w:pPr>
              <w:jc w:val="center"/>
              <w:rPr>
                <w:rFonts w:ascii="Calibri" w:hAnsi="Calibri" w:cs="Calibri"/>
                <w:color w:val="000000"/>
                <w:sz w:val="22"/>
                <w:szCs w:val="22"/>
              </w:rPr>
            </w:pPr>
            <w:r w:rsidRPr="001A2FDB">
              <w:rPr>
                <w:rFonts w:ascii="Calibri" w:hAnsi="Calibri" w:cs="Calibri"/>
                <w:color w:val="000000"/>
                <w:sz w:val="22"/>
                <w:szCs w:val="22"/>
              </w:rPr>
              <w:t>-0.0823</w:t>
            </w:r>
          </w:p>
        </w:tc>
      </w:tr>
      <w:tr w:rsidR="00124E90" w:rsidRPr="001A2FDB" w:rsidTr="005F0F2C">
        <w:trPr>
          <w:trHeight w:val="290"/>
        </w:trPr>
        <w:tc>
          <w:tcPr>
            <w:tcW w:w="1433" w:type="pct"/>
            <w:tcBorders>
              <w:top w:val="nil"/>
              <w:left w:val="nil"/>
              <w:bottom w:val="nil"/>
              <w:right w:val="nil"/>
            </w:tcBorders>
            <w:shd w:val="clear" w:color="auto" w:fill="auto"/>
            <w:vAlign w:val="bottom"/>
            <w:hideMark/>
          </w:tcPr>
          <w:p w:rsidR="00124E90" w:rsidRPr="001A2FDB" w:rsidRDefault="00124E90" w:rsidP="005F0F2C">
            <w:pPr>
              <w:jc w:val="center"/>
              <w:rPr>
                <w:rFonts w:ascii="Calibri" w:hAnsi="Calibri" w:cs="Calibri"/>
                <w:color w:val="000000"/>
                <w:sz w:val="22"/>
                <w:szCs w:val="22"/>
              </w:rPr>
            </w:pPr>
          </w:p>
        </w:tc>
        <w:tc>
          <w:tcPr>
            <w:tcW w:w="563" w:type="pct"/>
            <w:tcBorders>
              <w:top w:val="nil"/>
              <w:left w:val="nil"/>
              <w:bottom w:val="nil"/>
              <w:right w:val="nil"/>
            </w:tcBorders>
            <w:shd w:val="clear" w:color="auto" w:fill="auto"/>
            <w:vAlign w:val="bottom"/>
            <w:hideMark/>
          </w:tcPr>
          <w:p w:rsidR="00124E90" w:rsidRPr="001A2FDB" w:rsidRDefault="00124E90" w:rsidP="005F0F2C">
            <w:pPr>
              <w:jc w:val="center"/>
              <w:rPr>
                <w:rFonts w:ascii="Calibri" w:hAnsi="Calibri" w:cs="Calibri"/>
                <w:color w:val="000000"/>
                <w:sz w:val="22"/>
                <w:szCs w:val="22"/>
              </w:rPr>
            </w:pPr>
            <w:r w:rsidRPr="001A2FDB">
              <w:rPr>
                <w:rFonts w:ascii="Calibri" w:hAnsi="Calibri" w:cs="Calibri"/>
                <w:color w:val="000000"/>
                <w:sz w:val="22"/>
                <w:szCs w:val="22"/>
              </w:rPr>
              <w:t>(0.0046)</w:t>
            </w:r>
          </w:p>
        </w:tc>
        <w:tc>
          <w:tcPr>
            <w:tcW w:w="1314" w:type="pct"/>
            <w:tcBorders>
              <w:top w:val="nil"/>
              <w:left w:val="nil"/>
              <w:bottom w:val="nil"/>
              <w:right w:val="nil"/>
            </w:tcBorders>
            <w:shd w:val="clear" w:color="auto" w:fill="auto"/>
            <w:vAlign w:val="bottom"/>
            <w:hideMark/>
          </w:tcPr>
          <w:p w:rsidR="00124E90" w:rsidRPr="001A2FDB" w:rsidRDefault="00124E90" w:rsidP="005F0F2C">
            <w:pPr>
              <w:jc w:val="center"/>
              <w:rPr>
                <w:rFonts w:ascii="Calibri" w:hAnsi="Calibri" w:cs="Calibri"/>
                <w:color w:val="000000"/>
                <w:sz w:val="22"/>
                <w:szCs w:val="22"/>
              </w:rPr>
            </w:pPr>
            <w:r w:rsidRPr="001A2FDB">
              <w:rPr>
                <w:rFonts w:ascii="Calibri" w:hAnsi="Calibri" w:cs="Calibri"/>
                <w:color w:val="000000"/>
                <w:sz w:val="22"/>
                <w:szCs w:val="22"/>
              </w:rPr>
              <w:t>(0.0017)</w:t>
            </w:r>
          </w:p>
        </w:tc>
        <w:tc>
          <w:tcPr>
            <w:tcW w:w="591" w:type="pct"/>
            <w:tcBorders>
              <w:top w:val="nil"/>
              <w:left w:val="nil"/>
              <w:bottom w:val="nil"/>
              <w:right w:val="nil"/>
            </w:tcBorders>
            <w:shd w:val="clear" w:color="auto" w:fill="auto"/>
            <w:vAlign w:val="bottom"/>
            <w:hideMark/>
          </w:tcPr>
          <w:p w:rsidR="00124E90" w:rsidRPr="001A2FDB" w:rsidRDefault="00124E90" w:rsidP="005F0F2C">
            <w:pPr>
              <w:jc w:val="center"/>
              <w:rPr>
                <w:rFonts w:ascii="Calibri" w:hAnsi="Calibri" w:cs="Calibri"/>
                <w:color w:val="000000"/>
                <w:sz w:val="22"/>
                <w:szCs w:val="22"/>
              </w:rPr>
            </w:pPr>
            <w:r w:rsidRPr="001A2FDB">
              <w:rPr>
                <w:rFonts w:ascii="Calibri" w:hAnsi="Calibri" w:cs="Calibri"/>
                <w:color w:val="000000"/>
                <w:sz w:val="22"/>
                <w:szCs w:val="22"/>
              </w:rPr>
              <w:t>(0.0017)</w:t>
            </w:r>
          </w:p>
        </w:tc>
        <w:tc>
          <w:tcPr>
            <w:tcW w:w="1100" w:type="pct"/>
            <w:tcBorders>
              <w:top w:val="nil"/>
              <w:left w:val="nil"/>
              <w:bottom w:val="nil"/>
              <w:right w:val="nil"/>
            </w:tcBorders>
            <w:shd w:val="clear" w:color="auto" w:fill="auto"/>
            <w:vAlign w:val="bottom"/>
            <w:hideMark/>
          </w:tcPr>
          <w:p w:rsidR="00124E90" w:rsidRPr="001A2FDB" w:rsidRDefault="00124E90" w:rsidP="005F0F2C">
            <w:pPr>
              <w:jc w:val="center"/>
              <w:rPr>
                <w:rFonts w:ascii="Calibri" w:hAnsi="Calibri" w:cs="Calibri"/>
                <w:color w:val="000000"/>
                <w:sz w:val="22"/>
                <w:szCs w:val="22"/>
              </w:rPr>
            </w:pPr>
            <w:r w:rsidRPr="001A2FDB">
              <w:rPr>
                <w:rFonts w:ascii="Calibri" w:hAnsi="Calibri" w:cs="Calibri"/>
                <w:color w:val="000000"/>
                <w:sz w:val="22"/>
                <w:szCs w:val="22"/>
              </w:rPr>
              <w:t>(0.0580)</w:t>
            </w:r>
          </w:p>
        </w:tc>
      </w:tr>
      <w:tr w:rsidR="00124E90" w:rsidRPr="001A2FDB" w:rsidTr="005F0F2C">
        <w:trPr>
          <w:trHeight w:val="290"/>
        </w:trPr>
        <w:tc>
          <w:tcPr>
            <w:tcW w:w="1433" w:type="pct"/>
            <w:tcBorders>
              <w:top w:val="nil"/>
              <w:left w:val="nil"/>
              <w:bottom w:val="nil"/>
              <w:right w:val="nil"/>
            </w:tcBorders>
            <w:shd w:val="clear" w:color="auto" w:fill="auto"/>
            <w:vAlign w:val="bottom"/>
            <w:hideMark/>
          </w:tcPr>
          <w:p w:rsidR="00124E90" w:rsidRPr="001A2FDB" w:rsidRDefault="00124E90" w:rsidP="005F0F2C">
            <w:pPr>
              <w:jc w:val="center"/>
              <w:rPr>
                <w:rFonts w:ascii="Calibri" w:hAnsi="Calibri" w:cs="Calibri"/>
                <w:color w:val="000000"/>
                <w:sz w:val="22"/>
                <w:szCs w:val="22"/>
              </w:rPr>
            </w:pPr>
          </w:p>
        </w:tc>
        <w:tc>
          <w:tcPr>
            <w:tcW w:w="563" w:type="pct"/>
            <w:tcBorders>
              <w:top w:val="nil"/>
              <w:left w:val="nil"/>
              <w:bottom w:val="nil"/>
              <w:right w:val="nil"/>
            </w:tcBorders>
            <w:shd w:val="clear" w:color="auto" w:fill="auto"/>
            <w:vAlign w:val="bottom"/>
            <w:hideMark/>
          </w:tcPr>
          <w:p w:rsidR="00124E90" w:rsidRPr="001A2FDB" w:rsidRDefault="00124E90" w:rsidP="005F0F2C">
            <w:pPr>
              <w:rPr>
                <w:sz w:val="20"/>
                <w:szCs w:val="20"/>
              </w:rPr>
            </w:pPr>
          </w:p>
        </w:tc>
        <w:tc>
          <w:tcPr>
            <w:tcW w:w="1314" w:type="pct"/>
            <w:tcBorders>
              <w:top w:val="nil"/>
              <w:left w:val="nil"/>
              <w:bottom w:val="nil"/>
              <w:right w:val="nil"/>
            </w:tcBorders>
            <w:shd w:val="clear" w:color="auto" w:fill="auto"/>
            <w:vAlign w:val="bottom"/>
            <w:hideMark/>
          </w:tcPr>
          <w:p w:rsidR="00124E90" w:rsidRPr="001A2FDB" w:rsidRDefault="00124E90" w:rsidP="005F0F2C">
            <w:pPr>
              <w:jc w:val="center"/>
              <w:rPr>
                <w:sz w:val="20"/>
                <w:szCs w:val="20"/>
              </w:rPr>
            </w:pPr>
          </w:p>
        </w:tc>
        <w:tc>
          <w:tcPr>
            <w:tcW w:w="591" w:type="pct"/>
            <w:tcBorders>
              <w:top w:val="nil"/>
              <w:left w:val="nil"/>
              <w:bottom w:val="nil"/>
              <w:right w:val="nil"/>
            </w:tcBorders>
            <w:shd w:val="clear" w:color="auto" w:fill="auto"/>
            <w:vAlign w:val="bottom"/>
            <w:hideMark/>
          </w:tcPr>
          <w:p w:rsidR="00124E90" w:rsidRPr="001A2FDB" w:rsidRDefault="00124E90" w:rsidP="005F0F2C">
            <w:pPr>
              <w:jc w:val="center"/>
              <w:rPr>
                <w:sz w:val="20"/>
                <w:szCs w:val="20"/>
              </w:rPr>
            </w:pPr>
          </w:p>
        </w:tc>
        <w:tc>
          <w:tcPr>
            <w:tcW w:w="1100" w:type="pct"/>
            <w:tcBorders>
              <w:top w:val="nil"/>
              <w:left w:val="nil"/>
              <w:bottom w:val="nil"/>
              <w:right w:val="nil"/>
            </w:tcBorders>
            <w:shd w:val="clear" w:color="auto" w:fill="auto"/>
            <w:vAlign w:val="bottom"/>
            <w:hideMark/>
          </w:tcPr>
          <w:p w:rsidR="00124E90" w:rsidRPr="001A2FDB" w:rsidRDefault="00124E90" w:rsidP="005F0F2C">
            <w:pPr>
              <w:jc w:val="center"/>
              <w:rPr>
                <w:sz w:val="20"/>
                <w:szCs w:val="20"/>
              </w:rPr>
            </w:pPr>
          </w:p>
        </w:tc>
      </w:tr>
      <w:tr w:rsidR="00124E90" w:rsidRPr="001A2FDB" w:rsidTr="005F0F2C">
        <w:trPr>
          <w:trHeight w:val="290"/>
        </w:trPr>
        <w:tc>
          <w:tcPr>
            <w:tcW w:w="1433" w:type="pct"/>
            <w:tcBorders>
              <w:top w:val="nil"/>
              <w:left w:val="nil"/>
              <w:bottom w:val="nil"/>
              <w:right w:val="nil"/>
            </w:tcBorders>
            <w:shd w:val="clear" w:color="auto" w:fill="auto"/>
            <w:vAlign w:val="bottom"/>
            <w:hideMark/>
          </w:tcPr>
          <w:p w:rsidR="00124E90" w:rsidRPr="001A2FDB" w:rsidRDefault="00124E90" w:rsidP="005F0F2C">
            <w:pPr>
              <w:rPr>
                <w:rFonts w:ascii="Calibri" w:hAnsi="Calibri" w:cs="Calibri"/>
                <w:color w:val="000000"/>
                <w:sz w:val="22"/>
                <w:szCs w:val="22"/>
              </w:rPr>
            </w:pPr>
            <w:r w:rsidRPr="001A2FDB">
              <w:rPr>
                <w:rFonts w:ascii="Calibri" w:hAnsi="Calibri" w:cs="Calibri"/>
                <w:color w:val="000000"/>
                <w:sz w:val="22"/>
                <w:szCs w:val="22"/>
              </w:rPr>
              <w:t>Medicaid x 2015</w:t>
            </w:r>
          </w:p>
        </w:tc>
        <w:tc>
          <w:tcPr>
            <w:tcW w:w="563" w:type="pct"/>
            <w:tcBorders>
              <w:top w:val="nil"/>
              <w:left w:val="nil"/>
              <w:bottom w:val="nil"/>
              <w:right w:val="nil"/>
            </w:tcBorders>
            <w:shd w:val="clear" w:color="auto" w:fill="auto"/>
            <w:vAlign w:val="bottom"/>
            <w:hideMark/>
          </w:tcPr>
          <w:p w:rsidR="00124E90" w:rsidRPr="001A2FDB" w:rsidRDefault="00124E90" w:rsidP="005F0F2C">
            <w:pPr>
              <w:jc w:val="center"/>
              <w:rPr>
                <w:rFonts w:ascii="Calibri" w:hAnsi="Calibri" w:cs="Calibri"/>
                <w:color w:val="000000"/>
                <w:sz w:val="22"/>
                <w:szCs w:val="22"/>
              </w:rPr>
            </w:pPr>
            <w:r w:rsidRPr="001A2FDB">
              <w:rPr>
                <w:rFonts w:ascii="Calibri" w:hAnsi="Calibri" w:cs="Calibri"/>
                <w:color w:val="000000"/>
                <w:sz w:val="22"/>
                <w:szCs w:val="22"/>
              </w:rPr>
              <w:t>-0.00188</w:t>
            </w:r>
          </w:p>
        </w:tc>
        <w:tc>
          <w:tcPr>
            <w:tcW w:w="1314" w:type="pct"/>
            <w:tcBorders>
              <w:top w:val="nil"/>
              <w:left w:val="nil"/>
              <w:bottom w:val="nil"/>
              <w:right w:val="nil"/>
            </w:tcBorders>
            <w:shd w:val="clear" w:color="auto" w:fill="auto"/>
            <w:vAlign w:val="bottom"/>
            <w:hideMark/>
          </w:tcPr>
          <w:p w:rsidR="00124E90" w:rsidRPr="001A2FDB" w:rsidRDefault="00124E90" w:rsidP="005F0F2C">
            <w:pPr>
              <w:jc w:val="center"/>
              <w:rPr>
                <w:rFonts w:ascii="Calibri" w:hAnsi="Calibri" w:cs="Calibri"/>
                <w:color w:val="000000"/>
                <w:sz w:val="22"/>
                <w:szCs w:val="22"/>
              </w:rPr>
            </w:pPr>
            <w:r w:rsidRPr="001A2FDB">
              <w:rPr>
                <w:rFonts w:ascii="Calibri" w:hAnsi="Calibri" w:cs="Calibri"/>
                <w:color w:val="000000"/>
                <w:sz w:val="22"/>
                <w:szCs w:val="22"/>
              </w:rPr>
              <w:t>-0.00294</w:t>
            </w:r>
          </w:p>
        </w:tc>
        <w:tc>
          <w:tcPr>
            <w:tcW w:w="591" w:type="pct"/>
            <w:tcBorders>
              <w:top w:val="nil"/>
              <w:left w:val="nil"/>
              <w:bottom w:val="nil"/>
              <w:right w:val="nil"/>
            </w:tcBorders>
            <w:shd w:val="clear" w:color="auto" w:fill="auto"/>
            <w:vAlign w:val="bottom"/>
            <w:hideMark/>
          </w:tcPr>
          <w:p w:rsidR="00124E90" w:rsidRPr="001A2FDB" w:rsidRDefault="00124E90" w:rsidP="005F0F2C">
            <w:pPr>
              <w:jc w:val="center"/>
              <w:rPr>
                <w:rFonts w:ascii="Calibri" w:hAnsi="Calibri" w:cs="Calibri"/>
                <w:color w:val="000000"/>
                <w:sz w:val="22"/>
                <w:szCs w:val="22"/>
              </w:rPr>
            </w:pPr>
            <w:r w:rsidRPr="001A2FDB">
              <w:rPr>
                <w:rFonts w:ascii="Calibri" w:hAnsi="Calibri" w:cs="Calibri"/>
                <w:color w:val="000000"/>
                <w:sz w:val="22"/>
                <w:szCs w:val="22"/>
              </w:rPr>
              <w:t>0.00260</w:t>
            </w:r>
          </w:p>
        </w:tc>
        <w:tc>
          <w:tcPr>
            <w:tcW w:w="1100" w:type="pct"/>
            <w:tcBorders>
              <w:top w:val="nil"/>
              <w:left w:val="nil"/>
              <w:bottom w:val="nil"/>
              <w:right w:val="nil"/>
            </w:tcBorders>
            <w:shd w:val="clear" w:color="auto" w:fill="auto"/>
            <w:vAlign w:val="bottom"/>
            <w:hideMark/>
          </w:tcPr>
          <w:p w:rsidR="00124E90" w:rsidRPr="001A2FDB" w:rsidRDefault="00124E90" w:rsidP="005F0F2C">
            <w:pPr>
              <w:jc w:val="center"/>
              <w:rPr>
                <w:rFonts w:ascii="Calibri" w:hAnsi="Calibri" w:cs="Calibri"/>
                <w:color w:val="000000"/>
                <w:sz w:val="22"/>
                <w:szCs w:val="22"/>
              </w:rPr>
            </w:pPr>
            <w:r w:rsidRPr="001A2FDB">
              <w:rPr>
                <w:rFonts w:ascii="Calibri" w:hAnsi="Calibri" w:cs="Calibri"/>
                <w:color w:val="000000"/>
                <w:sz w:val="22"/>
                <w:szCs w:val="22"/>
              </w:rPr>
              <w:t>-0.0943</w:t>
            </w:r>
          </w:p>
        </w:tc>
      </w:tr>
      <w:tr w:rsidR="00124E90" w:rsidRPr="001A2FDB" w:rsidTr="005F0F2C">
        <w:trPr>
          <w:trHeight w:val="290"/>
        </w:trPr>
        <w:tc>
          <w:tcPr>
            <w:tcW w:w="1433" w:type="pct"/>
            <w:tcBorders>
              <w:top w:val="nil"/>
              <w:left w:val="nil"/>
              <w:bottom w:val="nil"/>
              <w:right w:val="nil"/>
            </w:tcBorders>
            <w:shd w:val="clear" w:color="auto" w:fill="auto"/>
            <w:vAlign w:val="bottom"/>
            <w:hideMark/>
          </w:tcPr>
          <w:p w:rsidR="00124E90" w:rsidRPr="001A2FDB" w:rsidRDefault="00124E90" w:rsidP="005F0F2C">
            <w:pPr>
              <w:jc w:val="center"/>
              <w:rPr>
                <w:rFonts w:ascii="Calibri" w:hAnsi="Calibri" w:cs="Calibri"/>
                <w:color w:val="000000"/>
                <w:sz w:val="22"/>
                <w:szCs w:val="22"/>
              </w:rPr>
            </w:pPr>
          </w:p>
        </w:tc>
        <w:tc>
          <w:tcPr>
            <w:tcW w:w="563" w:type="pct"/>
            <w:tcBorders>
              <w:top w:val="nil"/>
              <w:left w:val="nil"/>
              <w:bottom w:val="nil"/>
              <w:right w:val="nil"/>
            </w:tcBorders>
            <w:shd w:val="clear" w:color="auto" w:fill="auto"/>
            <w:vAlign w:val="bottom"/>
            <w:hideMark/>
          </w:tcPr>
          <w:p w:rsidR="00124E90" w:rsidRPr="001A2FDB" w:rsidRDefault="00124E90" w:rsidP="005F0F2C">
            <w:pPr>
              <w:jc w:val="center"/>
              <w:rPr>
                <w:rFonts w:ascii="Calibri" w:hAnsi="Calibri" w:cs="Calibri"/>
                <w:color w:val="000000"/>
                <w:sz w:val="22"/>
                <w:szCs w:val="22"/>
              </w:rPr>
            </w:pPr>
            <w:r w:rsidRPr="001A2FDB">
              <w:rPr>
                <w:rFonts w:ascii="Calibri" w:hAnsi="Calibri" w:cs="Calibri"/>
                <w:color w:val="000000"/>
                <w:sz w:val="22"/>
                <w:szCs w:val="22"/>
              </w:rPr>
              <w:t>(0.0048)</w:t>
            </w:r>
          </w:p>
        </w:tc>
        <w:tc>
          <w:tcPr>
            <w:tcW w:w="1314" w:type="pct"/>
            <w:tcBorders>
              <w:top w:val="nil"/>
              <w:left w:val="nil"/>
              <w:bottom w:val="nil"/>
              <w:right w:val="nil"/>
            </w:tcBorders>
            <w:shd w:val="clear" w:color="auto" w:fill="auto"/>
            <w:vAlign w:val="bottom"/>
            <w:hideMark/>
          </w:tcPr>
          <w:p w:rsidR="00124E90" w:rsidRPr="001A2FDB" w:rsidRDefault="00124E90" w:rsidP="005F0F2C">
            <w:pPr>
              <w:jc w:val="center"/>
              <w:rPr>
                <w:rFonts w:ascii="Calibri" w:hAnsi="Calibri" w:cs="Calibri"/>
                <w:color w:val="000000"/>
                <w:sz w:val="22"/>
                <w:szCs w:val="22"/>
              </w:rPr>
            </w:pPr>
            <w:r w:rsidRPr="001A2FDB">
              <w:rPr>
                <w:rFonts w:ascii="Calibri" w:hAnsi="Calibri" w:cs="Calibri"/>
                <w:color w:val="000000"/>
                <w:sz w:val="22"/>
                <w:szCs w:val="22"/>
              </w:rPr>
              <w:t>(0.0020)</w:t>
            </w:r>
          </w:p>
        </w:tc>
        <w:tc>
          <w:tcPr>
            <w:tcW w:w="591" w:type="pct"/>
            <w:tcBorders>
              <w:top w:val="nil"/>
              <w:left w:val="nil"/>
              <w:bottom w:val="nil"/>
              <w:right w:val="nil"/>
            </w:tcBorders>
            <w:shd w:val="clear" w:color="auto" w:fill="auto"/>
            <w:vAlign w:val="bottom"/>
            <w:hideMark/>
          </w:tcPr>
          <w:p w:rsidR="00124E90" w:rsidRPr="001A2FDB" w:rsidRDefault="00124E90" w:rsidP="005F0F2C">
            <w:pPr>
              <w:jc w:val="center"/>
              <w:rPr>
                <w:rFonts w:ascii="Calibri" w:hAnsi="Calibri" w:cs="Calibri"/>
                <w:color w:val="000000"/>
                <w:sz w:val="22"/>
                <w:szCs w:val="22"/>
              </w:rPr>
            </w:pPr>
            <w:r w:rsidRPr="001A2FDB">
              <w:rPr>
                <w:rFonts w:ascii="Calibri" w:hAnsi="Calibri" w:cs="Calibri"/>
                <w:color w:val="000000"/>
                <w:sz w:val="22"/>
                <w:szCs w:val="22"/>
              </w:rPr>
              <w:t>(0.0027)</w:t>
            </w:r>
          </w:p>
        </w:tc>
        <w:tc>
          <w:tcPr>
            <w:tcW w:w="1100" w:type="pct"/>
            <w:tcBorders>
              <w:top w:val="nil"/>
              <w:left w:val="nil"/>
              <w:bottom w:val="nil"/>
              <w:right w:val="nil"/>
            </w:tcBorders>
            <w:shd w:val="clear" w:color="auto" w:fill="auto"/>
            <w:vAlign w:val="bottom"/>
            <w:hideMark/>
          </w:tcPr>
          <w:p w:rsidR="00124E90" w:rsidRPr="001A2FDB" w:rsidRDefault="00124E90" w:rsidP="005F0F2C">
            <w:pPr>
              <w:jc w:val="center"/>
              <w:rPr>
                <w:rFonts w:ascii="Calibri" w:hAnsi="Calibri" w:cs="Calibri"/>
                <w:color w:val="000000"/>
                <w:sz w:val="22"/>
                <w:szCs w:val="22"/>
              </w:rPr>
            </w:pPr>
            <w:r w:rsidRPr="001A2FDB">
              <w:rPr>
                <w:rFonts w:ascii="Calibri" w:hAnsi="Calibri" w:cs="Calibri"/>
                <w:color w:val="000000"/>
                <w:sz w:val="22"/>
                <w:szCs w:val="22"/>
              </w:rPr>
              <w:t>(0.0612)</w:t>
            </w:r>
          </w:p>
        </w:tc>
      </w:tr>
      <w:tr w:rsidR="00124E90" w:rsidRPr="001A2FDB" w:rsidTr="005F0F2C">
        <w:trPr>
          <w:trHeight w:val="290"/>
        </w:trPr>
        <w:tc>
          <w:tcPr>
            <w:tcW w:w="1433" w:type="pct"/>
            <w:tcBorders>
              <w:top w:val="nil"/>
              <w:left w:val="nil"/>
              <w:bottom w:val="nil"/>
              <w:right w:val="nil"/>
            </w:tcBorders>
            <w:shd w:val="clear" w:color="auto" w:fill="auto"/>
            <w:vAlign w:val="bottom"/>
            <w:hideMark/>
          </w:tcPr>
          <w:p w:rsidR="00124E90" w:rsidRPr="001A2FDB" w:rsidRDefault="00124E90" w:rsidP="005F0F2C">
            <w:pPr>
              <w:jc w:val="center"/>
              <w:rPr>
                <w:rFonts w:ascii="Calibri" w:hAnsi="Calibri" w:cs="Calibri"/>
                <w:color w:val="000000"/>
                <w:sz w:val="22"/>
                <w:szCs w:val="22"/>
              </w:rPr>
            </w:pPr>
          </w:p>
        </w:tc>
        <w:tc>
          <w:tcPr>
            <w:tcW w:w="563" w:type="pct"/>
            <w:tcBorders>
              <w:top w:val="nil"/>
              <w:left w:val="nil"/>
              <w:bottom w:val="nil"/>
              <w:right w:val="nil"/>
            </w:tcBorders>
            <w:shd w:val="clear" w:color="auto" w:fill="auto"/>
            <w:vAlign w:val="bottom"/>
            <w:hideMark/>
          </w:tcPr>
          <w:p w:rsidR="00124E90" w:rsidRPr="001A2FDB" w:rsidRDefault="00124E90" w:rsidP="005F0F2C">
            <w:pPr>
              <w:rPr>
                <w:sz w:val="20"/>
                <w:szCs w:val="20"/>
              </w:rPr>
            </w:pPr>
          </w:p>
        </w:tc>
        <w:tc>
          <w:tcPr>
            <w:tcW w:w="1314" w:type="pct"/>
            <w:tcBorders>
              <w:top w:val="nil"/>
              <w:left w:val="nil"/>
              <w:bottom w:val="nil"/>
              <w:right w:val="nil"/>
            </w:tcBorders>
            <w:shd w:val="clear" w:color="auto" w:fill="auto"/>
            <w:vAlign w:val="bottom"/>
            <w:hideMark/>
          </w:tcPr>
          <w:p w:rsidR="00124E90" w:rsidRPr="001A2FDB" w:rsidRDefault="00124E90" w:rsidP="005F0F2C">
            <w:pPr>
              <w:jc w:val="center"/>
              <w:rPr>
                <w:sz w:val="20"/>
                <w:szCs w:val="20"/>
              </w:rPr>
            </w:pPr>
          </w:p>
        </w:tc>
        <w:tc>
          <w:tcPr>
            <w:tcW w:w="591" w:type="pct"/>
            <w:tcBorders>
              <w:top w:val="nil"/>
              <w:left w:val="nil"/>
              <w:bottom w:val="nil"/>
              <w:right w:val="nil"/>
            </w:tcBorders>
            <w:shd w:val="clear" w:color="auto" w:fill="auto"/>
            <w:vAlign w:val="bottom"/>
            <w:hideMark/>
          </w:tcPr>
          <w:p w:rsidR="00124E90" w:rsidRPr="001A2FDB" w:rsidRDefault="00124E90" w:rsidP="005F0F2C">
            <w:pPr>
              <w:jc w:val="center"/>
              <w:rPr>
                <w:sz w:val="20"/>
                <w:szCs w:val="20"/>
              </w:rPr>
            </w:pPr>
          </w:p>
        </w:tc>
        <w:tc>
          <w:tcPr>
            <w:tcW w:w="1100" w:type="pct"/>
            <w:tcBorders>
              <w:top w:val="nil"/>
              <w:left w:val="nil"/>
              <w:bottom w:val="nil"/>
              <w:right w:val="nil"/>
            </w:tcBorders>
            <w:shd w:val="clear" w:color="auto" w:fill="auto"/>
            <w:vAlign w:val="bottom"/>
            <w:hideMark/>
          </w:tcPr>
          <w:p w:rsidR="00124E90" w:rsidRPr="001A2FDB" w:rsidRDefault="00124E90" w:rsidP="005F0F2C">
            <w:pPr>
              <w:jc w:val="center"/>
              <w:rPr>
                <w:sz w:val="20"/>
                <w:szCs w:val="20"/>
              </w:rPr>
            </w:pPr>
          </w:p>
        </w:tc>
      </w:tr>
      <w:tr w:rsidR="00124E90" w:rsidRPr="001A2FDB" w:rsidTr="005F0F2C">
        <w:trPr>
          <w:trHeight w:val="290"/>
        </w:trPr>
        <w:tc>
          <w:tcPr>
            <w:tcW w:w="1433" w:type="pct"/>
            <w:tcBorders>
              <w:top w:val="nil"/>
              <w:left w:val="nil"/>
              <w:bottom w:val="nil"/>
              <w:right w:val="nil"/>
            </w:tcBorders>
            <w:shd w:val="clear" w:color="auto" w:fill="auto"/>
            <w:vAlign w:val="bottom"/>
            <w:hideMark/>
          </w:tcPr>
          <w:p w:rsidR="00124E90" w:rsidRPr="001A2FDB" w:rsidRDefault="00124E90" w:rsidP="005F0F2C">
            <w:pPr>
              <w:rPr>
                <w:rFonts w:ascii="Calibri" w:hAnsi="Calibri" w:cs="Calibri"/>
                <w:color w:val="000000"/>
                <w:sz w:val="22"/>
                <w:szCs w:val="22"/>
              </w:rPr>
            </w:pPr>
            <w:r w:rsidRPr="001A2FDB">
              <w:rPr>
                <w:rFonts w:ascii="Calibri" w:hAnsi="Calibri" w:cs="Calibri"/>
                <w:color w:val="000000"/>
                <w:sz w:val="22"/>
                <w:szCs w:val="22"/>
              </w:rPr>
              <w:t>Medicaid x 2016</w:t>
            </w:r>
          </w:p>
        </w:tc>
        <w:tc>
          <w:tcPr>
            <w:tcW w:w="563" w:type="pct"/>
            <w:tcBorders>
              <w:top w:val="nil"/>
              <w:left w:val="nil"/>
              <w:bottom w:val="nil"/>
              <w:right w:val="nil"/>
            </w:tcBorders>
            <w:shd w:val="clear" w:color="auto" w:fill="auto"/>
            <w:vAlign w:val="bottom"/>
            <w:hideMark/>
          </w:tcPr>
          <w:p w:rsidR="00124E90" w:rsidRPr="001A2FDB" w:rsidRDefault="00124E90" w:rsidP="005F0F2C">
            <w:pPr>
              <w:jc w:val="center"/>
              <w:rPr>
                <w:rFonts w:ascii="Calibri" w:hAnsi="Calibri" w:cs="Calibri"/>
                <w:color w:val="000000"/>
                <w:sz w:val="22"/>
                <w:szCs w:val="22"/>
              </w:rPr>
            </w:pPr>
            <w:r w:rsidRPr="001A2FDB">
              <w:rPr>
                <w:rFonts w:ascii="Calibri" w:hAnsi="Calibri" w:cs="Calibri"/>
                <w:color w:val="000000"/>
                <w:sz w:val="22"/>
                <w:szCs w:val="22"/>
              </w:rPr>
              <w:t>0.00773</w:t>
            </w:r>
          </w:p>
        </w:tc>
        <w:tc>
          <w:tcPr>
            <w:tcW w:w="1314" w:type="pct"/>
            <w:tcBorders>
              <w:top w:val="nil"/>
              <w:left w:val="nil"/>
              <w:bottom w:val="nil"/>
              <w:right w:val="nil"/>
            </w:tcBorders>
            <w:shd w:val="clear" w:color="auto" w:fill="auto"/>
            <w:vAlign w:val="bottom"/>
            <w:hideMark/>
          </w:tcPr>
          <w:p w:rsidR="00124E90" w:rsidRPr="001A2FDB" w:rsidRDefault="00124E90" w:rsidP="005F0F2C">
            <w:pPr>
              <w:jc w:val="center"/>
              <w:rPr>
                <w:rFonts w:ascii="Calibri" w:hAnsi="Calibri" w:cs="Calibri"/>
                <w:color w:val="000000"/>
                <w:sz w:val="22"/>
                <w:szCs w:val="22"/>
              </w:rPr>
            </w:pPr>
            <w:r w:rsidRPr="001A2FDB">
              <w:rPr>
                <w:rFonts w:ascii="Calibri" w:hAnsi="Calibri" w:cs="Calibri"/>
                <w:color w:val="000000"/>
                <w:sz w:val="22"/>
                <w:szCs w:val="22"/>
              </w:rPr>
              <w:t>0.00185</w:t>
            </w:r>
          </w:p>
        </w:tc>
        <w:tc>
          <w:tcPr>
            <w:tcW w:w="591" w:type="pct"/>
            <w:tcBorders>
              <w:top w:val="nil"/>
              <w:left w:val="nil"/>
              <w:bottom w:val="nil"/>
              <w:right w:val="nil"/>
            </w:tcBorders>
            <w:shd w:val="clear" w:color="auto" w:fill="auto"/>
            <w:vAlign w:val="bottom"/>
            <w:hideMark/>
          </w:tcPr>
          <w:p w:rsidR="00124E90" w:rsidRPr="001A2FDB" w:rsidRDefault="00124E90" w:rsidP="005F0F2C">
            <w:pPr>
              <w:jc w:val="center"/>
              <w:rPr>
                <w:rFonts w:ascii="Calibri" w:hAnsi="Calibri" w:cs="Calibri"/>
                <w:color w:val="000000"/>
                <w:sz w:val="22"/>
                <w:szCs w:val="22"/>
              </w:rPr>
            </w:pPr>
            <w:r w:rsidRPr="001A2FDB">
              <w:rPr>
                <w:rFonts w:ascii="Calibri" w:hAnsi="Calibri" w:cs="Calibri"/>
                <w:color w:val="000000"/>
                <w:sz w:val="22"/>
                <w:szCs w:val="22"/>
              </w:rPr>
              <w:t>0.00319</w:t>
            </w:r>
          </w:p>
        </w:tc>
        <w:tc>
          <w:tcPr>
            <w:tcW w:w="1100" w:type="pct"/>
            <w:tcBorders>
              <w:top w:val="nil"/>
              <w:left w:val="nil"/>
              <w:bottom w:val="nil"/>
              <w:right w:val="nil"/>
            </w:tcBorders>
            <w:shd w:val="clear" w:color="auto" w:fill="auto"/>
            <w:vAlign w:val="bottom"/>
            <w:hideMark/>
          </w:tcPr>
          <w:p w:rsidR="00124E90" w:rsidRPr="001A2FDB" w:rsidRDefault="00124E90" w:rsidP="005F0F2C">
            <w:pPr>
              <w:jc w:val="center"/>
              <w:rPr>
                <w:rFonts w:ascii="Calibri" w:hAnsi="Calibri" w:cs="Calibri"/>
                <w:color w:val="000000"/>
                <w:sz w:val="22"/>
                <w:szCs w:val="22"/>
              </w:rPr>
            </w:pPr>
            <w:r w:rsidRPr="001A2FDB">
              <w:rPr>
                <w:rFonts w:ascii="Calibri" w:hAnsi="Calibri" w:cs="Calibri"/>
                <w:color w:val="000000"/>
                <w:sz w:val="22"/>
                <w:szCs w:val="22"/>
              </w:rPr>
              <w:t>0.0519</w:t>
            </w:r>
          </w:p>
        </w:tc>
      </w:tr>
      <w:tr w:rsidR="00124E90" w:rsidRPr="001A2FDB" w:rsidTr="005F0F2C">
        <w:trPr>
          <w:trHeight w:val="290"/>
        </w:trPr>
        <w:tc>
          <w:tcPr>
            <w:tcW w:w="1433" w:type="pct"/>
            <w:tcBorders>
              <w:top w:val="nil"/>
              <w:left w:val="nil"/>
              <w:bottom w:val="single" w:sz="4" w:space="0" w:color="auto"/>
              <w:right w:val="nil"/>
            </w:tcBorders>
            <w:shd w:val="clear" w:color="auto" w:fill="auto"/>
            <w:vAlign w:val="bottom"/>
            <w:hideMark/>
          </w:tcPr>
          <w:p w:rsidR="00124E90" w:rsidRPr="001A2FDB" w:rsidRDefault="00124E90" w:rsidP="005F0F2C">
            <w:pPr>
              <w:rPr>
                <w:rFonts w:ascii="Calibri" w:hAnsi="Calibri" w:cs="Calibri"/>
                <w:color w:val="000000"/>
                <w:sz w:val="22"/>
                <w:szCs w:val="22"/>
              </w:rPr>
            </w:pPr>
            <w:r w:rsidRPr="001A2FDB">
              <w:rPr>
                <w:rFonts w:ascii="Calibri" w:hAnsi="Calibri" w:cs="Calibri"/>
                <w:color w:val="000000"/>
                <w:sz w:val="22"/>
                <w:szCs w:val="22"/>
              </w:rPr>
              <w:t> </w:t>
            </w:r>
          </w:p>
        </w:tc>
        <w:tc>
          <w:tcPr>
            <w:tcW w:w="563" w:type="pct"/>
            <w:tcBorders>
              <w:top w:val="nil"/>
              <w:left w:val="nil"/>
              <w:bottom w:val="single" w:sz="4" w:space="0" w:color="auto"/>
              <w:right w:val="nil"/>
            </w:tcBorders>
            <w:shd w:val="clear" w:color="auto" w:fill="auto"/>
            <w:vAlign w:val="bottom"/>
            <w:hideMark/>
          </w:tcPr>
          <w:p w:rsidR="00124E90" w:rsidRPr="001A2FDB" w:rsidRDefault="00124E90" w:rsidP="005F0F2C">
            <w:pPr>
              <w:jc w:val="center"/>
              <w:rPr>
                <w:rFonts w:ascii="Calibri" w:hAnsi="Calibri" w:cs="Calibri"/>
                <w:color w:val="000000"/>
                <w:sz w:val="22"/>
                <w:szCs w:val="22"/>
              </w:rPr>
            </w:pPr>
            <w:r w:rsidRPr="001A2FDB">
              <w:rPr>
                <w:rFonts w:ascii="Calibri" w:hAnsi="Calibri" w:cs="Calibri"/>
                <w:color w:val="000000"/>
                <w:sz w:val="22"/>
                <w:szCs w:val="22"/>
              </w:rPr>
              <w:t>(0.0064)</w:t>
            </w:r>
          </w:p>
        </w:tc>
        <w:tc>
          <w:tcPr>
            <w:tcW w:w="1314" w:type="pct"/>
            <w:tcBorders>
              <w:top w:val="nil"/>
              <w:left w:val="nil"/>
              <w:bottom w:val="single" w:sz="4" w:space="0" w:color="auto"/>
              <w:right w:val="nil"/>
            </w:tcBorders>
            <w:shd w:val="clear" w:color="auto" w:fill="auto"/>
            <w:vAlign w:val="bottom"/>
            <w:hideMark/>
          </w:tcPr>
          <w:p w:rsidR="00124E90" w:rsidRPr="001A2FDB" w:rsidRDefault="00124E90" w:rsidP="005F0F2C">
            <w:pPr>
              <w:jc w:val="center"/>
              <w:rPr>
                <w:rFonts w:ascii="Calibri" w:hAnsi="Calibri" w:cs="Calibri"/>
                <w:color w:val="000000"/>
                <w:sz w:val="22"/>
                <w:szCs w:val="22"/>
              </w:rPr>
            </w:pPr>
            <w:r w:rsidRPr="001A2FDB">
              <w:rPr>
                <w:rFonts w:ascii="Calibri" w:hAnsi="Calibri" w:cs="Calibri"/>
                <w:color w:val="000000"/>
                <w:sz w:val="22"/>
                <w:szCs w:val="22"/>
              </w:rPr>
              <w:t>(0.0017)</w:t>
            </w:r>
          </w:p>
        </w:tc>
        <w:tc>
          <w:tcPr>
            <w:tcW w:w="591" w:type="pct"/>
            <w:tcBorders>
              <w:top w:val="nil"/>
              <w:left w:val="nil"/>
              <w:bottom w:val="single" w:sz="4" w:space="0" w:color="auto"/>
              <w:right w:val="nil"/>
            </w:tcBorders>
            <w:shd w:val="clear" w:color="auto" w:fill="auto"/>
            <w:vAlign w:val="bottom"/>
            <w:hideMark/>
          </w:tcPr>
          <w:p w:rsidR="00124E90" w:rsidRPr="001A2FDB" w:rsidRDefault="00124E90" w:rsidP="005F0F2C">
            <w:pPr>
              <w:jc w:val="center"/>
              <w:rPr>
                <w:rFonts w:ascii="Calibri" w:hAnsi="Calibri" w:cs="Calibri"/>
                <w:color w:val="000000"/>
                <w:sz w:val="22"/>
                <w:szCs w:val="22"/>
              </w:rPr>
            </w:pPr>
            <w:r w:rsidRPr="001A2FDB">
              <w:rPr>
                <w:rFonts w:ascii="Calibri" w:hAnsi="Calibri" w:cs="Calibri"/>
                <w:color w:val="000000"/>
                <w:sz w:val="22"/>
                <w:szCs w:val="22"/>
              </w:rPr>
              <w:t>(0.0041)</w:t>
            </w:r>
          </w:p>
        </w:tc>
        <w:tc>
          <w:tcPr>
            <w:tcW w:w="1100" w:type="pct"/>
            <w:tcBorders>
              <w:top w:val="nil"/>
              <w:left w:val="nil"/>
              <w:bottom w:val="single" w:sz="4" w:space="0" w:color="auto"/>
              <w:right w:val="nil"/>
            </w:tcBorders>
            <w:shd w:val="clear" w:color="auto" w:fill="auto"/>
            <w:vAlign w:val="bottom"/>
            <w:hideMark/>
          </w:tcPr>
          <w:p w:rsidR="00124E90" w:rsidRPr="001A2FDB" w:rsidRDefault="00124E90" w:rsidP="005F0F2C">
            <w:pPr>
              <w:jc w:val="center"/>
              <w:rPr>
                <w:rFonts w:ascii="Calibri" w:hAnsi="Calibri" w:cs="Calibri"/>
                <w:color w:val="000000"/>
                <w:sz w:val="22"/>
                <w:szCs w:val="22"/>
              </w:rPr>
            </w:pPr>
            <w:r w:rsidRPr="001A2FDB">
              <w:rPr>
                <w:rFonts w:ascii="Calibri" w:hAnsi="Calibri" w:cs="Calibri"/>
                <w:color w:val="000000"/>
                <w:sz w:val="22"/>
                <w:szCs w:val="22"/>
              </w:rPr>
              <w:t>(0.1046)</w:t>
            </w:r>
          </w:p>
        </w:tc>
      </w:tr>
    </w:tbl>
    <w:p w:rsidR="00D201B1" w:rsidRDefault="00D201B1" w:rsidP="00D201B1">
      <w:pPr>
        <w:spacing w:line="276" w:lineRule="auto"/>
        <w:rPr>
          <w:color w:val="FF0000"/>
        </w:rPr>
      </w:pPr>
      <w:r w:rsidRPr="005A43BD">
        <w:rPr>
          <w:i/>
          <w:sz w:val="16"/>
          <w:szCs w:val="16"/>
        </w:rPr>
        <w:t xml:space="preserve">Notes: </w:t>
      </w:r>
      <w:r>
        <w:rPr>
          <w:sz w:val="16"/>
          <w:szCs w:val="16"/>
        </w:rPr>
        <w:t>Standard errors, heteroskedasticity-robust and clustered at the state level, are in parentheses. *** Denotes statistical significance at 1 percent level, ** Denotes statistical significance at 5 percent level,</w:t>
      </w:r>
      <w:r w:rsidRPr="005A43BD">
        <w:rPr>
          <w:sz w:val="16"/>
          <w:szCs w:val="16"/>
        </w:rPr>
        <w:t xml:space="preserve"> </w:t>
      </w:r>
      <w:r>
        <w:rPr>
          <w:sz w:val="16"/>
          <w:szCs w:val="16"/>
        </w:rPr>
        <w:t>* Denotes statistical significance at 10 percent level</w:t>
      </w:r>
    </w:p>
    <w:p w:rsidR="00124E90" w:rsidRPr="00851820" w:rsidRDefault="00124E90" w:rsidP="00482A31">
      <w:pPr>
        <w:spacing w:line="276" w:lineRule="auto"/>
        <w:rPr>
          <w:b/>
          <w:u w:val="single"/>
        </w:rPr>
      </w:pPr>
    </w:p>
    <w:p w:rsidR="00851820" w:rsidRPr="00851820" w:rsidRDefault="00851820" w:rsidP="00482A31">
      <w:pPr>
        <w:spacing w:line="276" w:lineRule="auto"/>
      </w:pPr>
    </w:p>
    <w:p w:rsidR="00851820" w:rsidRPr="00851820" w:rsidRDefault="00851820" w:rsidP="00482A31">
      <w:pPr>
        <w:spacing w:line="276" w:lineRule="auto"/>
      </w:pPr>
    </w:p>
    <w:p w:rsidR="00851820" w:rsidRPr="00851820" w:rsidRDefault="00851820" w:rsidP="00482A31">
      <w:pPr>
        <w:spacing w:line="276" w:lineRule="auto"/>
      </w:pPr>
    </w:p>
    <w:p w:rsidR="004650EE" w:rsidRDefault="004650EE">
      <w:pPr>
        <w:spacing w:after="160" w:line="259" w:lineRule="auto"/>
        <w:rPr>
          <w:color w:val="FF0000"/>
        </w:rPr>
      </w:pPr>
      <w:r>
        <w:rPr>
          <w:color w:val="FF0000"/>
        </w:rPr>
        <w:br w:type="page"/>
      </w:r>
    </w:p>
    <w:tbl>
      <w:tblPr>
        <w:tblW w:w="0" w:type="auto"/>
        <w:tblLook w:val="04A0" w:firstRow="1" w:lastRow="0" w:firstColumn="1" w:lastColumn="0" w:noHBand="0" w:noVBand="1"/>
      </w:tblPr>
      <w:tblGrid>
        <w:gridCol w:w="3042"/>
        <w:gridCol w:w="1104"/>
        <w:gridCol w:w="2167"/>
        <w:gridCol w:w="1244"/>
        <w:gridCol w:w="1803"/>
      </w:tblGrid>
      <w:tr w:rsidR="004650EE" w:rsidRPr="004650EE" w:rsidTr="004650EE">
        <w:trPr>
          <w:trHeight w:val="310"/>
        </w:trPr>
        <w:tc>
          <w:tcPr>
            <w:tcW w:w="0" w:type="auto"/>
            <w:gridSpan w:val="5"/>
            <w:tcBorders>
              <w:top w:val="nil"/>
              <w:left w:val="nil"/>
              <w:bottom w:val="single" w:sz="4" w:space="0" w:color="auto"/>
              <w:right w:val="nil"/>
            </w:tcBorders>
            <w:shd w:val="clear" w:color="auto" w:fill="auto"/>
            <w:noWrap/>
            <w:vAlign w:val="bottom"/>
            <w:hideMark/>
          </w:tcPr>
          <w:p w:rsidR="004650EE" w:rsidRPr="004650EE" w:rsidRDefault="004650EE" w:rsidP="004650EE">
            <w:pPr>
              <w:jc w:val="center"/>
              <w:rPr>
                <w:rFonts w:ascii="Calibri" w:hAnsi="Calibri" w:cs="Calibri"/>
                <w:b/>
                <w:bCs/>
                <w:color w:val="000000"/>
                <w:u w:val="single"/>
              </w:rPr>
            </w:pPr>
            <w:r w:rsidRPr="004650EE">
              <w:rPr>
                <w:rFonts w:ascii="Calibri" w:hAnsi="Calibri" w:cs="Calibri"/>
                <w:b/>
                <w:bCs/>
                <w:color w:val="000000"/>
                <w:u w:val="single"/>
              </w:rPr>
              <w:lastRenderedPageBreak/>
              <w:t>Table A2: Males DiDiD Event Study</w:t>
            </w:r>
          </w:p>
        </w:tc>
      </w:tr>
      <w:tr w:rsidR="004650EE" w:rsidRPr="004650EE" w:rsidTr="004650EE">
        <w:trPr>
          <w:trHeight w:val="59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b/>
                <w:bCs/>
                <w:color w:val="000000"/>
                <w:u w:val="single"/>
              </w:rPr>
            </w:pPr>
          </w:p>
        </w:tc>
        <w:tc>
          <w:tcPr>
            <w:tcW w:w="0" w:type="auto"/>
            <w:tcBorders>
              <w:top w:val="nil"/>
              <w:left w:val="nil"/>
              <w:bottom w:val="single" w:sz="4" w:space="0" w:color="auto"/>
              <w:right w:val="nil"/>
            </w:tcBorders>
            <w:shd w:val="clear" w:color="auto" w:fill="auto"/>
            <w:vAlign w:val="bottom"/>
            <w:hideMark/>
          </w:tcPr>
          <w:p w:rsidR="004650EE" w:rsidRPr="004650EE" w:rsidRDefault="004650EE" w:rsidP="004650EE">
            <w:pPr>
              <w:jc w:val="center"/>
              <w:rPr>
                <w:rFonts w:ascii="Calibri" w:hAnsi="Calibri" w:cs="Calibri"/>
                <w:color w:val="000000"/>
              </w:rPr>
            </w:pPr>
            <w:proofErr w:type="gramStart"/>
            <w:r w:rsidRPr="004650EE">
              <w:rPr>
                <w:rFonts w:ascii="Calibri" w:hAnsi="Calibri" w:cs="Calibri"/>
                <w:color w:val="000000"/>
              </w:rPr>
              <w:t>ln(</w:t>
            </w:r>
            <w:proofErr w:type="gramEnd"/>
            <w:r w:rsidRPr="004650EE">
              <w:rPr>
                <w:rFonts w:ascii="Calibri" w:hAnsi="Calibri" w:cs="Calibri"/>
                <w:color w:val="000000"/>
              </w:rPr>
              <w:t>Wage)</w:t>
            </w:r>
          </w:p>
        </w:tc>
        <w:tc>
          <w:tcPr>
            <w:tcW w:w="0" w:type="auto"/>
            <w:tcBorders>
              <w:top w:val="nil"/>
              <w:left w:val="nil"/>
              <w:bottom w:val="single" w:sz="4" w:space="0" w:color="auto"/>
              <w:right w:val="nil"/>
            </w:tcBorders>
            <w:shd w:val="clear" w:color="auto" w:fill="auto"/>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Labor Force Participation</w:t>
            </w:r>
          </w:p>
        </w:tc>
        <w:tc>
          <w:tcPr>
            <w:tcW w:w="0" w:type="auto"/>
            <w:tcBorders>
              <w:top w:val="nil"/>
              <w:left w:val="nil"/>
              <w:bottom w:val="single" w:sz="4" w:space="0" w:color="auto"/>
              <w:right w:val="nil"/>
            </w:tcBorders>
            <w:shd w:val="clear" w:color="auto" w:fill="auto"/>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Employed</w:t>
            </w:r>
          </w:p>
        </w:tc>
        <w:tc>
          <w:tcPr>
            <w:tcW w:w="0" w:type="auto"/>
            <w:tcBorders>
              <w:top w:val="nil"/>
              <w:left w:val="nil"/>
              <w:bottom w:val="single" w:sz="4" w:space="0" w:color="auto"/>
              <w:right w:val="nil"/>
            </w:tcBorders>
            <w:shd w:val="clear" w:color="auto" w:fill="auto"/>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Usual Hours Worked</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rPr>
                <w:rFonts w:ascii="Calibri" w:hAnsi="Calibri" w:cs="Calibri"/>
                <w:color w:val="000000"/>
              </w:rPr>
            </w:pPr>
            <w:r w:rsidRPr="004650EE">
              <w:rPr>
                <w:rFonts w:ascii="Calibri" w:hAnsi="Calibri" w:cs="Calibri"/>
                <w:color w:val="000000"/>
              </w:rPr>
              <w:t>Uninsured x 2011</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0.0448</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-0.00416</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-0.00122</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-0.841</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(0.0532)</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(0.0406)</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(0.0263)</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(0.7358)</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rPr>
                <w:rFonts w:ascii="Calibri" w:hAnsi="Calibri" w:cs="Calibri"/>
                <w:color w:val="000000"/>
              </w:rPr>
            </w:pPr>
            <w:r w:rsidRPr="004650EE">
              <w:rPr>
                <w:rFonts w:ascii="Calibri" w:hAnsi="Calibri" w:cs="Calibri"/>
                <w:color w:val="000000"/>
              </w:rPr>
              <w:t>Uninsured x 2012</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-0.00674</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-0.0220</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0.0281</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-1.983***</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(0.0795)</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(0.0228)</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(0.0200)</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(0.7162)</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rPr>
                <w:rFonts w:ascii="Calibri" w:hAnsi="Calibri" w:cs="Calibri"/>
                <w:color w:val="000000"/>
              </w:rPr>
            </w:pPr>
            <w:r w:rsidRPr="004650EE">
              <w:rPr>
                <w:rFonts w:ascii="Calibri" w:hAnsi="Calibri" w:cs="Calibri"/>
                <w:color w:val="000000"/>
              </w:rPr>
              <w:t>Uninsured x 2014</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0.00542</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-0.00733</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0.0476***</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-0.988</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(0.0665)</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(0.0368)</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(0.0149)</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(0.7144)</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rPr>
                <w:rFonts w:ascii="Calibri" w:hAnsi="Calibri" w:cs="Calibri"/>
                <w:color w:val="000000"/>
              </w:rPr>
            </w:pPr>
            <w:r w:rsidRPr="004650EE">
              <w:rPr>
                <w:rFonts w:ascii="Calibri" w:hAnsi="Calibri" w:cs="Calibri"/>
                <w:color w:val="000000"/>
              </w:rPr>
              <w:t>Uninsured x 2015</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0.00332</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-0.0123</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0.0554***</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-0.304</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(0.0391)</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(0.0305)</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(0.0182)</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(0.5731)</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rPr>
                <w:rFonts w:ascii="Calibri" w:hAnsi="Calibri" w:cs="Calibri"/>
                <w:color w:val="000000"/>
              </w:rPr>
            </w:pPr>
            <w:r w:rsidRPr="004650EE">
              <w:rPr>
                <w:rFonts w:ascii="Calibri" w:hAnsi="Calibri" w:cs="Calibri"/>
                <w:color w:val="000000"/>
              </w:rPr>
              <w:t>Uninsured x 2016</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0.0178</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-0.0442</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0.0511**</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0.105</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(0.0622)</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(0.0325)</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(0.0226)</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(0.5624)</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rPr>
                <w:rFonts w:ascii="Calibri" w:hAnsi="Calibri" w:cs="Calibri"/>
                <w:color w:val="000000"/>
              </w:rPr>
            </w:pPr>
            <w:r w:rsidRPr="004650EE">
              <w:rPr>
                <w:rFonts w:ascii="Calibri" w:hAnsi="Calibri" w:cs="Calibri"/>
                <w:color w:val="000000"/>
              </w:rPr>
              <w:t>Medicaid x Uninsured x 2011</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0.00136</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-0.0124</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0.0131</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1.555</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(0.0723)</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(0.0464)</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(0.0345)</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(1.0178)</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rPr>
                <w:rFonts w:ascii="Calibri" w:hAnsi="Calibri" w:cs="Calibri"/>
                <w:color w:val="000000"/>
              </w:rPr>
            </w:pPr>
            <w:r w:rsidRPr="004650EE">
              <w:rPr>
                <w:rFonts w:ascii="Calibri" w:hAnsi="Calibri" w:cs="Calibri"/>
                <w:color w:val="000000"/>
              </w:rPr>
              <w:t>Medicaid x Uninsured x 2012</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0.0150</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0.0190</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-0.0419</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2.087**</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(0.0834)</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(0.0277)</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(0.0287)</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(0.9719)</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rPr>
                <w:rFonts w:ascii="Calibri" w:hAnsi="Calibri" w:cs="Calibri"/>
                <w:color w:val="000000"/>
              </w:rPr>
            </w:pPr>
            <w:r w:rsidRPr="004650EE">
              <w:rPr>
                <w:rFonts w:ascii="Calibri" w:hAnsi="Calibri" w:cs="Calibri"/>
                <w:color w:val="000000"/>
              </w:rPr>
              <w:t>Medicaid x Uninsured x 2014</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0.00961</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0.00806</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-0.0311</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2.707**</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(0.0794)</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(0.0386)</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(0.0203)</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(1.2682)</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rPr>
                <w:rFonts w:ascii="Calibri" w:hAnsi="Calibri" w:cs="Calibri"/>
                <w:color w:val="000000"/>
              </w:rPr>
            </w:pPr>
            <w:r w:rsidRPr="004650EE">
              <w:rPr>
                <w:rFonts w:ascii="Calibri" w:hAnsi="Calibri" w:cs="Calibri"/>
                <w:color w:val="000000"/>
              </w:rPr>
              <w:t>Medicaid x Uninsured x 2015</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-0.0114</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0.0120</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-0.0158</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1.094</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(0.0466)</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(0.0378)</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(0.0252)</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(0.8356)</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rPr>
                <w:rFonts w:ascii="Calibri" w:hAnsi="Calibri" w:cs="Calibri"/>
                <w:color w:val="000000"/>
              </w:rPr>
            </w:pPr>
            <w:r w:rsidRPr="004650EE">
              <w:rPr>
                <w:rFonts w:ascii="Calibri" w:hAnsi="Calibri" w:cs="Calibri"/>
                <w:color w:val="000000"/>
              </w:rPr>
              <w:t>Medicaid x Uninsured x 2016</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-0.0210</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0.0490</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-0.00503</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0.516</w:t>
            </w:r>
          </w:p>
        </w:tc>
      </w:tr>
      <w:tr w:rsidR="004650EE" w:rsidRPr="004650EE" w:rsidTr="004650EE">
        <w:trPr>
          <w:trHeight w:val="310"/>
        </w:trPr>
        <w:tc>
          <w:tcPr>
            <w:tcW w:w="0" w:type="auto"/>
            <w:tcBorders>
              <w:top w:val="nil"/>
              <w:left w:val="nil"/>
              <w:bottom w:val="single" w:sz="4" w:space="0" w:color="auto"/>
              <w:right w:val="nil"/>
            </w:tcBorders>
            <w:shd w:val="clear" w:color="auto" w:fill="auto"/>
            <w:noWrap/>
            <w:vAlign w:val="bottom"/>
            <w:hideMark/>
          </w:tcPr>
          <w:p w:rsidR="004650EE" w:rsidRPr="004650EE" w:rsidRDefault="004650EE" w:rsidP="004650EE">
            <w:pPr>
              <w:rPr>
                <w:rFonts w:ascii="Calibri" w:hAnsi="Calibri" w:cs="Calibri"/>
                <w:color w:val="000000"/>
              </w:rPr>
            </w:pPr>
            <w:r w:rsidRPr="004650EE">
              <w:rPr>
                <w:rFonts w:ascii="Calibri" w:hAnsi="Calibri" w:cs="Calibri"/>
                <w:color w:val="000000"/>
              </w:rPr>
              <w:t> </w:t>
            </w:r>
          </w:p>
        </w:tc>
        <w:tc>
          <w:tcPr>
            <w:tcW w:w="0" w:type="auto"/>
            <w:tcBorders>
              <w:top w:val="nil"/>
              <w:left w:val="nil"/>
              <w:bottom w:val="single" w:sz="4" w:space="0" w:color="auto"/>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(0.0796)</w:t>
            </w:r>
          </w:p>
        </w:tc>
        <w:tc>
          <w:tcPr>
            <w:tcW w:w="0" w:type="auto"/>
            <w:tcBorders>
              <w:top w:val="nil"/>
              <w:left w:val="nil"/>
              <w:bottom w:val="single" w:sz="4" w:space="0" w:color="auto"/>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(0.0426)</w:t>
            </w:r>
          </w:p>
        </w:tc>
        <w:tc>
          <w:tcPr>
            <w:tcW w:w="0" w:type="auto"/>
            <w:tcBorders>
              <w:top w:val="nil"/>
              <w:left w:val="nil"/>
              <w:bottom w:val="single" w:sz="4" w:space="0" w:color="auto"/>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(0.0266)</w:t>
            </w:r>
          </w:p>
        </w:tc>
        <w:tc>
          <w:tcPr>
            <w:tcW w:w="0" w:type="auto"/>
            <w:tcBorders>
              <w:top w:val="nil"/>
              <w:left w:val="nil"/>
              <w:bottom w:val="single" w:sz="4" w:space="0" w:color="auto"/>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(1.0907)</w:t>
            </w:r>
          </w:p>
        </w:tc>
      </w:tr>
    </w:tbl>
    <w:p w:rsidR="00851820" w:rsidRDefault="007B2B8F" w:rsidP="00482A31">
      <w:pPr>
        <w:spacing w:line="276" w:lineRule="auto"/>
        <w:rPr>
          <w:color w:val="FF0000"/>
        </w:rPr>
      </w:pPr>
      <w:r w:rsidRPr="005A43BD">
        <w:rPr>
          <w:i/>
          <w:sz w:val="16"/>
          <w:szCs w:val="16"/>
        </w:rPr>
        <w:t xml:space="preserve">Notes: </w:t>
      </w:r>
      <w:r>
        <w:rPr>
          <w:sz w:val="16"/>
          <w:szCs w:val="16"/>
        </w:rPr>
        <w:t>Standard errors, heteroskedasticity-robust and clustered at the state level, are in parentheses. *** Denotes statistical significance at 1 percent level, ** Denotes statistical significance at 5 percent level,</w:t>
      </w:r>
      <w:r w:rsidRPr="005A43BD">
        <w:rPr>
          <w:sz w:val="16"/>
          <w:szCs w:val="16"/>
        </w:rPr>
        <w:t xml:space="preserve"> </w:t>
      </w:r>
      <w:r>
        <w:rPr>
          <w:sz w:val="16"/>
          <w:szCs w:val="16"/>
        </w:rPr>
        <w:t>* Denotes statistical significance at 10 percent level</w:t>
      </w:r>
    </w:p>
    <w:p w:rsidR="004650EE" w:rsidRDefault="004650EE">
      <w:pPr>
        <w:spacing w:after="160" w:line="259" w:lineRule="auto"/>
        <w:rPr>
          <w:color w:val="FF0000"/>
        </w:rPr>
      </w:pPr>
      <w:r>
        <w:rPr>
          <w:color w:val="FF0000"/>
        </w:rPr>
        <w:br w:type="page"/>
      </w:r>
    </w:p>
    <w:tbl>
      <w:tblPr>
        <w:tblW w:w="0" w:type="auto"/>
        <w:tblLook w:val="04A0" w:firstRow="1" w:lastRow="0" w:firstColumn="1" w:lastColumn="0" w:noHBand="0" w:noVBand="1"/>
      </w:tblPr>
      <w:tblGrid>
        <w:gridCol w:w="3042"/>
        <w:gridCol w:w="1104"/>
        <w:gridCol w:w="2222"/>
        <w:gridCol w:w="1202"/>
        <w:gridCol w:w="1790"/>
      </w:tblGrid>
      <w:tr w:rsidR="004650EE" w:rsidRPr="004650EE" w:rsidTr="004650EE">
        <w:trPr>
          <w:trHeight w:val="310"/>
        </w:trPr>
        <w:tc>
          <w:tcPr>
            <w:tcW w:w="0" w:type="auto"/>
            <w:gridSpan w:val="5"/>
            <w:tcBorders>
              <w:top w:val="nil"/>
              <w:left w:val="nil"/>
              <w:bottom w:val="single" w:sz="4" w:space="0" w:color="auto"/>
              <w:right w:val="nil"/>
            </w:tcBorders>
            <w:shd w:val="clear" w:color="auto" w:fill="auto"/>
            <w:noWrap/>
            <w:vAlign w:val="bottom"/>
            <w:hideMark/>
          </w:tcPr>
          <w:p w:rsidR="004650EE" w:rsidRPr="004650EE" w:rsidRDefault="004650EE" w:rsidP="004650EE">
            <w:pPr>
              <w:jc w:val="center"/>
              <w:rPr>
                <w:rFonts w:ascii="Calibri" w:hAnsi="Calibri" w:cs="Calibri"/>
                <w:b/>
                <w:bCs/>
                <w:color w:val="000000"/>
                <w:u w:val="single"/>
              </w:rPr>
            </w:pPr>
            <w:r w:rsidRPr="004650EE">
              <w:rPr>
                <w:rFonts w:ascii="Calibri" w:hAnsi="Calibri" w:cs="Calibri"/>
                <w:b/>
                <w:bCs/>
                <w:color w:val="000000"/>
                <w:u w:val="single"/>
              </w:rPr>
              <w:lastRenderedPageBreak/>
              <w:t>Table A3: Females DiDiD Event Study</w:t>
            </w:r>
          </w:p>
        </w:tc>
      </w:tr>
      <w:tr w:rsidR="004650EE" w:rsidRPr="004650EE" w:rsidTr="004650EE">
        <w:trPr>
          <w:trHeight w:val="59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b/>
                <w:bCs/>
                <w:color w:val="000000"/>
                <w:u w:val="single"/>
              </w:rPr>
            </w:pPr>
          </w:p>
        </w:tc>
        <w:tc>
          <w:tcPr>
            <w:tcW w:w="0" w:type="auto"/>
            <w:tcBorders>
              <w:top w:val="nil"/>
              <w:left w:val="nil"/>
              <w:bottom w:val="single" w:sz="4" w:space="0" w:color="auto"/>
              <w:right w:val="nil"/>
            </w:tcBorders>
            <w:shd w:val="clear" w:color="auto" w:fill="auto"/>
            <w:vAlign w:val="bottom"/>
            <w:hideMark/>
          </w:tcPr>
          <w:p w:rsidR="004650EE" w:rsidRPr="004650EE" w:rsidRDefault="004650EE" w:rsidP="004650EE">
            <w:pPr>
              <w:jc w:val="center"/>
              <w:rPr>
                <w:rFonts w:ascii="Calibri" w:hAnsi="Calibri" w:cs="Calibri"/>
                <w:color w:val="000000"/>
              </w:rPr>
            </w:pPr>
            <w:proofErr w:type="gramStart"/>
            <w:r w:rsidRPr="004650EE">
              <w:rPr>
                <w:rFonts w:ascii="Calibri" w:hAnsi="Calibri" w:cs="Calibri"/>
                <w:color w:val="000000"/>
              </w:rPr>
              <w:t>ln(</w:t>
            </w:r>
            <w:proofErr w:type="gramEnd"/>
            <w:r w:rsidRPr="004650EE">
              <w:rPr>
                <w:rFonts w:ascii="Calibri" w:hAnsi="Calibri" w:cs="Calibri"/>
                <w:color w:val="000000"/>
              </w:rPr>
              <w:t>Wage)</w:t>
            </w:r>
          </w:p>
        </w:tc>
        <w:tc>
          <w:tcPr>
            <w:tcW w:w="0" w:type="auto"/>
            <w:tcBorders>
              <w:top w:val="nil"/>
              <w:left w:val="nil"/>
              <w:bottom w:val="single" w:sz="4" w:space="0" w:color="auto"/>
              <w:right w:val="nil"/>
            </w:tcBorders>
            <w:shd w:val="clear" w:color="auto" w:fill="auto"/>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Labor Force Participation</w:t>
            </w:r>
          </w:p>
        </w:tc>
        <w:tc>
          <w:tcPr>
            <w:tcW w:w="0" w:type="auto"/>
            <w:tcBorders>
              <w:top w:val="nil"/>
              <w:left w:val="nil"/>
              <w:bottom w:val="single" w:sz="4" w:space="0" w:color="auto"/>
              <w:right w:val="nil"/>
            </w:tcBorders>
            <w:shd w:val="clear" w:color="auto" w:fill="auto"/>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Employed</w:t>
            </w:r>
          </w:p>
        </w:tc>
        <w:tc>
          <w:tcPr>
            <w:tcW w:w="0" w:type="auto"/>
            <w:tcBorders>
              <w:top w:val="nil"/>
              <w:left w:val="nil"/>
              <w:bottom w:val="single" w:sz="4" w:space="0" w:color="auto"/>
              <w:right w:val="nil"/>
            </w:tcBorders>
            <w:shd w:val="clear" w:color="auto" w:fill="auto"/>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Usual Hours Worked</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rPr>
                <w:rFonts w:ascii="Calibri" w:hAnsi="Calibri" w:cs="Calibri"/>
                <w:color w:val="000000"/>
              </w:rPr>
            </w:pPr>
            <w:r w:rsidRPr="004650EE">
              <w:rPr>
                <w:rFonts w:ascii="Calibri" w:hAnsi="Calibri" w:cs="Calibri"/>
                <w:color w:val="000000"/>
              </w:rPr>
              <w:t>Uninsured x 2011</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0.107</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0.0256</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0.00189</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0.297</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(0.0727)</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(0.0264)</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(0.0207)</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(0.6261)</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rPr>
                <w:rFonts w:ascii="Calibri" w:hAnsi="Calibri" w:cs="Calibri"/>
                <w:color w:val="000000"/>
              </w:rPr>
            </w:pPr>
            <w:r w:rsidRPr="004650EE">
              <w:rPr>
                <w:rFonts w:ascii="Calibri" w:hAnsi="Calibri" w:cs="Calibri"/>
                <w:color w:val="000000"/>
              </w:rPr>
              <w:t>Uninsured x 2012</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0.0234</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0.0446</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-0.000592</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0.671</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(0.0456)</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(0.0315)</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(0.0313)</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(0.8058)</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rPr>
                <w:rFonts w:ascii="Calibri" w:hAnsi="Calibri" w:cs="Calibri"/>
                <w:color w:val="000000"/>
              </w:rPr>
            </w:pPr>
            <w:r w:rsidRPr="004650EE">
              <w:rPr>
                <w:rFonts w:ascii="Calibri" w:hAnsi="Calibri" w:cs="Calibri"/>
                <w:color w:val="000000"/>
              </w:rPr>
              <w:t>Uninsured x 2014</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0.0752</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-0.00307</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0.0457</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0.389</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(0.0499)</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(0.0445)</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(0.0354)</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(0.9071)</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rPr>
                <w:rFonts w:ascii="Calibri" w:hAnsi="Calibri" w:cs="Calibri"/>
                <w:color w:val="000000"/>
              </w:rPr>
            </w:pPr>
            <w:r w:rsidRPr="004650EE">
              <w:rPr>
                <w:rFonts w:ascii="Calibri" w:hAnsi="Calibri" w:cs="Calibri"/>
                <w:color w:val="000000"/>
              </w:rPr>
              <w:t>Uninsured x 2015</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0.0548</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0.0484</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0.0671**</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1.552</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(0.1002)</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(0.0582)</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(0.0303)</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(1.3582)</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rPr>
                <w:rFonts w:ascii="Calibri" w:hAnsi="Calibri" w:cs="Calibri"/>
                <w:color w:val="000000"/>
              </w:rPr>
            </w:pPr>
            <w:r w:rsidRPr="004650EE">
              <w:rPr>
                <w:rFonts w:ascii="Calibri" w:hAnsi="Calibri" w:cs="Calibri"/>
                <w:color w:val="000000"/>
              </w:rPr>
              <w:t>Uninsured x 2016</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-0.0311</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0.0168</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0.0644**</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0.801</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(0.0548)</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(0.0332)</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(0.0314)</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(1.5208)</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rPr>
                <w:rFonts w:ascii="Calibri" w:hAnsi="Calibri" w:cs="Calibri"/>
                <w:color w:val="000000"/>
              </w:rPr>
            </w:pPr>
            <w:r w:rsidRPr="004650EE">
              <w:rPr>
                <w:rFonts w:ascii="Calibri" w:hAnsi="Calibri" w:cs="Calibri"/>
                <w:color w:val="000000"/>
              </w:rPr>
              <w:t>Medicaid x Uninsured x 2011</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-0.120</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0.00157</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-0.0134</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-0.275</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(0.0912)</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(0.0453)</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(0.0292)</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(1.0283)</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rPr>
                <w:rFonts w:ascii="Calibri" w:hAnsi="Calibri" w:cs="Calibri"/>
                <w:color w:val="000000"/>
              </w:rPr>
            </w:pPr>
            <w:r w:rsidRPr="004650EE">
              <w:rPr>
                <w:rFonts w:ascii="Calibri" w:hAnsi="Calibri" w:cs="Calibri"/>
                <w:color w:val="000000"/>
              </w:rPr>
              <w:t>Medicaid x Uninsured x 2012</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-0.0337</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-0.0354</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-0.00900</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-0.0666</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(0.0819)</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(0.0446)</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(0.0351)</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(0.9022)</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rPr>
                <w:rFonts w:ascii="Calibri" w:hAnsi="Calibri" w:cs="Calibri"/>
                <w:color w:val="000000"/>
              </w:rPr>
            </w:pPr>
            <w:r w:rsidRPr="004650EE">
              <w:rPr>
                <w:rFonts w:ascii="Calibri" w:hAnsi="Calibri" w:cs="Calibri"/>
                <w:color w:val="000000"/>
              </w:rPr>
              <w:t>Medicaid x Uninsured x 2014</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-0.112</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-0.0334</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-0.0211</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-0.0587</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(0.0719)</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(0.0519)</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(0.0412)</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(1.2565)</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rPr>
                <w:rFonts w:ascii="Calibri" w:hAnsi="Calibri" w:cs="Calibri"/>
                <w:color w:val="000000"/>
              </w:rPr>
            </w:pPr>
            <w:r w:rsidRPr="004650EE">
              <w:rPr>
                <w:rFonts w:ascii="Calibri" w:hAnsi="Calibri" w:cs="Calibri"/>
                <w:color w:val="000000"/>
              </w:rPr>
              <w:t>Medicaid x Uninsured x 2015</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-0.0477</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-0.0814</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-0.0306</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-1.667</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(0.1133)</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(0.0648)</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(0.0445)</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(1.4465)</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rPr>
                <w:rFonts w:ascii="Calibri" w:hAnsi="Calibri" w:cs="Calibri"/>
                <w:color w:val="000000"/>
              </w:rPr>
            </w:pPr>
            <w:r w:rsidRPr="004650EE">
              <w:rPr>
                <w:rFonts w:ascii="Calibri" w:hAnsi="Calibri" w:cs="Calibri"/>
                <w:color w:val="000000"/>
              </w:rPr>
              <w:t>Medicaid x Uninsured x 2016</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-0.127</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-0.0583</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0.0168</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-2.163</w:t>
            </w:r>
          </w:p>
        </w:tc>
      </w:tr>
      <w:tr w:rsidR="004650EE" w:rsidRPr="004650EE" w:rsidTr="004650EE">
        <w:trPr>
          <w:trHeight w:val="310"/>
        </w:trPr>
        <w:tc>
          <w:tcPr>
            <w:tcW w:w="0" w:type="auto"/>
            <w:tcBorders>
              <w:top w:val="nil"/>
              <w:left w:val="nil"/>
              <w:bottom w:val="single" w:sz="4" w:space="0" w:color="auto"/>
              <w:right w:val="nil"/>
            </w:tcBorders>
            <w:shd w:val="clear" w:color="auto" w:fill="auto"/>
            <w:noWrap/>
            <w:vAlign w:val="bottom"/>
            <w:hideMark/>
          </w:tcPr>
          <w:p w:rsidR="004650EE" w:rsidRPr="004650EE" w:rsidRDefault="004650EE" w:rsidP="004650EE">
            <w:pPr>
              <w:rPr>
                <w:rFonts w:ascii="Calibri" w:hAnsi="Calibri" w:cs="Calibri"/>
                <w:color w:val="000000"/>
              </w:rPr>
            </w:pPr>
            <w:r w:rsidRPr="004650EE">
              <w:rPr>
                <w:rFonts w:ascii="Calibri" w:hAnsi="Calibri" w:cs="Calibri"/>
                <w:color w:val="000000"/>
              </w:rPr>
              <w:t> </w:t>
            </w:r>
          </w:p>
        </w:tc>
        <w:tc>
          <w:tcPr>
            <w:tcW w:w="0" w:type="auto"/>
            <w:tcBorders>
              <w:top w:val="nil"/>
              <w:left w:val="nil"/>
              <w:bottom w:val="single" w:sz="4" w:space="0" w:color="auto"/>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(0.0866)</w:t>
            </w:r>
          </w:p>
        </w:tc>
        <w:tc>
          <w:tcPr>
            <w:tcW w:w="0" w:type="auto"/>
            <w:tcBorders>
              <w:top w:val="nil"/>
              <w:left w:val="nil"/>
              <w:bottom w:val="single" w:sz="4" w:space="0" w:color="auto"/>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(0.0482)</w:t>
            </w:r>
          </w:p>
        </w:tc>
        <w:tc>
          <w:tcPr>
            <w:tcW w:w="0" w:type="auto"/>
            <w:tcBorders>
              <w:top w:val="nil"/>
              <w:left w:val="nil"/>
              <w:bottom w:val="single" w:sz="4" w:space="0" w:color="auto"/>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(0.0471)</w:t>
            </w:r>
          </w:p>
        </w:tc>
        <w:tc>
          <w:tcPr>
            <w:tcW w:w="0" w:type="auto"/>
            <w:tcBorders>
              <w:top w:val="nil"/>
              <w:left w:val="nil"/>
              <w:bottom w:val="single" w:sz="4" w:space="0" w:color="auto"/>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(1.6559)</w:t>
            </w:r>
          </w:p>
        </w:tc>
      </w:tr>
    </w:tbl>
    <w:p w:rsidR="004650EE" w:rsidRDefault="007B2B8F" w:rsidP="00482A31">
      <w:pPr>
        <w:spacing w:line="276" w:lineRule="auto"/>
        <w:rPr>
          <w:color w:val="FF0000"/>
        </w:rPr>
      </w:pPr>
      <w:r w:rsidRPr="005A43BD">
        <w:rPr>
          <w:i/>
          <w:sz w:val="16"/>
          <w:szCs w:val="16"/>
        </w:rPr>
        <w:t xml:space="preserve">Notes: </w:t>
      </w:r>
      <w:r>
        <w:rPr>
          <w:sz w:val="16"/>
          <w:szCs w:val="16"/>
        </w:rPr>
        <w:t>Standard errors, heteroskedasticity-robust and clustered at the state level, are in parentheses. *** Denotes statistical significance at 1 percent level, ** Denotes statistical significance at 5 percent level,</w:t>
      </w:r>
      <w:r w:rsidRPr="005A43BD">
        <w:rPr>
          <w:sz w:val="16"/>
          <w:szCs w:val="16"/>
        </w:rPr>
        <w:t xml:space="preserve"> </w:t>
      </w:r>
      <w:r>
        <w:rPr>
          <w:sz w:val="16"/>
          <w:szCs w:val="16"/>
        </w:rPr>
        <w:t>* Denotes statistical significance at 10 percent level</w:t>
      </w:r>
    </w:p>
    <w:p w:rsidR="004650EE" w:rsidRDefault="004650EE">
      <w:pPr>
        <w:spacing w:after="160" w:line="259" w:lineRule="auto"/>
        <w:rPr>
          <w:color w:val="FF0000"/>
        </w:rPr>
      </w:pPr>
      <w:r>
        <w:rPr>
          <w:color w:val="FF0000"/>
        </w:rPr>
        <w:br w:type="page"/>
      </w:r>
    </w:p>
    <w:tbl>
      <w:tblPr>
        <w:tblW w:w="0" w:type="auto"/>
        <w:tblLook w:val="04A0" w:firstRow="1" w:lastRow="0" w:firstColumn="1" w:lastColumn="0" w:noHBand="0" w:noVBand="1"/>
      </w:tblPr>
      <w:tblGrid>
        <w:gridCol w:w="3042"/>
        <w:gridCol w:w="1104"/>
        <w:gridCol w:w="2230"/>
        <w:gridCol w:w="1187"/>
        <w:gridCol w:w="1797"/>
      </w:tblGrid>
      <w:tr w:rsidR="004650EE" w:rsidRPr="004650EE" w:rsidTr="004650EE">
        <w:trPr>
          <w:trHeight w:val="310"/>
        </w:trPr>
        <w:tc>
          <w:tcPr>
            <w:tcW w:w="0" w:type="auto"/>
            <w:gridSpan w:val="5"/>
            <w:tcBorders>
              <w:top w:val="nil"/>
              <w:left w:val="nil"/>
              <w:bottom w:val="single" w:sz="4" w:space="0" w:color="auto"/>
              <w:right w:val="nil"/>
            </w:tcBorders>
            <w:shd w:val="clear" w:color="auto" w:fill="auto"/>
            <w:noWrap/>
            <w:vAlign w:val="bottom"/>
            <w:hideMark/>
          </w:tcPr>
          <w:p w:rsidR="004650EE" w:rsidRPr="004650EE" w:rsidRDefault="004650EE" w:rsidP="004650EE">
            <w:pPr>
              <w:jc w:val="center"/>
              <w:rPr>
                <w:rFonts w:ascii="Calibri" w:hAnsi="Calibri" w:cs="Calibri"/>
                <w:b/>
                <w:bCs/>
                <w:color w:val="000000"/>
                <w:u w:val="single"/>
              </w:rPr>
            </w:pPr>
            <w:r w:rsidRPr="004650EE">
              <w:rPr>
                <w:rFonts w:ascii="Calibri" w:hAnsi="Calibri" w:cs="Calibri"/>
                <w:b/>
                <w:bCs/>
                <w:color w:val="000000"/>
                <w:u w:val="single"/>
              </w:rPr>
              <w:lastRenderedPageBreak/>
              <w:t>Table A4: No College DiDiD Event Study</w:t>
            </w:r>
          </w:p>
        </w:tc>
      </w:tr>
      <w:tr w:rsidR="004650EE" w:rsidRPr="004650EE" w:rsidTr="004650EE">
        <w:trPr>
          <w:trHeight w:val="59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b/>
                <w:bCs/>
                <w:color w:val="000000"/>
                <w:u w:val="single"/>
              </w:rPr>
            </w:pPr>
          </w:p>
        </w:tc>
        <w:tc>
          <w:tcPr>
            <w:tcW w:w="0" w:type="auto"/>
            <w:tcBorders>
              <w:top w:val="nil"/>
              <w:left w:val="nil"/>
              <w:bottom w:val="single" w:sz="4" w:space="0" w:color="auto"/>
              <w:right w:val="nil"/>
            </w:tcBorders>
            <w:shd w:val="clear" w:color="auto" w:fill="auto"/>
            <w:vAlign w:val="bottom"/>
            <w:hideMark/>
          </w:tcPr>
          <w:p w:rsidR="004650EE" w:rsidRPr="004650EE" w:rsidRDefault="004650EE" w:rsidP="004650EE">
            <w:pPr>
              <w:jc w:val="center"/>
              <w:rPr>
                <w:rFonts w:ascii="Calibri" w:hAnsi="Calibri" w:cs="Calibri"/>
                <w:color w:val="000000"/>
              </w:rPr>
            </w:pPr>
            <w:proofErr w:type="gramStart"/>
            <w:r w:rsidRPr="004650EE">
              <w:rPr>
                <w:rFonts w:ascii="Calibri" w:hAnsi="Calibri" w:cs="Calibri"/>
                <w:color w:val="000000"/>
              </w:rPr>
              <w:t>ln(</w:t>
            </w:r>
            <w:proofErr w:type="gramEnd"/>
            <w:r w:rsidRPr="004650EE">
              <w:rPr>
                <w:rFonts w:ascii="Calibri" w:hAnsi="Calibri" w:cs="Calibri"/>
                <w:color w:val="000000"/>
              </w:rPr>
              <w:t>Wage)</w:t>
            </w:r>
          </w:p>
        </w:tc>
        <w:tc>
          <w:tcPr>
            <w:tcW w:w="0" w:type="auto"/>
            <w:tcBorders>
              <w:top w:val="nil"/>
              <w:left w:val="nil"/>
              <w:bottom w:val="single" w:sz="4" w:space="0" w:color="auto"/>
              <w:right w:val="nil"/>
            </w:tcBorders>
            <w:shd w:val="clear" w:color="auto" w:fill="auto"/>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Labor Force Participation</w:t>
            </w:r>
          </w:p>
        </w:tc>
        <w:tc>
          <w:tcPr>
            <w:tcW w:w="0" w:type="auto"/>
            <w:tcBorders>
              <w:top w:val="nil"/>
              <w:left w:val="nil"/>
              <w:bottom w:val="single" w:sz="4" w:space="0" w:color="auto"/>
              <w:right w:val="nil"/>
            </w:tcBorders>
            <w:shd w:val="clear" w:color="auto" w:fill="auto"/>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Employed</w:t>
            </w:r>
          </w:p>
        </w:tc>
        <w:tc>
          <w:tcPr>
            <w:tcW w:w="0" w:type="auto"/>
            <w:tcBorders>
              <w:top w:val="nil"/>
              <w:left w:val="nil"/>
              <w:bottom w:val="single" w:sz="4" w:space="0" w:color="auto"/>
              <w:right w:val="nil"/>
            </w:tcBorders>
            <w:shd w:val="clear" w:color="auto" w:fill="auto"/>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Usual Hours Worked</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rPr>
                <w:rFonts w:ascii="Calibri" w:hAnsi="Calibri" w:cs="Calibri"/>
                <w:color w:val="000000"/>
              </w:rPr>
            </w:pPr>
            <w:r w:rsidRPr="004650EE">
              <w:rPr>
                <w:rFonts w:ascii="Calibri" w:hAnsi="Calibri" w:cs="Calibri"/>
                <w:color w:val="000000"/>
              </w:rPr>
              <w:t>Uninsured x 2011</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0.0375</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-0.00381</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0.00123</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-0.178</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(0.0739)</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(0.0344)</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(0.0322)</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(1.3869)</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rPr>
                <w:rFonts w:ascii="Calibri" w:hAnsi="Calibri" w:cs="Calibri"/>
                <w:color w:val="000000"/>
              </w:rPr>
            </w:pPr>
            <w:r w:rsidRPr="004650EE">
              <w:rPr>
                <w:rFonts w:ascii="Calibri" w:hAnsi="Calibri" w:cs="Calibri"/>
                <w:color w:val="000000"/>
              </w:rPr>
              <w:t>Uninsured x 2012</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-0.0468</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-0.0268</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0.0279</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-0.195</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(0.0790)</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(0.0212)</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(0.0409)</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(0.8606)</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rPr>
                <w:rFonts w:ascii="Calibri" w:hAnsi="Calibri" w:cs="Calibri"/>
                <w:color w:val="000000"/>
              </w:rPr>
            </w:pPr>
            <w:r w:rsidRPr="004650EE">
              <w:rPr>
                <w:rFonts w:ascii="Calibri" w:hAnsi="Calibri" w:cs="Calibri"/>
                <w:color w:val="000000"/>
              </w:rPr>
              <w:t>Uninsured x 2014</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0.0525</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-0.0580</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0.0505**</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-0.562</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(0.0450)</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(0.0425)</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(0.0193)</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(1.1194)</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rPr>
                <w:rFonts w:ascii="Calibri" w:hAnsi="Calibri" w:cs="Calibri"/>
                <w:color w:val="000000"/>
              </w:rPr>
            </w:pPr>
            <w:r w:rsidRPr="004650EE">
              <w:rPr>
                <w:rFonts w:ascii="Calibri" w:hAnsi="Calibri" w:cs="Calibri"/>
                <w:color w:val="000000"/>
              </w:rPr>
              <w:t>Uninsured x 2015</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0.0115</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-0.00767</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0.0860**</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-0.304</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(0.0819)</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(0.0368)</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(0.0376)</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(1.3489)</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rPr>
                <w:rFonts w:ascii="Calibri" w:hAnsi="Calibri" w:cs="Calibri"/>
                <w:color w:val="000000"/>
              </w:rPr>
            </w:pPr>
            <w:r w:rsidRPr="004650EE">
              <w:rPr>
                <w:rFonts w:ascii="Calibri" w:hAnsi="Calibri" w:cs="Calibri"/>
                <w:color w:val="000000"/>
              </w:rPr>
              <w:t>Uninsured x 2016</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0.0518</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-0.00595</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0.0709**</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0.826</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(0.0411)</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(0.0422)</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(0.0311)</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(1.1817)</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rPr>
                <w:rFonts w:ascii="Calibri" w:hAnsi="Calibri" w:cs="Calibri"/>
                <w:color w:val="000000"/>
              </w:rPr>
            </w:pPr>
            <w:r w:rsidRPr="004650EE">
              <w:rPr>
                <w:rFonts w:ascii="Calibri" w:hAnsi="Calibri" w:cs="Calibri"/>
                <w:color w:val="000000"/>
              </w:rPr>
              <w:t>Medicaid x Uninsured x 2011</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-0.0191</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0.00562</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-0.00218</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-0.478</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(0.0914)</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(0.0565)</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(0.0392)</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(1.5201)</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rPr>
                <w:rFonts w:ascii="Calibri" w:hAnsi="Calibri" w:cs="Calibri"/>
                <w:color w:val="000000"/>
              </w:rPr>
            </w:pPr>
            <w:r w:rsidRPr="004650EE">
              <w:rPr>
                <w:rFonts w:ascii="Calibri" w:hAnsi="Calibri" w:cs="Calibri"/>
                <w:color w:val="000000"/>
              </w:rPr>
              <w:t>Medicaid x Uninsured x 2012</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0.0784</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0.0188</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-0.0523</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0.387</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(0.1052)</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(0.0410)</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(0.0474)</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(1.0820)</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rPr>
                <w:rFonts w:ascii="Calibri" w:hAnsi="Calibri" w:cs="Calibri"/>
                <w:color w:val="000000"/>
              </w:rPr>
            </w:pPr>
            <w:r w:rsidRPr="004650EE">
              <w:rPr>
                <w:rFonts w:ascii="Calibri" w:hAnsi="Calibri" w:cs="Calibri"/>
                <w:color w:val="000000"/>
              </w:rPr>
              <w:t>Medicaid x Uninsured x 2014</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0.0439</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0.0438</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-0.0436</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1.311</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(0.0958)</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(0.0510)</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(0.0265)</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(1.3365)</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rPr>
                <w:rFonts w:ascii="Calibri" w:hAnsi="Calibri" w:cs="Calibri"/>
                <w:color w:val="000000"/>
              </w:rPr>
            </w:pPr>
            <w:r w:rsidRPr="004650EE">
              <w:rPr>
                <w:rFonts w:ascii="Calibri" w:hAnsi="Calibri" w:cs="Calibri"/>
                <w:color w:val="000000"/>
              </w:rPr>
              <w:t>Medicaid x Uninsured x 2015</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0.132</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-0.0115</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-0.0716</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0.325</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(0.0966)</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(0.0545)</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(0.0445)</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(1.3831)</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rPr>
                <w:rFonts w:ascii="Calibri" w:hAnsi="Calibri" w:cs="Calibri"/>
                <w:color w:val="000000"/>
              </w:rPr>
            </w:pPr>
            <w:r w:rsidRPr="004650EE">
              <w:rPr>
                <w:rFonts w:ascii="Calibri" w:hAnsi="Calibri" w:cs="Calibri"/>
                <w:color w:val="000000"/>
              </w:rPr>
              <w:t>Medicaid x Uninsured x 2016</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0.00128</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-0.0446</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-0.0103</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-1.689</w:t>
            </w:r>
          </w:p>
        </w:tc>
      </w:tr>
      <w:tr w:rsidR="004650EE" w:rsidRPr="004650EE" w:rsidTr="004650EE">
        <w:trPr>
          <w:trHeight w:val="310"/>
        </w:trPr>
        <w:tc>
          <w:tcPr>
            <w:tcW w:w="0" w:type="auto"/>
            <w:tcBorders>
              <w:top w:val="nil"/>
              <w:left w:val="nil"/>
              <w:bottom w:val="single" w:sz="4" w:space="0" w:color="auto"/>
              <w:right w:val="nil"/>
            </w:tcBorders>
            <w:shd w:val="clear" w:color="auto" w:fill="auto"/>
            <w:noWrap/>
            <w:vAlign w:val="bottom"/>
            <w:hideMark/>
          </w:tcPr>
          <w:p w:rsidR="004650EE" w:rsidRPr="004650EE" w:rsidRDefault="004650EE" w:rsidP="004650EE">
            <w:pPr>
              <w:rPr>
                <w:rFonts w:ascii="Calibri" w:hAnsi="Calibri" w:cs="Calibri"/>
                <w:color w:val="000000"/>
              </w:rPr>
            </w:pPr>
            <w:r w:rsidRPr="004650EE">
              <w:rPr>
                <w:rFonts w:ascii="Calibri" w:hAnsi="Calibri" w:cs="Calibri"/>
                <w:color w:val="000000"/>
              </w:rPr>
              <w:t> </w:t>
            </w:r>
          </w:p>
        </w:tc>
        <w:tc>
          <w:tcPr>
            <w:tcW w:w="0" w:type="auto"/>
            <w:tcBorders>
              <w:top w:val="nil"/>
              <w:left w:val="nil"/>
              <w:bottom w:val="single" w:sz="4" w:space="0" w:color="auto"/>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(0.0939)</w:t>
            </w:r>
          </w:p>
        </w:tc>
        <w:tc>
          <w:tcPr>
            <w:tcW w:w="0" w:type="auto"/>
            <w:tcBorders>
              <w:top w:val="nil"/>
              <w:left w:val="nil"/>
              <w:bottom w:val="single" w:sz="4" w:space="0" w:color="auto"/>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(0.0619)</w:t>
            </w:r>
          </w:p>
        </w:tc>
        <w:tc>
          <w:tcPr>
            <w:tcW w:w="0" w:type="auto"/>
            <w:tcBorders>
              <w:top w:val="nil"/>
              <w:left w:val="nil"/>
              <w:bottom w:val="single" w:sz="4" w:space="0" w:color="auto"/>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(0.0501)</w:t>
            </w:r>
          </w:p>
        </w:tc>
        <w:tc>
          <w:tcPr>
            <w:tcW w:w="0" w:type="auto"/>
            <w:tcBorders>
              <w:top w:val="nil"/>
              <w:left w:val="nil"/>
              <w:bottom w:val="single" w:sz="4" w:space="0" w:color="auto"/>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(1.3563)</w:t>
            </w:r>
          </w:p>
        </w:tc>
      </w:tr>
    </w:tbl>
    <w:p w:rsidR="004650EE" w:rsidRDefault="007B2B8F" w:rsidP="00482A31">
      <w:pPr>
        <w:spacing w:line="276" w:lineRule="auto"/>
        <w:rPr>
          <w:color w:val="FF0000"/>
        </w:rPr>
      </w:pPr>
      <w:r w:rsidRPr="005A43BD">
        <w:rPr>
          <w:i/>
          <w:sz w:val="16"/>
          <w:szCs w:val="16"/>
        </w:rPr>
        <w:t xml:space="preserve">Notes: </w:t>
      </w:r>
      <w:r>
        <w:rPr>
          <w:sz w:val="16"/>
          <w:szCs w:val="16"/>
        </w:rPr>
        <w:t>Standard errors, heteroskedasticity-robust and clustered at the state level, are in parentheses. *** Denotes statistical significance at 1 percent level, ** Denotes statistical significance at 5 percent level,</w:t>
      </w:r>
      <w:r w:rsidRPr="005A43BD">
        <w:rPr>
          <w:sz w:val="16"/>
          <w:szCs w:val="16"/>
        </w:rPr>
        <w:t xml:space="preserve"> </w:t>
      </w:r>
      <w:r>
        <w:rPr>
          <w:sz w:val="16"/>
          <w:szCs w:val="16"/>
        </w:rPr>
        <w:t>* Denotes statistical significance at 10 percent level</w:t>
      </w:r>
    </w:p>
    <w:p w:rsidR="004650EE" w:rsidRDefault="004650EE">
      <w:pPr>
        <w:spacing w:after="160" w:line="259" w:lineRule="auto"/>
        <w:rPr>
          <w:color w:val="FF0000"/>
        </w:rPr>
      </w:pPr>
      <w:r>
        <w:rPr>
          <w:color w:val="FF0000"/>
        </w:rPr>
        <w:br w:type="page"/>
      </w:r>
    </w:p>
    <w:tbl>
      <w:tblPr>
        <w:tblW w:w="0" w:type="auto"/>
        <w:tblLook w:val="04A0" w:firstRow="1" w:lastRow="0" w:firstColumn="1" w:lastColumn="0" w:noHBand="0" w:noVBand="1"/>
      </w:tblPr>
      <w:tblGrid>
        <w:gridCol w:w="3042"/>
        <w:gridCol w:w="1196"/>
        <w:gridCol w:w="2184"/>
        <w:gridCol w:w="1187"/>
        <w:gridCol w:w="1751"/>
      </w:tblGrid>
      <w:tr w:rsidR="004650EE" w:rsidRPr="004650EE" w:rsidTr="004650EE">
        <w:trPr>
          <w:trHeight w:val="310"/>
        </w:trPr>
        <w:tc>
          <w:tcPr>
            <w:tcW w:w="0" w:type="auto"/>
            <w:gridSpan w:val="5"/>
            <w:tcBorders>
              <w:top w:val="nil"/>
              <w:left w:val="nil"/>
              <w:bottom w:val="single" w:sz="4" w:space="0" w:color="auto"/>
              <w:right w:val="nil"/>
            </w:tcBorders>
            <w:shd w:val="clear" w:color="auto" w:fill="auto"/>
            <w:noWrap/>
            <w:vAlign w:val="bottom"/>
            <w:hideMark/>
          </w:tcPr>
          <w:p w:rsidR="004650EE" w:rsidRPr="004650EE" w:rsidRDefault="004650EE" w:rsidP="004650EE">
            <w:pPr>
              <w:jc w:val="center"/>
              <w:rPr>
                <w:rFonts w:ascii="Calibri" w:hAnsi="Calibri" w:cs="Calibri"/>
                <w:b/>
                <w:bCs/>
                <w:color w:val="000000"/>
                <w:u w:val="single"/>
              </w:rPr>
            </w:pPr>
            <w:r w:rsidRPr="004650EE">
              <w:rPr>
                <w:rFonts w:ascii="Calibri" w:hAnsi="Calibri" w:cs="Calibri"/>
                <w:b/>
                <w:bCs/>
                <w:color w:val="000000"/>
                <w:u w:val="single"/>
              </w:rPr>
              <w:lastRenderedPageBreak/>
              <w:t>Table A5: College DiDiD Event Study</w:t>
            </w:r>
          </w:p>
        </w:tc>
      </w:tr>
      <w:tr w:rsidR="004650EE" w:rsidRPr="004650EE" w:rsidTr="004650EE">
        <w:trPr>
          <w:trHeight w:val="59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b/>
                <w:bCs/>
                <w:color w:val="000000"/>
                <w:u w:val="single"/>
              </w:rPr>
            </w:pPr>
          </w:p>
        </w:tc>
        <w:tc>
          <w:tcPr>
            <w:tcW w:w="0" w:type="auto"/>
            <w:tcBorders>
              <w:top w:val="nil"/>
              <w:left w:val="nil"/>
              <w:bottom w:val="single" w:sz="4" w:space="0" w:color="auto"/>
              <w:right w:val="nil"/>
            </w:tcBorders>
            <w:shd w:val="clear" w:color="auto" w:fill="auto"/>
            <w:vAlign w:val="bottom"/>
            <w:hideMark/>
          </w:tcPr>
          <w:p w:rsidR="004650EE" w:rsidRPr="004650EE" w:rsidRDefault="004650EE" w:rsidP="004650EE">
            <w:pPr>
              <w:jc w:val="center"/>
              <w:rPr>
                <w:rFonts w:ascii="Calibri" w:hAnsi="Calibri" w:cs="Calibri"/>
                <w:color w:val="000000"/>
              </w:rPr>
            </w:pPr>
            <w:proofErr w:type="gramStart"/>
            <w:r w:rsidRPr="004650EE">
              <w:rPr>
                <w:rFonts w:ascii="Calibri" w:hAnsi="Calibri" w:cs="Calibri"/>
                <w:color w:val="000000"/>
              </w:rPr>
              <w:t>ln(</w:t>
            </w:r>
            <w:proofErr w:type="gramEnd"/>
            <w:r w:rsidRPr="004650EE">
              <w:rPr>
                <w:rFonts w:ascii="Calibri" w:hAnsi="Calibri" w:cs="Calibri"/>
                <w:color w:val="000000"/>
              </w:rPr>
              <w:t>Wage)</w:t>
            </w:r>
          </w:p>
        </w:tc>
        <w:tc>
          <w:tcPr>
            <w:tcW w:w="0" w:type="auto"/>
            <w:tcBorders>
              <w:top w:val="nil"/>
              <w:left w:val="nil"/>
              <w:bottom w:val="single" w:sz="4" w:space="0" w:color="auto"/>
              <w:right w:val="nil"/>
            </w:tcBorders>
            <w:shd w:val="clear" w:color="auto" w:fill="auto"/>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Labor Force Participation</w:t>
            </w:r>
          </w:p>
        </w:tc>
        <w:tc>
          <w:tcPr>
            <w:tcW w:w="0" w:type="auto"/>
            <w:tcBorders>
              <w:top w:val="nil"/>
              <w:left w:val="nil"/>
              <w:bottom w:val="single" w:sz="4" w:space="0" w:color="auto"/>
              <w:right w:val="nil"/>
            </w:tcBorders>
            <w:shd w:val="clear" w:color="auto" w:fill="auto"/>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Employed</w:t>
            </w:r>
          </w:p>
        </w:tc>
        <w:tc>
          <w:tcPr>
            <w:tcW w:w="0" w:type="auto"/>
            <w:tcBorders>
              <w:top w:val="nil"/>
              <w:left w:val="nil"/>
              <w:bottom w:val="single" w:sz="4" w:space="0" w:color="auto"/>
              <w:right w:val="nil"/>
            </w:tcBorders>
            <w:shd w:val="clear" w:color="auto" w:fill="auto"/>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Usual Hours Worked</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rPr>
                <w:rFonts w:ascii="Calibri" w:hAnsi="Calibri" w:cs="Calibri"/>
                <w:color w:val="000000"/>
              </w:rPr>
            </w:pPr>
            <w:r w:rsidRPr="004650EE">
              <w:rPr>
                <w:rFonts w:ascii="Calibri" w:hAnsi="Calibri" w:cs="Calibri"/>
                <w:color w:val="000000"/>
              </w:rPr>
              <w:t>Uninsured x 2011</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0.125**</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0.0405</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0.00246</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-0.0700</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(0.0531)</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(0.0265)</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(0.0119)</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(0.8937)</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rPr>
                <w:rFonts w:ascii="Calibri" w:hAnsi="Calibri" w:cs="Calibri"/>
                <w:color w:val="000000"/>
              </w:rPr>
            </w:pPr>
            <w:r w:rsidRPr="004650EE">
              <w:rPr>
                <w:rFonts w:ascii="Calibri" w:hAnsi="Calibri" w:cs="Calibri"/>
                <w:color w:val="000000"/>
              </w:rPr>
              <w:t>Uninsured x 2012</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0.0763*</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0.0469</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-0.00146</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-1.051</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(0.0425)</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(0.0331)</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(0.0121)</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(0.6851)</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rPr>
                <w:rFonts w:ascii="Calibri" w:hAnsi="Calibri" w:cs="Calibri"/>
                <w:color w:val="000000"/>
              </w:rPr>
            </w:pPr>
            <w:r w:rsidRPr="004650EE">
              <w:rPr>
                <w:rFonts w:ascii="Calibri" w:hAnsi="Calibri" w:cs="Calibri"/>
                <w:color w:val="000000"/>
              </w:rPr>
              <w:t>Uninsured x 2014</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0.0402</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0.0484</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0.0420*</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0.249</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(0.0625)</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(0.0312)</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(0.0240)</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(1.1398)</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rPr>
                <w:rFonts w:ascii="Calibri" w:hAnsi="Calibri" w:cs="Calibri"/>
                <w:color w:val="000000"/>
              </w:rPr>
            </w:pPr>
            <w:r w:rsidRPr="004650EE">
              <w:rPr>
                <w:rFonts w:ascii="Calibri" w:hAnsi="Calibri" w:cs="Calibri"/>
                <w:color w:val="000000"/>
              </w:rPr>
              <w:t>Uninsured x 2015</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0.0799</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0.0401</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0.0394</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2.037**</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(0.0570)</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(0.0558)</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(0.0244)</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(0.7811)</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rPr>
                <w:rFonts w:ascii="Calibri" w:hAnsi="Calibri" w:cs="Calibri"/>
                <w:color w:val="000000"/>
              </w:rPr>
            </w:pPr>
            <w:r w:rsidRPr="004650EE">
              <w:rPr>
                <w:rFonts w:ascii="Calibri" w:hAnsi="Calibri" w:cs="Calibri"/>
                <w:color w:val="000000"/>
              </w:rPr>
              <w:t>Uninsured x 2016</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-0.0560</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-0.0253</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0.0462*</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0.303</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(0.0409)</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(0.0294)</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(0.0267)</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(1.2925)</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rPr>
                <w:rFonts w:ascii="Calibri" w:hAnsi="Calibri" w:cs="Calibri"/>
                <w:color w:val="000000"/>
              </w:rPr>
            </w:pPr>
            <w:r w:rsidRPr="004650EE">
              <w:rPr>
                <w:rFonts w:ascii="Calibri" w:hAnsi="Calibri" w:cs="Calibri"/>
                <w:color w:val="000000"/>
              </w:rPr>
              <w:t>Medicaid x Uninsured x 2011</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-0.116*</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-0.0396</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-0.00127</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1.188</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(0.0636)</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(0.0313)</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(0.0188)</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(1.0281)</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rPr>
                <w:rFonts w:ascii="Calibri" w:hAnsi="Calibri" w:cs="Calibri"/>
                <w:color w:val="000000"/>
              </w:rPr>
            </w:pPr>
            <w:r w:rsidRPr="004650EE">
              <w:rPr>
                <w:rFonts w:ascii="Calibri" w:hAnsi="Calibri" w:cs="Calibri"/>
                <w:color w:val="000000"/>
              </w:rPr>
              <w:t>Medicaid x Uninsured x 2012</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-0.102*</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-0.0444</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0.00190</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1.439*</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(0.0581)</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(0.0377)</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(0.0205)</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(0.7807)</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rPr>
                <w:rFonts w:ascii="Calibri" w:hAnsi="Calibri" w:cs="Calibri"/>
                <w:color w:val="000000"/>
              </w:rPr>
            </w:pPr>
            <w:r w:rsidRPr="004650EE">
              <w:rPr>
                <w:rFonts w:ascii="Calibri" w:hAnsi="Calibri" w:cs="Calibri"/>
                <w:color w:val="000000"/>
              </w:rPr>
              <w:t>Medicaid x Uninsured x 2014</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-0.138**</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-0.0680**</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-0.00479</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1.082</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(0.0657)</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(0.0330)</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(0.0261)</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(1.2179)</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rPr>
                <w:rFonts w:ascii="Calibri" w:hAnsi="Calibri" w:cs="Calibri"/>
                <w:color w:val="000000"/>
              </w:rPr>
            </w:pPr>
            <w:r w:rsidRPr="004650EE">
              <w:rPr>
                <w:rFonts w:ascii="Calibri" w:hAnsi="Calibri" w:cs="Calibri"/>
                <w:color w:val="000000"/>
              </w:rPr>
              <w:t>Medicaid x Uninsured x 2015</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-0.188***</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-0.0631</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0.0246</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-1.133</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(0.0654)</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(0.0577)</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(0.0261)</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(0.9053)</w:t>
            </w: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sz w:val="20"/>
                <w:szCs w:val="20"/>
              </w:rPr>
            </w:pPr>
          </w:p>
        </w:tc>
      </w:tr>
      <w:tr w:rsidR="004650EE" w:rsidRPr="004650EE" w:rsidTr="004650EE">
        <w:trPr>
          <w:trHeight w:val="310"/>
        </w:trPr>
        <w:tc>
          <w:tcPr>
            <w:tcW w:w="0" w:type="auto"/>
            <w:tcBorders>
              <w:top w:val="nil"/>
              <w:left w:val="nil"/>
              <w:bottom w:val="nil"/>
              <w:right w:val="nil"/>
            </w:tcBorders>
            <w:shd w:val="clear" w:color="auto" w:fill="auto"/>
            <w:noWrap/>
            <w:vAlign w:val="bottom"/>
            <w:hideMark/>
          </w:tcPr>
          <w:p w:rsidR="004650EE" w:rsidRPr="004650EE" w:rsidRDefault="004650EE" w:rsidP="004650EE">
            <w:pPr>
              <w:rPr>
                <w:rFonts w:ascii="Calibri" w:hAnsi="Calibri" w:cs="Calibri"/>
                <w:color w:val="000000"/>
              </w:rPr>
            </w:pPr>
            <w:r w:rsidRPr="004650EE">
              <w:rPr>
                <w:rFonts w:ascii="Calibri" w:hAnsi="Calibri" w:cs="Calibri"/>
                <w:color w:val="000000"/>
              </w:rPr>
              <w:t>Medicaid x Uninsured x 2016</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-0.118**</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0.0193</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0.0242</w:t>
            </w:r>
          </w:p>
        </w:tc>
        <w:tc>
          <w:tcPr>
            <w:tcW w:w="0" w:type="auto"/>
            <w:tcBorders>
              <w:top w:val="nil"/>
              <w:left w:val="nil"/>
              <w:bottom w:val="nil"/>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0.103</w:t>
            </w:r>
          </w:p>
        </w:tc>
      </w:tr>
      <w:tr w:rsidR="004650EE" w:rsidRPr="004650EE" w:rsidTr="004650EE">
        <w:trPr>
          <w:trHeight w:val="310"/>
        </w:trPr>
        <w:tc>
          <w:tcPr>
            <w:tcW w:w="0" w:type="auto"/>
            <w:tcBorders>
              <w:top w:val="nil"/>
              <w:left w:val="nil"/>
              <w:bottom w:val="single" w:sz="4" w:space="0" w:color="auto"/>
              <w:right w:val="nil"/>
            </w:tcBorders>
            <w:shd w:val="clear" w:color="auto" w:fill="auto"/>
            <w:noWrap/>
            <w:vAlign w:val="bottom"/>
            <w:hideMark/>
          </w:tcPr>
          <w:p w:rsidR="004650EE" w:rsidRPr="004650EE" w:rsidRDefault="004650EE" w:rsidP="004650EE">
            <w:pPr>
              <w:rPr>
                <w:rFonts w:ascii="Calibri" w:hAnsi="Calibri" w:cs="Calibri"/>
                <w:color w:val="000000"/>
              </w:rPr>
            </w:pPr>
            <w:r w:rsidRPr="004650EE">
              <w:rPr>
                <w:rFonts w:ascii="Calibri" w:hAnsi="Calibri" w:cs="Calibri"/>
                <w:color w:val="000000"/>
              </w:rPr>
              <w:t> </w:t>
            </w:r>
          </w:p>
        </w:tc>
        <w:tc>
          <w:tcPr>
            <w:tcW w:w="0" w:type="auto"/>
            <w:tcBorders>
              <w:top w:val="nil"/>
              <w:left w:val="nil"/>
              <w:bottom w:val="single" w:sz="4" w:space="0" w:color="auto"/>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(0.0488)</w:t>
            </w:r>
          </w:p>
        </w:tc>
        <w:tc>
          <w:tcPr>
            <w:tcW w:w="0" w:type="auto"/>
            <w:tcBorders>
              <w:top w:val="nil"/>
              <w:left w:val="nil"/>
              <w:bottom w:val="single" w:sz="4" w:space="0" w:color="auto"/>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(0.0358)</w:t>
            </w:r>
          </w:p>
        </w:tc>
        <w:tc>
          <w:tcPr>
            <w:tcW w:w="0" w:type="auto"/>
            <w:tcBorders>
              <w:top w:val="nil"/>
              <w:left w:val="nil"/>
              <w:bottom w:val="single" w:sz="4" w:space="0" w:color="auto"/>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(0.0288)</w:t>
            </w:r>
          </w:p>
        </w:tc>
        <w:tc>
          <w:tcPr>
            <w:tcW w:w="0" w:type="auto"/>
            <w:tcBorders>
              <w:top w:val="nil"/>
              <w:left w:val="nil"/>
              <w:bottom w:val="single" w:sz="4" w:space="0" w:color="auto"/>
              <w:right w:val="nil"/>
            </w:tcBorders>
            <w:shd w:val="clear" w:color="auto" w:fill="auto"/>
            <w:noWrap/>
            <w:vAlign w:val="bottom"/>
            <w:hideMark/>
          </w:tcPr>
          <w:p w:rsidR="004650EE" w:rsidRPr="004650EE" w:rsidRDefault="004650EE" w:rsidP="004650EE">
            <w:pPr>
              <w:jc w:val="center"/>
              <w:rPr>
                <w:rFonts w:ascii="Calibri" w:hAnsi="Calibri" w:cs="Calibri"/>
                <w:color w:val="000000"/>
              </w:rPr>
            </w:pPr>
            <w:r w:rsidRPr="004650EE">
              <w:rPr>
                <w:rFonts w:ascii="Calibri" w:hAnsi="Calibri" w:cs="Calibri"/>
                <w:color w:val="000000"/>
              </w:rPr>
              <w:t>(1.4535)</w:t>
            </w:r>
          </w:p>
        </w:tc>
      </w:tr>
    </w:tbl>
    <w:p w:rsidR="004650EE" w:rsidRDefault="007B2B8F" w:rsidP="00482A31">
      <w:pPr>
        <w:spacing w:line="276" w:lineRule="auto"/>
        <w:rPr>
          <w:color w:val="FF0000"/>
        </w:rPr>
      </w:pPr>
      <w:r w:rsidRPr="005A43BD">
        <w:rPr>
          <w:i/>
          <w:sz w:val="16"/>
          <w:szCs w:val="16"/>
        </w:rPr>
        <w:t xml:space="preserve">Notes: </w:t>
      </w:r>
      <w:r>
        <w:rPr>
          <w:sz w:val="16"/>
          <w:szCs w:val="16"/>
        </w:rPr>
        <w:t>Standard errors, heteroskedasticity-robust and clustered at the state level, are in parentheses. *** Denotes statistical significance at 1 percent level, ** Denotes statistical significance at 5 percent level,</w:t>
      </w:r>
      <w:r w:rsidRPr="005A43BD">
        <w:rPr>
          <w:sz w:val="16"/>
          <w:szCs w:val="16"/>
        </w:rPr>
        <w:t xml:space="preserve"> </w:t>
      </w:r>
      <w:r>
        <w:rPr>
          <w:sz w:val="16"/>
          <w:szCs w:val="16"/>
        </w:rPr>
        <w:t>* Denotes statistical significance at 10 percent level</w:t>
      </w:r>
    </w:p>
    <w:p w:rsidR="004650EE" w:rsidRDefault="004650EE">
      <w:pPr>
        <w:spacing w:after="160" w:line="259" w:lineRule="auto"/>
        <w:rPr>
          <w:color w:val="FF0000"/>
        </w:rPr>
      </w:pPr>
      <w:r>
        <w:rPr>
          <w:color w:val="FF0000"/>
        </w:rPr>
        <w:br w:type="page"/>
      </w:r>
    </w:p>
    <w:tbl>
      <w:tblPr>
        <w:tblW w:w="0" w:type="auto"/>
        <w:tblLook w:val="04A0" w:firstRow="1" w:lastRow="0" w:firstColumn="1" w:lastColumn="0" w:noHBand="0" w:noVBand="1"/>
      </w:tblPr>
      <w:tblGrid>
        <w:gridCol w:w="3042"/>
        <w:gridCol w:w="1104"/>
        <w:gridCol w:w="2230"/>
        <w:gridCol w:w="1187"/>
        <w:gridCol w:w="1797"/>
      </w:tblGrid>
      <w:tr w:rsidR="005D7130" w:rsidRPr="005D7130" w:rsidTr="005D7130">
        <w:trPr>
          <w:trHeight w:val="310"/>
        </w:trPr>
        <w:tc>
          <w:tcPr>
            <w:tcW w:w="0" w:type="auto"/>
            <w:gridSpan w:val="5"/>
            <w:tcBorders>
              <w:top w:val="nil"/>
              <w:left w:val="nil"/>
              <w:bottom w:val="single" w:sz="4" w:space="0" w:color="auto"/>
              <w:right w:val="nil"/>
            </w:tcBorders>
            <w:shd w:val="clear" w:color="auto" w:fill="auto"/>
            <w:noWrap/>
            <w:vAlign w:val="bottom"/>
            <w:hideMark/>
          </w:tcPr>
          <w:p w:rsidR="005D7130" w:rsidRPr="005D7130" w:rsidRDefault="005D7130" w:rsidP="005D7130">
            <w:pPr>
              <w:jc w:val="center"/>
              <w:rPr>
                <w:rFonts w:ascii="Calibri" w:hAnsi="Calibri" w:cs="Calibri"/>
                <w:b/>
                <w:bCs/>
                <w:color w:val="000000"/>
                <w:u w:val="single"/>
              </w:rPr>
            </w:pPr>
            <w:r w:rsidRPr="005D7130">
              <w:rPr>
                <w:rFonts w:ascii="Calibri" w:hAnsi="Calibri" w:cs="Calibri"/>
                <w:b/>
                <w:bCs/>
                <w:color w:val="000000"/>
                <w:u w:val="single"/>
              </w:rPr>
              <w:lastRenderedPageBreak/>
              <w:t>Table A6: Ages 25-45 DiDiD Event Study</w:t>
            </w:r>
          </w:p>
        </w:tc>
      </w:tr>
      <w:tr w:rsidR="005D7130" w:rsidRPr="005D7130" w:rsidTr="005D7130">
        <w:trPr>
          <w:trHeight w:val="620"/>
        </w:trPr>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b/>
                <w:bCs/>
                <w:color w:val="000000"/>
                <w:u w:val="single"/>
              </w:rPr>
            </w:pPr>
          </w:p>
        </w:tc>
        <w:tc>
          <w:tcPr>
            <w:tcW w:w="0" w:type="auto"/>
            <w:tcBorders>
              <w:top w:val="nil"/>
              <w:left w:val="nil"/>
              <w:bottom w:val="single" w:sz="4" w:space="0" w:color="auto"/>
              <w:right w:val="nil"/>
            </w:tcBorders>
            <w:shd w:val="clear" w:color="auto" w:fill="auto"/>
            <w:vAlign w:val="bottom"/>
            <w:hideMark/>
          </w:tcPr>
          <w:p w:rsidR="005D7130" w:rsidRPr="005D7130" w:rsidRDefault="005D7130" w:rsidP="005D7130">
            <w:pPr>
              <w:jc w:val="center"/>
              <w:rPr>
                <w:rFonts w:ascii="Calibri" w:hAnsi="Calibri" w:cs="Calibri"/>
                <w:color w:val="000000"/>
              </w:rPr>
            </w:pPr>
            <w:proofErr w:type="gramStart"/>
            <w:r w:rsidRPr="005D7130">
              <w:rPr>
                <w:rFonts w:ascii="Calibri" w:hAnsi="Calibri" w:cs="Calibri"/>
                <w:color w:val="000000"/>
              </w:rPr>
              <w:t>ln(</w:t>
            </w:r>
            <w:proofErr w:type="gramEnd"/>
            <w:r w:rsidRPr="005D7130">
              <w:rPr>
                <w:rFonts w:ascii="Calibri" w:hAnsi="Calibri" w:cs="Calibri"/>
                <w:color w:val="000000"/>
              </w:rPr>
              <w:t>Wage)</w:t>
            </w:r>
          </w:p>
        </w:tc>
        <w:tc>
          <w:tcPr>
            <w:tcW w:w="0" w:type="auto"/>
            <w:tcBorders>
              <w:top w:val="nil"/>
              <w:left w:val="nil"/>
              <w:bottom w:val="single" w:sz="4" w:space="0" w:color="auto"/>
              <w:right w:val="nil"/>
            </w:tcBorders>
            <w:shd w:val="clear" w:color="auto" w:fill="auto"/>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Labor Force Participation</w:t>
            </w:r>
          </w:p>
        </w:tc>
        <w:tc>
          <w:tcPr>
            <w:tcW w:w="0" w:type="auto"/>
            <w:tcBorders>
              <w:top w:val="nil"/>
              <w:left w:val="nil"/>
              <w:bottom w:val="single" w:sz="4" w:space="0" w:color="auto"/>
              <w:right w:val="nil"/>
            </w:tcBorders>
            <w:shd w:val="clear" w:color="auto" w:fill="auto"/>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Employed</w:t>
            </w:r>
          </w:p>
        </w:tc>
        <w:tc>
          <w:tcPr>
            <w:tcW w:w="0" w:type="auto"/>
            <w:tcBorders>
              <w:top w:val="nil"/>
              <w:left w:val="nil"/>
              <w:bottom w:val="single" w:sz="4" w:space="0" w:color="auto"/>
              <w:right w:val="nil"/>
            </w:tcBorders>
            <w:shd w:val="clear" w:color="auto" w:fill="auto"/>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Usual Hours Worked</w:t>
            </w:r>
          </w:p>
        </w:tc>
      </w:tr>
      <w:tr w:rsidR="005D7130" w:rsidRPr="005D7130" w:rsidTr="005D7130">
        <w:trPr>
          <w:trHeight w:val="310"/>
        </w:trPr>
        <w:tc>
          <w:tcPr>
            <w:tcW w:w="0" w:type="auto"/>
            <w:tcBorders>
              <w:top w:val="nil"/>
              <w:left w:val="nil"/>
              <w:bottom w:val="nil"/>
              <w:right w:val="nil"/>
            </w:tcBorders>
            <w:shd w:val="clear" w:color="auto" w:fill="auto"/>
            <w:noWrap/>
            <w:vAlign w:val="bottom"/>
            <w:hideMark/>
          </w:tcPr>
          <w:p w:rsidR="005D7130" w:rsidRPr="005D7130" w:rsidRDefault="005D7130" w:rsidP="005D7130">
            <w:pPr>
              <w:rPr>
                <w:rFonts w:ascii="Calibri" w:hAnsi="Calibri" w:cs="Calibri"/>
                <w:color w:val="000000"/>
              </w:rPr>
            </w:pPr>
            <w:r w:rsidRPr="005D7130">
              <w:rPr>
                <w:rFonts w:ascii="Calibri" w:hAnsi="Calibri" w:cs="Calibri"/>
                <w:color w:val="000000"/>
              </w:rPr>
              <w:t>Uninsured x 2011</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0.0631</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0.00718</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-0.00199</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0.562</w:t>
            </w:r>
          </w:p>
        </w:tc>
      </w:tr>
      <w:tr w:rsidR="005D7130" w:rsidRPr="005D7130" w:rsidTr="005D7130">
        <w:trPr>
          <w:trHeight w:val="310"/>
        </w:trPr>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(0.0650)</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(0.0211)</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(0.0187)</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(0.8129)</w:t>
            </w:r>
          </w:p>
        </w:tc>
      </w:tr>
      <w:tr w:rsidR="005D7130" w:rsidRPr="005D7130" w:rsidTr="005D7130">
        <w:trPr>
          <w:trHeight w:val="310"/>
        </w:trPr>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D7130" w:rsidRPr="005D7130" w:rsidRDefault="005D7130" w:rsidP="005D7130">
            <w:pPr>
              <w:rPr>
                <w:sz w:val="20"/>
                <w:szCs w:val="20"/>
              </w:rPr>
            </w:pP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sz w:val="20"/>
                <w:szCs w:val="20"/>
              </w:rPr>
            </w:pP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sz w:val="20"/>
                <w:szCs w:val="20"/>
              </w:rPr>
            </w:pP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sz w:val="20"/>
                <w:szCs w:val="20"/>
              </w:rPr>
            </w:pPr>
          </w:p>
        </w:tc>
      </w:tr>
      <w:tr w:rsidR="005D7130" w:rsidRPr="005D7130" w:rsidTr="005D7130">
        <w:trPr>
          <w:trHeight w:val="310"/>
        </w:trPr>
        <w:tc>
          <w:tcPr>
            <w:tcW w:w="0" w:type="auto"/>
            <w:tcBorders>
              <w:top w:val="nil"/>
              <w:left w:val="nil"/>
              <w:bottom w:val="nil"/>
              <w:right w:val="nil"/>
            </w:tcBorders>
            <w:shd w:val="clear" w:color="auto" w:fill="auto"/>
            <w:noWrap/>
            <w:vAlign w:val="bottom"/>
            <w:hideMark/>
          </w:tcPr>
          <w:p w:rsidR="005D7130" w:rsidRPr="005D7130" w:rsidRDefault="005D7130" w:rsidP="005D7130">
            <w:pPr>
              <w:rPr>
                <w:rFonts w:ascii="Calibri" w:hAnsi="Calibri" w:cs="Calibri"/>
                <w:color w:val="000000"/>
              </w:rPr>
            </w:pPr>
            <w:r w:rsidRPr="005D7130">
              <w:rPr>
                <w:rFonts w:ascii="Calibri" w:hAnsi="Calibri" w:cs="Calibri"/>
                <w:color w:val="000000"/>
              </w:rPr>
              <w:t>Uninsured x 2012</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0.0151</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-0.00145</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0.0119</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-0.322</w:t>
            </w:r>
          </w:p>
        </w:tc>
      </w:tr>
      <w:tr w:rsidR="005D7130" w:rsidRPr="005D7130" w:rsidTr="005D7130">
        <w:trPr>
          <w:trHeight w:val="310"/>
        </w:trPr>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(0.0778)</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(0.0218)</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(0.0327)</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(0.4553)</w:t>
            </w:r>
          </w:p>
        </w:tc>
      </w:tr>
      <w:tr w:rsidR="005D7130" w:rsidRPr="005D7130" w:rsidTr="005D7130">
        <w:trPr>
          <w:trHeight w:val="310"/>
        </w:trPr>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D7130" w:rsidRPr="005D7130" w:rsidRDefault="005D7130" w:rsidP="005D7130">
            <w:pPr>
              <w:rPr>
                <w:sz w:val="20"/>
                <w:szCs w:val="20"/>
              </w:rPr>
            </w:pP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sz w:val="20"/>
                <w:szCs w:val="20"/>
              </w:rPr>
            </w:pP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sz w:val="20"/>
                <w:szCs w:val="20"/>
              </w:rPr>
            </w:pP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sz w:val="20"/>
                <w:szCs w:val="20"/>
              </w:rPr>
            </w:pPr>
          </w:p>
        </w:tc>
      </w:tr>
      <w:tr w:rsidR="005D7130" w:rsidRPr="005D7130" w:rsidTr="005D7130">
        <w:trPr>
          <w:trHeight w:val="310"/>
        </w:trPr>
        <w:tc>
          <w:tcPr>
            <w:tcW w:w="0" w:type="auto"/>
            <w:tcBorders>
              <w:top w:val="nil"/>
              <w:left w:val="nil"/>
              <w:bottom w:val="nil"/>
              <w:right w:val="nil"/>
            </w:tcBorders>
            <w:shd w:val="clear" w:color="auto" w:fill="auto"/>
            <w:noWrap/>
            <w:vAlign w:val="bottom"/>
            <w:hideMark/>
          </w:tcPr>
          <w:p w:rsidR="005D7130" w:rsidRPr="005D7130" w:rsidRDefault="005D7130" w:rsidP="005D7130">
            <w:pPr>
              <w:rPr>
                <w:rFonts w:ascii="Calibri" w:hAnsi="Calibri" w:cs="Calibri"/>
                <w:color w:val="000000"/>
              </w:rPr>
            </w:pPr>
            <w:r w:rsidRPr="005D7130">
              <w:rPr>
                <w:rFonts w:ascii="Calibri" w:hAnsi="Calibri" w:cs="Calibri"/>
                <w:color w:val="000000"/>
              </w:rPr>
              <w:t>Uninsured x 2014</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0.00242</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-0.0174</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0.0439*</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-0.342</w:t>
            </w:r>
          </w:p>
        </w:tc>
      </w:tr>
      <w:tr w:rsidR="005D7130" w:rsidRPr="005D7130" w:rsidTr="005D7130">
        <w:trPr>
          <w:trHeight w:val="310"/>
        </w:trPr>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(0.0853)</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(0.0361)</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(0.0233)</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(0.8611)</w:t>
            </w:r>
          </w:p>
        </w:tc>
      </w:tr>
      <w:tr w:rsidR="005D7130" w:rsidRPr="005D7130" w:rsidTr="005D7130">
        <w:trPr>
          <w:trHeight w:val="310"/>
        </w:trPr>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D7130" w:rsidRPr="005D7130" w:rsidRDefault="005D7130" w:rsidP="005D7130">
            <w:pPr>
              <w:rPr>
                <w:sz w:val="20"/>
                <w:szCs w:val="20"/>
              </w:rPr>
            </w:pP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sz w:val="20"/>
                <w:szCs w:val="20"/>
              </w:rPr>
            </w:pP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sz w:val="20"/>
                <w:szCs w:val="20"/>
              </w:rPr>
            </w:pP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sz w:val="20"/>
                <w:szCs w:val="20"/>
              </w:rPr>
            </w:pPr>
          </w:p>
        </w:tc>
      </w:tr>
      <w:tr w:rsidR="005D7130" w:rsidRPr="005D7130" w:rsidTr="005D7130">
        <w:trPr>
          <w:trHeight w:val="310"/>
        </w:trPr>
        <w:tc>
          <w:tcPr>
            <w:tcW w:w="0" w:type="auto"/>
            <w:tcBorders>
              <w:top w:val="nil"/>
              <w:left w:val="nil"/>
              <w:bottom w:val="nil"/>
              <w:right w:val="nil"/>
            </w:tcBorders>
            <w:shd w:val="clear" w:color="auto" w:fill="auto"/>
            <w:noWrap/>
            <w:vAlign w:val="bottom"/>
            <w:hideMark/>
          </w:tcPr>
          <w:p w:rsidR="005D7130" w:rsidRPr="005D7130" w:rsidRDefault="005D7130" w:rsidP="005D7130">
            <w:pPr>
              <w:rPr>
                <w:rFonts w:ascii="Calibri" w:hAnsi="Calibri" w:cs="Calibri"/>
                <w:color w:val="000000"/>
              </w:rPr>
            </w:pPr>
            <w:r w:rsidRPr="005D7130">
              <w:rPr>
                <w:rFonts w:ascii="Calibri" w:hAnsi="Calibri" w:cs="Calibri"/>
                <w:color w:val="000000"/>
              </w:rPr>
              <w:t>Uninsured x 2015</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-0.0220</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0.0135</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0.0582**</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1.489</w:t>
            </w:r>
          </w:p>
        </w:tc>
      </w:tr>
      <w:tr w:rsidR="005D7130" w:rsidRPr="005D7130" w:rsidTr="005D7130">
        <w:trPr>
          <w:trHeight w:val="310"/>
        </w:trPr>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(0.0783)</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(0.0358)</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(0.0267)</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(1.1394)</w:t>
            </w:r>
          </w:p>
        </w:tc>
      </w:tr>
      <w:tr w:rsidR="005D7130" w:rsidRPr="005D7130" w:rsidTr="005D7130">
        <w:trPr>
          <w:trHeight w:val="310"/>
        </w:trPr>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D7130" w:rsidRPr="005D7130" w:rsidRDefault="005D7130" w:rsidP="005D7130">
            <w:pPr>
              <w:rPr>
                <w:sz w:val="20"/>
                <w:szCs w:val="20"/>
              </w:rPr>
            </w:pP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sz w:val="20"/>
                <w:szCs w:val="20"/>
              </w:rPr>
            </w:pP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sz w:val="20"/>
                <w:szCs w:val="20"/>
              </w:rPr>
            </w:pP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sz w:val="20"/>
                <w:szCs w:val="20"/>
              </w:rPr>
            </w:pPr>
          </w:p>
        </w:tc>
      </w:tr>
      <w:tr w:rsidR="005D7130" w:rsidRPr="005D7130" w:rsidTr="005D7130">
        <w:trPr>
          <w:trHeight w:val="310"/>
        </w:trPr>
        <w:tc>
          <w:tcPr>
            <w:tcW w:w="0" w:type="auto"/>
            <w:tcBorders>
              <w:top w:val="nil"/>
              <w:left w:val="nil"/>
              <w:bottom w:val="nil"/>
              <w:right w:val="nil"/>
            </w:tcBorders>
            <w:shd w:val="clear" w:color="auto" w:fill="auto"/>
            <w:noWrap/>
            <w:vAlign w:val="bottom"/>
            <w:hideMark/>
          </w:tcPr>
          <w:p w:rsidR="005D7130" w:rsidRPr="005D7130" w:rsidRDefault="005D7130" w:rsidP="005D7130">
            <w:pPr>
              <w:rPr>
                <w:rFonts w:ascii="Calibri" w:hAnsi="Calibri" w:cs="Calibri"/>
                <w:color w:val="000000"/>
              </w:rPr>
            </w:pPr>
            <w:r w:rsidRPr="005D7130">
              <w:rPr>
                <w:rFonts w:ascii="Calibri" w:hAnsi="Calibri" w:cs="Calibri"/>
                <w:color w:val="000000"/>
              </w:rPr>
              <w:t>Uninsured x 2016</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-0.0741</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-0.0121</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0.0543*</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0.812</w:t>
            </w:r>
          </w:p>
        </w:tc>
      </w:tr>
      <w:tr w:rsidR="005D7130" w:rsidRPr="005D7130" w:rsidTr="005D7130">
        <w:trPr>
          <w:trHeight w:val="310"/>
        </w:trPr>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(0.0647)</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(0.0213)</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(0.0319)</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(1.2135)</w:t>
            </w:r>
          </w:p>
        </w:tc>
      </w:tr>
      <w:tr w:rsidR="005D7130" w:rsidRPr="005D7130" w:rsidTr="005D7130">
        <w:trPr>
          <w:trHeight w:val="310"/>
        </w:trPr>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D7130" w:rsidRPr="005D7130" w:rsidRDefault="005D7130" w:rsidP="005D7130">
            <w:pPr>
              <w:rPr>
                <w:sz w:val="20"/>
                <w:szCs w:val="20"/>
              </w:rPr>
            </w:pP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sz w:val="20"/>
                <w:szCs w:val="20"/>
              </w:rPr>
            </w:pP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sz w:val="20"/>
                <w:szCs w:val="20"/>
              </w:rPr>
            </w:pP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sz w:val="20"/>
                <w:szCs w:val="20"/>
              </w:rPr>
            </w:pPr>
          </w:p>
        </w:tc>
      </w:tr>
      <w:tr w:rsidR="005D7130" w:rsidRPr="005D7130" w:rsidTr="005D7130">
        <w:trPr>
          <w:trHeight w:val="310"/>
        </w:trPr>
        <w:tc>
          <w:tcPr>
            <w:tcW w:w="0" w:type="auto"/>
            <w:tcBorders>
              <w:top w:val="nil"/>
              <w:left w:val="nil"/>
              <w:bottom w:val="nil"/>
              <w:right w:val="nil"/>
            </w:tcBorders>
            <w:shd w:val="clear" w:color="auto" w:fill="auto"/>
            <w:noWrap/>
            <w:vAlign w:val="bottom"/>
            <w:hideMark/>
          </w:tcPr>
          <w:p w:rsidR="005D7130" w:rsidRPr="005D7130" w:rsidRDefault="005D7130" w:rsidP="005D7130">
            <w:pPr>
              <w:rPr>
                <w:rFonts w:ascii="Calibri" w:hAnsi="Calibri" w:cs="Calibri"/>
                <w:color w:val="000000"/>
              </w:rPr>
            </w:pPr>
            <w:r w:rsidRPr="005D7130">
              <w:rPr>
                <w:rFonts w:ascii="Calibri" w:hAnsi="Calibri" w:cs="Calibri"/>
                <w:color w:val="000000"/>
              </w:rPr>
              <w:t>Medicaid x Uninsured x 2011</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-0.102</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0.0108</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0.00339</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-0.520</w:t>
            </w:r>
          </w:p>
        </w:tc>
      </w:tr>
      <w:tr w:rsidR="005D7130" w:rsidRPr="005D7130" w:rsidTr="005D7130">
        <w:trPr>
          <w:trHeight w:val="310"/>
        </w:trPr>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(0.0783)</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(0.0357)</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(0.0221)</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(0.9482)</w:t>
            </w:r>
          </w:p>
        </w:tc>
      </w:tr>
      <w:tr w:rsidR="005D7130" w:rsidRPr="005D7130" w:rsidTr="005D7130">
        <w:trPr>
          <w:trHeight w:val="310"/>
        </w:trPr>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D7130" w:rsidRPr="005D7130" w:rsidRDefault="005D7130" w:rsidP="005D7130">
            <w:pPr>
              <w:rPr>
                <w:sz w:val="20"/>
                <w:szCs w:val="20"/>
              </w:rPr>
            </w:pP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sz w:val="20"/>
                <w:szCs w:val="20"/>
              </w:rPr>
            </w:pP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sz w:val="20"/>
                <w:szCs w:val="20"/>
              </w:rPr>
            </w:pP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sz w:val="20"/>
                <w:szCs w:val="20"/>
              </w:rPr>
            </w:pPr>
          </w:p>
        </w:tc>
      </w:tr>
      <w:tr w:rsidR="005D7130" w:rsidRPr="005D7130" w:rsidTr="005D7130">
        <w:trPr>
          <w:trHeight w:val="310"/>
        </w:trPr>
        <w:tc>
          <w:tcPr>
            <w:tcW w:w="0" w:type="auto"/>
            <w:tcBorders>
              <w:top w:val="nil"/>
              <w:left w:val="nil"/>
              <w:bottom w:val="nil"/>
              <w:right w:val="nil"/>
            </w:tcBorders>
            <w:shd w:val="clear" w:color="auto" w:fill="auto"/>
            <w:noWrap/>
            <w:vAlign w:val="bottom"/>
            <w:hideMark/>
          </w:tcPr>
          <w:p w:rsidR="005D7130" w:rsidRPr="005D7130" w:rsidRDefault="005D7130" w:rsidP="005D7130">
            <w:pPr>
              <w:rPr>
                <w:rFonts w:ascii="Calibri" w:hAnsi="Calibri" w:cs="Calibri"/>
                <w:color w:val="000000"/>
              </w:rPr>
            </w:pPr>
            <w:r w:rsidRPr="005D7130">
              <w:rPr>
                <w:rFonts w:ascii="Calibri" w:hAnsi="Calibri" w:cs="Calibri"/>
                <w:color w:val="000000"/>
              </w:rPr>
              <w:t>Medicaid x Uninsured x 2012</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-0.0672</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-0.00934</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-0.0285</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0.417</w:t>
            </w:r>
          </w:p>
        </w:tc>
      </w:tr>
      <w:tr w:rsidR="005D7130" w:rsidRPr="005D7130" w:rsidTr="005D7130">
        <w:trPr>
          <w:trHeight w:val="310"/>
        </w:trPr>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(0.0870)</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(0.0348)</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(0.0369)</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(0.6098)</w:t>
            </w:r>
          </w:p>
        </w:tc>
      </w:tr>
      <w:tr w:rsidR="005D7130" w:rsidRPr="005D7130" w:rsidTr="005D7130">
        <w:trPr>
          <w:trHeight w:val="310"/>
        </w:trPr>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D7130" w:rsidRPr="005D7130" w:rsidRDefault="005D7130" w:rsidP="005D7130">
            <w:pPr>
              <w:rPr>
                <w:sz w:val="20"/>
                <w:szCs w:val="20"/>
              </w:rPr>
            </w:pP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sz w:val="20"/>
                <w:szCs w:val="20"/>
              </w:rPr>
            </w:pP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sz w:val="20"/>
                <w:szCs w:val="20"/>
              </w:rPr>
            </w:pP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sz w:val="20"/>
                <w:szCs w:val="20"/>
              </w:rPr>
            </w:pPr>
          </w:p>
        </w:tc>
      </w:tr>
      <w:tr w:rsidR="005D7130" w:rsidRPr="005D7130" w:rsidTr="005D7130">
        <w:trPr>
          <w:trHeight w:val="310"/>
        </w:trPr>
        <w:tc>
          <w:tcPr>
            <w:tcW w:w="0" w:type="auto"/>
            <w:tcBorders>
              <w:top w:val="nil"/>
              <w:left w:val="nil"/>
              <w:bottom w:val="nil"/>
              <w:right w:val="nil"/>
            </w:tcBorders>
            <w:shd w:val="clear" w:color="auto" w:fill="auto"/>
            <w:noWrap/>
            <w:vAlign w:val="bottom"/>
            <w:hideMark/>
          </w:tcPr>
          <w:p w:rsidR="005D7130" w:rsidRPr="005D7130" w:rsidRDefault="005D7130" w:rsidP="005D7130">
            <w:pPr>
              <w:rPr>
                <w:rFonts w:ascii="Calibri" w:hAnsi="Calibri" w:cs="Calibri"/>
                <w:color w:val="000000"/>
              </w:rPr>
            </w:pPr>
            <w:r w:rsidRPr="005D7130">
              <w:rPr>
                <w:rFonts w:ascii="Calibri" w:hAnsi="Calibri" w:cs="Calibri"/>
                <w:color w:val="000000"/>
              </w:rPr>
              <w:t>Medicaid x Uninsured x 2014</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-0.0369</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0.0119</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-0.0412</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1.146</w:t>
            </w:r>
          </w:p>
        </w:tc>
      </w:tr>
      <w:tr w:rsidR="005D7130" w:rsidRPr="005D7130" w:rsidTr="005D7130">
        <w:trPr>
          <w:trHeight w:val="310"/>
        </w:trPr>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(0.1050)</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(0.0429)</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(0.0265)</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(1.0585)</w:t>
            </w:r>
          </w:p>
        </w:tc>
      </w:tr>
      <w:tr w:rsidR="005D7130" w:rsidRPr="005D7130" w:rsidTr="005D7130">
        <w:trPr>
          <w:trHeight w:val="310"/>
        </w:trPr>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D7130" w:rsidRPr="005D7130" w:rsidRDefault="005D7130" w:rsidP="005D7130">
            <w:pPr>
              <w:rPr>
                <w:sz w:val="20"/>
                <w:szCs w:val="20"/>
              </w:rPr>
            </w:pP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sz w:val="20"/>
                <w:szCs w:val="20"/>
              </w:rPr>
            </w:pP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sz w:val="20"/>
                <w:szCs w:val="20"/>
              </w:rPr>
            </w:pP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sz w:val="20"/>
                <w:szCs w:val="20"/>
              </w:rPr>
            </w:pPr>
          </w:p>
        </w:tc>
      </w:tr>
      <w:tr w:rsidR="005D7130" w:rsidRPr="005D7130" w:rsidTr="005D7130">
        <w:trPr>
          <w:trHeight w:val="310"/>
        </w:trPr>
        <w:tc>
          <w:tcPr>
            <w:tcW w:w="0" w:type="auto"/>
            <w:tcBorders>
              <w:top w:val="nil"/>
              <w:left w:val="nil"/>
              <w:bottom w:val="nil"/>
              <w:right w:val="nil"/>
            </w:tcBorders>
            <w:shd w:val="clear" w:color="auto" w:fill="auto"/>
            <w:noWrap/>
            <w:vAlign w:val="bottom"/>
            <w:hideMark/>
          </w:tcPr>
          <w:p w:rsidR="005D7130" w:rsidRPr="005D7130" w:rsidRDefault="005D7130" w:rsidP="005D7130">
            <w:pPr>
              <w:rPr>
                <w:rFonts w:ascii="Calibri" w:hAnsi="Calibri" w:cs="Calibri"/>
                <w:color w:val="000000"/>
              </w:rPr>
            </w:pPr>
            <w:r w:rsidRPr="005D7130">
              <w:rPr>
                <w:rFonts w:ascii="Calibri" w:hAnsi="Calibri" w:cs="Calibri"/>
                <w:color w:val="000000"/>
              </w:rPr>
              <w:t>Medicaid x Uninsured x 2015</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-0.0154</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-0.0351</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-0.0342</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-2.031*</w:t>
            </w:r>
          </w:p>
        </w:tc>
      </w:tr>
      <w:tr w:rsidR="005D7130" w:rsidRPr="005D7130" w:rsidTr="005D7130">
        <w:trPr>
          <w:trHeight w:val="310"/>
        </w:trPr>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(0.0862)</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(0.0449)</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(0.0297)</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(1.1809)</w:t>
            </w:r>
          </w:p>
        </w:tc>
      </w:tr>
      <w:tr w:rsidR="005D7130" w:rsidRPr="005D7130" w:rsidTr="005D7130">
        <w:trPr>
          <w:trHeight w:val="310"/>
        </w:trPr>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D7130" w:rsidRPr="005D7130" w:rsidRDefault="005D7130" w:rsidP="005D7130">
            <w:pPr>
              <w:rPr>
                <w:sz w:val="20"/>
                <w:szCs w:val="20"/>
              </w:rPr>
            </w:pP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sz w:val="20"/>
                <w:szCs w:val="20"/>
              </w:rPr>
            </w:pP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sz w:val="20"/>
                <w:szCs w:val="20"/>
              </w:rPr>
            </w:pP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sz w:val="20"/>
                <w:szCs w:val="20"/>
              </w:rPr>
            </w:pPr>
          </w:p>
        </w:tc>
      </w:tr>
      <w:tr w:rsidR="005D7130" w:rsidRPr="005D7130" w:rsidTr="005D7130">
        <w:trPr>
          <w:trHeight w:val="310"/>
        </w:trPr>
        <w:tc>
          <w:tcPr>
            <w:tcW w:w="0" w:type="auto"/>
            <w:tcBorders>
              <w:top w:val="nil"/>
              <w:left w:val="nil"/>
              <w:bottom w:val="nil"/>
              <w:right w:val="nil"/>
            </w:tcBorders>
            <w:shd w:val="clear" w:color="auto" w:fill="auto"/>
            <w:noWrap/>
            <w:vAlign w:val="bottom"/>
            <w:hideMark/>
          </w:tcPr>
          <w:p w:rsidR="005D7130" w:rsidRPr="005D7130" w:rsidRDefault="005D7130" w:rsidP="005D7130">
            <w:pPr>
              <w:rPr>
                <w:rFonts w:ascii="Calibri" w:hAnsi="Calibri" w:cs="Calibri"/>
                <w:color w:val="000000"/>
              </w:rPr>
            </w:pPr>
            <w:r w:rsidRPr="005D7130">
              <w:rPr>
                <w:rFonts w:ascii="Calibri" w:hAnsi="Calibri" w:cs="Calibri"/>
                <w:color w:val="000000"/>
              </w:rPr>
              <w:t>Medicaid x Uninsured x 2016</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-0.0327</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-0.0163</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0.0115</w:t>
            </w:r>
          </w:p>
        </w:tc>
        <w:tc>
          <w:tcPr>
            <w:tcW w:w="0" w:type="auto"/>
            <w:tcBorders>
              <w:top w:val="nil"/>
              <w:left w:val="nil"/>
              <w:bottom w:val="nil"/>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-2.396*</w:t>
            </w:r>
          </w:p>
        </w:tc>
      </w:tr>
      <w:tr w:rsidR="005D7130" w:rsidRPr="005D7130" w:rsidTr="005D7130">
        <w:trPr>
          <w:trHeight w:val="310"/>
        </w:trPr>
        <w:tc>
          <w:tcPr>
            <w:tcW w:w="0" w:type="auto"/>
            <w:tcBorders>
              <w:top w:val="nil"/>
              <w:left w:val="nil"/>
              <w:bottom w:val="single" w:sz="4" w:space="0" w:color="auto"/>
              <w:right w:val="nil"/>
            </w:tcBorders>
            <w:shd w:val="clear" w:color="auto" w:fill="auto"/>
            <w:noWrap/>
            <w:vAlign w:val="bottom"/>
            <w:hideMark/>
          </w:tcPr>
          <w:p w:rsidR="005D7130" w:rsidRPr="005D7130" w:rsidRDefault="005D7130" w:rsidP="005D7130">
            <w:pPr>
              <w:rPr>
                <w:rFonts w:ascii="Calibri" w:hAnsi="Calibri" w:cs="Calibri"/>
                <w:color w:val="000000"/>
              </w:rPr>
            </w:pPr>
            <w:r w:rsidRPr="005D7130">
              <w:rPr>
                <w:rFonts w:ascii="Calibri" w:hAnsi="Calibri" w:cs="Calibri"/>
                <w:color w:val="000000"/>
              </w:rPr>
              <w:t> </w:t>
            </w:r>
          </w:p>
        </w:tc>
        <w:tc>
          <w:tcPr>
            <w:tcW w:w="0" w:type="auto"/>
            <w:tcBorders>
              <w:top w:val="nil"/>
              <w:left w:val="nil"/>
              <w:bottom w:val="single" w:sz="4" w:space="0" w:color="auto"/>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(0.0777)</w:t>
            </w:r>
          </w:p>
        </w:tc>
        <w:tc>
          <w:tcPr>
            <w:tcW w:w="0" w:type="auto"/>
            <w:tcBorders>
              <w:top w:val="nil"/>
              <w:left w:val="nil"/>
              <w:bottom w:val="single" w:sz="4" w:space="0" w:color="auto"/>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(0.0373)</w:t>
            </w:r>
          </w:p>
        </w:tc>
        <w:tc>
          <w:tcPr>
            <w:tcW w:w="0" w:type="auto"/>
            <w:tcBorders>
              <w:top w:val="nil"/>
              <w:left w:val="nil"/>
              <w:bottom w:val="single" w:sz="4" w:space="0" w:color="auto"/>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(0.0396)</w:t>
            </w:r>
          </w:p>
        </w:tc>
        <w:tc>
          <w:tcPr>
            <w:tcW w:w="0" w:type="auto"/>
            <w:tcBorders>
              <w:top w:val="nil"/>
              <w:left w:val="nil"/>
              <w:bottom w:val="single" w:sz="4" w:space="0" w:color="auto"/>
              <w:right w:val="nil"/>
            </w:tcBorders>
            <w:shd w:val="clear" w:color="auto" w:fill="auto"/>
            <w:noWrap/>
            <w:vAlign w:val="bottom"/>
            <w:hideMark/>
          </w:tcPr>
          <w:p w:rsidR="005D7130" w:rsidRPr="005D7130" w:rsidRDefault="005D7130" w:rsidP="005D7130">
            <w:pPr>
              <w:jc w:val="center"/>
              <w:rPr>
                <w:rFonts w:ascii="Calibri" w:hAnsi="Calibri" w:cs="Calibri"/>
                <w:color w:val="000000"/>
              </w:rPr>
            </w:pPr>
            <w:r w:rsidRPr="005D7130">
              <w:rPr>
                <w:rFonts w:ascii="Calibri" w:hAnsi="Calibri" w:cs="Calibri"/>
                <w:color w:val="000000"/>
              </w:rPr>
              <w:t>(1.3997)</w:t>
            </w:r>
          </w:p>
        </w:tc>
      </w:tr>
    </w:tbl>
    <w:p w:rsidR="004650EE" w:rsidRDefault="007B2B8F" w:rsidP="00482A31">
      <w:pPr>
        <w:spacing w:line="276" w:lineRule="auto"/>
        <w:rPr>
          <w:color w:val="FF0000"/>
        </w:rPr>
      </w:pPr>
      <w:r w:rsidRPr="005A43BD">
        <w:rPr>
          <w:i/>
          <w:sz w:val="16"/>
          <w:szCs w:val="16"/>
        </w:rPr>
        <w:t xml:space="preserve">Notes: </w:t>
      </w:r>
      <w:r>
        <w:rPr>
          <w:sz w:val="16"/>
          <w:szCs w:val="16"/>
        </w:rPr>
        <w:t>Standard errors, heteroskedasticity-robust and clustered at the state level, are in parentheses. *** Denotes statistical significance at 1 percent level, ** Denotes statistical significance at 5 percent level,</w:t>
      </w:r>
      <w:r w:rsidRPr="005A43BD">
        <w:rPr>
          <w:sz w:val="16"/>
          <w:szCs w:val="16"/>
        </w:rPr>
        <w:t xml:space="preserve"> </w:t>
      </w:r>
      <w:r>
        <w:rPr>
          <w:sz w:val="16"/>
          <w:szCs w:val="16"/>
        </w:rPr>
        <w:t>* Denotes statistical significance at 10 percent level</w:t>
      </w:r>
    </w:p>
    <w:p w:rsidR="006565B3" w:rsidRDefault="006565B3">
      <w:pPr>
        <w:spacing w:after="160" w:line="259" w:lineRule="auto"/>
        <w:rPr>
          <w:color w:val="FF0000"/>
        </w:rPr>
      </w:pPr>
      <w:r>
        <w:rPr>
          <w:color w:val="FF0000"/>
        </w:rPr>
        <w:br w:type="page"/>
      </w:r>
    </w:p>
    <w:tbl>
      <w:tblPr>
        <w:tblW w:w="0" w:type="auto"/>
        <w:tblLook w:val="04A0" w:firstRow="1" w:lastRow="0" w:firstColumn="1" w:lastColumn="0" w:noHBand="0" w:noVBand="1"/>
      </w:tblPr>
      <w:tblGrid>
        <w:gridCol w:w="3042"/>
        <w:gridCol w:w="1104"/>
        <w:gridCol w:w="2198"/>
        <w:gridCol w:w="1250"/>
        <w:gridCol w:w="1766"/>
      </w:tblGrid>
      <w:tr w:rsidR="006565B3" w:rsidRPr="006565B3" w:rsidTr="006565B3">
        <w:trPr>
          <w:trHeight w:val="310"/>
        </w:trPr>
        <w:tc>
          <w:tcPr>
            <w:tcW w:w="0" w:type="auto"/>
            <w:gridSpan w:val="5"/>
            <w:tcBorders>
              <w:top w:val="nil"/>
              <w:left w:val="nil"/>
              <w:bottom w:val="single" w:sz="4" w:space="0" w:color="auto"/>
              <w:right w:val="nil"/>
            </w:tcBorders>
            <w:shd w:val="clear" w:color="auto" w:fill="auto"/>
            <w:noWrap/>
            <w:vAlign w:val="bottom"/>
            <w:hideMark/>
          </w:tcPr>
          <w:p w:rsidR="006565B3" w:rsidRPr="006565B3" w:rsidRDefault="006565B3" w:rsidP="006565B3">
            <w:pPr>
              <w:jc w:val="center"/>
              <w:rPr>
                <w:rFonts w:ascii="Calibri" w:hAnsi="Calibri" w:cs="Calibri"/>
                <w:b/>
                <w:bCs/>
                <w:color w:val="000000"/>
                <w:u w:val="single"/>
              </w:rPr>
            </w:pPr>
            <w:r w:rsidRPr="006565B3">
              <w:rPr>
                <w:rFonts w:ascii="Calibri" w:hAnsi="Calibri" w:cs="Calibri"/>
                <w:b/>
                <w:bCs/>
                <w:color w:val="000000"/>
                <w:u w:val="single"/>
              </w:rPr>
              <w:lastRenderedPageBreak/>
              <w:t>Table A7: Ages 45-55 DiDiD Event Study</w:t>
            </w:r>
          </w:p>
        </w:tc>
      </w:tr>
      <w:tr w:rsidR="006565B3" w:rsidRPr="006565B3" w:rsidTr="006565B3">
        <w:trPr>
          <w:trHeight w:val="620"/>
        </w:trPr>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b/>
                <w:bCs/>
                <w:color w:val="000000"/>
                <w:u w:val="single"/>
              </w:rPr>
            </w:pPr>
          </w:p>
        </w:tc>
        <w:tc>
          <w:tcPr>
            <w:tcW w:w="0" w:type="auto"/>
            <w:tcBorders>
              <w:top w:val="nil"/>
              <w:left w:val="nil"/>
              <w:bottom w:val="single" w:sz="4" w:space="0" w:color="auto"/>
              <w:right w:val="nil"/>
            </w:tcBorders>
            <w:shd w:val="clear" w:color="auto" w:fill="auto"/>
            <w:vAlign w:val="bottom"/>
            <w:hideMark/>
          </w:tcPr>
          <w:p w:rsidR="006565B3" w:rsidRPr="006565B3" w:rsidRDefault="006565B3" w:rsidP="006565B3">
            <w:pPr>
              <w:jc w:val="center"/>
              <w:rPr>
                <w:rFonts w:ascii="Calibri" w:hAnsi="Calibri" w:cs="Calibri"/>
                <w:color w:val="000000"/>
              </w:rPr>
            </w:pPr>
            <w:proofErr w:type="gramStart"/>
            <w:r w:rsidRPr="006565B3">
              <w:rPr>
                <w:rFonts w:ascii="Calibri" w:hAnsi="Calibri" w:cs="Calibri"/>
                <w:color w:val="000000"/>
              </w:rPr>
              <w:t>ln(</w:t>
            </w:r>
            <w:proofErr w:type="gramEnd"/>
            <w:r w:rsidRPr="006565B3">
              <w:rPr>
                <w:rFonts w:ascii="Calibri" w:hAnsi="Calibri" w:cs="Calibri"/>
                <w:color w:val="000000"/>
              </w:rPr>
              <w:t>Wage)</w:t>
            </w:r>
          </w:p>
        </w:tc>
        <w:tc>
          <w:tcPr>
            <w:tcW w:w="0" w:type="auto"/>
            <w:tcBorders>
              <w:top w:val="nil"/>
              <w:left w:val="nil"/>
              <w:bottom w:val="single" w:sz="4" w:space="0" w:color="auto"/>
              <w:right w:val="nil"/>
            </w:tcBorders>
            <w:shd w:val="clear" w:color="auto" w:fill="auto"/>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Labor Force Participation</w:t>
            </w:r>
          </w:p>
        </w:tc>
        <w:tc>
          <w:tcPr>
            <w:tcW w:w="0" w:type="auto"/>
            <w:tcBorders>
              <w:top w:val="nil"/>
              <w:left w:val="nil"/>
              <w:bottom w:val="single" w:sz="4" w:space="0" w:color="auto"/>
              <w:right w:val="nil"/>
            </w:tcBorders>
            <w:shd w:val="clear" w:color="auto" w:fill="auto"/>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Employed</w:t>
            </w:r>
          </w:p>
        </w:tc>
        <w:tc>
          <w:tcPr>
            <w:tcW w:w="0" w:type="auto"/>
            <w:tcBorders>
              <w:top w:val="nil"/>
              <w:left w:val="nil"/>
              <w:bottom w:val="single" w:sz="4" w:space="0" w:color="auto"/>
              <w:right w:val="nil"/>
            </w:tcBorders>
            <w:shd w:val="clear" w:color="auto" w:fill="auto"/>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Usual Hours Worked</w:t>
            </w:r>
          </w:p>
        </w:tc>
      </w:tr>
      <w:tr w:rsidR="006565B3" w:rsidRPr="006565B3" w:rsidTr="006565B3">
        <w:trPr>
          <w:trHeight w:val="310"/>
        </w:trPr>
        <w:tc>
          <w:tcPr>
            <w:tcW w:w="0" w:type="auto"/>
            <w:tcBorders>
              <w:top w:val="nil"/>
              <w:left w:val="nil"/>
              <w:bottom w:val="nil"/>
              <w:right w:val="nil"/>
            </w:tcBorders>
            <w:shd w:val="clear" w:color="auto" w:fill="auto"/>
            <w:noWrap/>
            <w:vAlign w:val="bottom"/>
            <w:hideMark/>
          </w:tcPr>
          <w:p w:rsidR="006565B3" w:rsidRPr="006565B3" w:rsidRDefault="006565B3" w:rsidP="006565B3">
            <w:pPr>
              <w:rPr>
                <w:rFonts w:ascii="Calibri" w:hAnsi="Calibri" w:cs="Calibri"/>
                <w:color w:val="000000"/>
              </w:rPr>
            </w:pPr>
            <w:r w:rsidRPr="006565B3">
              <w:rPr>
                <w:rFonts w:ascii="Calibri" w:hAnsi="Calibri" w:cs="Calibri"/>
                <w:color w:val="000000"/>
              </w:rPr>
              <w:t>Uninsured x 2011</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0.0869</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0.0336</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0.00720</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-1.737*</w:t>
            </w:r>
          </w:p>
        </w:tc>
      </w:tr>
      <w:tr w:rsidR="006565B3" w:rsidRPr="006565B3" w:rsidTr="006565B3">
        <w:trPr>
          <w:trHeight w:val="310"/>
        </w:trPr>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(0.0783)</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(0.0445)</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(0.0256)</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(0.8708)</w:t>
            </w:r>
          </w:p>
        </w:tc>
      </w:tr>
      <w:tr w:rsidR="006565B3" w:rsidRPr="006565B3" w:rsidTr="006565B3">
        <w:trPr>
          <w:trHeight w:val="310"/>
        </w:trPr>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6565B3" w:rsidRPr="006565B3" w:rsidRDefault="006565B3" w:rsidP="006565B3">
            <w:pPr>
              <w:rPr>
                <w:sz w:val="20"/>
                <w:szCs w:val="20"/>
              </w:rPr>
            </w:pP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sz w:val="20"/>
                <w:szCs w:val="20"/>
              </w:rPr>
            </w:pP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sz w:val="20"/>
                <w:szCs w:val="20"/>
              </w:rPr>
            </w:pP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sz w:val="20"/>
                <w:szCs w:val="20"/>
              </w:rPr>
            </w:pPr>
          </w:p>
        </w:tc>
      </w:tr>
      <w:tr w:rsidR="006565B3" w:rsidRPr="006565B3" w:rsidTr="006565B3">
        <w:trPr>
          <w:trHeight w:val="310"/>
        </w:trPr>
        <w:tc>
          <w:tcPr>
            <w:tcW w:w="0" w:type="auto"/>
            <w:tcBorders>
              <w:top w:val="nil"/>
              <w:left w:val="nil"/>
              <w:bottom w:val="nil"/>
              <w:right w:val="nil"/>
            </w:tcBorders>
            <w:shd w:val="clear" w:color="auto" w:fill="auto"/>
            <w:noWrap/>
            <w:vAlign w:val="bottom"/>
            <w:hideMark/>
          </w:tcPr>
          <w:p w:rsidR="006565B3" w:rsidRPr="006565B3" w:rsidRDefault="006565B3" w:rsidP="006565B3">
            <w:pPr>
              <w:rPr>
                <w:rFonts w:ascii="Calibri" w:hAnsi="Calibri" w:cs="Calibri"/>
                <w:color w:val="000000"/>
              </w:rPr>
            </w:pPr>
            <w:r w:rsidRPr="006565B3">
              <w:rPr>
                <w:rFonts w:ascii="Calibri" w:hAnsi="Calibri" w:cs="Calibri"/>
                <w:color w:val="000000"/>
              </w:rPr>
              <w:t>Uninsured x 2012</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-0.0449</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0.0301</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0.0139</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-1.632</w:t>
            </w:r>
          </w:p>
        </w:tc>
      </w:tr>
      <w:tr w:rsidR="006565B3" w:rsidRPr="006565B3" w:rsidTr="006565B3">
        <w:trPr>
          <w:trHeight w:val="310"/>
        </w:trPr>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(0.0840)</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(0.0300)</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(0.0222)</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(1.2227)</w:t>
            </w:r>
          </w:p>
        </w:tc>
      </w:tr>
      <w:tr w:rsidR="006565B3" w:rsidRPr="006565B3" w:rsidTr="006565B3">
        <w:trPr>
          <w:trHeight w:val="310"/>
        </w:trPr>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6565B3" w:rsidRPr="006565B3" w:rsidRDefault="006565B3" w:rsidP="006565B3">
            <w:pPr>
              <w:rPr>
                <w:sz w:val="20"/>
                <w:szCs w:val="20"/>
              </w:rPr>
            </w:pP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sz w:val="20"/>
                <w:szCs w:val="20"/>
              </w:rPr>
            </w:pP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sz w:val="20"/>
                <w:szCs w:val="20"/>
              </w:rPr>
            </w:pP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sz w:val="20"/>
                <w:szCs w:val="20"/>
              </w:rPr>
            </w:pPr>
          </w:p>
        </w:tc>
      </w:tr>
      <w:tr w:rsidR="006565B3" w:rsidRPr="006565B3" w:rsidTr="006565B3">
        <w:trPr>
          <w:trHeight w:val="310"/>
        </w:trPr>
        <w:tc>
          <w:tcPr>
            <w:tcW w:w="0" w:type="auto"/>
            <w:tcBorders>
              <w:top w:val="nil"/>
              <w:left w:val="nil"/>
              <w:bottom w:val="nil"/>
              <w:right w:val="nil"/>
            </w:tcBorders>
            <w:shd w:val="clear" w:color="auto" w:fill="auto"/>
            <w:noWrap/>
            <w:vAlign w:val="bottom"/>
            <w:hideMark/>
          </w:tcPr>
          <w:p w:rsidR="006565B3" w:rsidRPr="006565B3" w:rsidRDefault="006565B3" w:rsidP="006565B3">
            <w:pPr>
              <w:rPr>
                <w:rFonts w:ascii="Calibri" w:hAnsi="Calibri" w:cs="Calibri"/>
                <w:color w:val="000000"/>
              </w:rPr>
            </w:pPr>
            <w:r w:rsidRPr="006565B3">
              <w:rPr>
                <w:rFonts w:ascii="Calibri" w:hAnsi="Calibri" w:cs="Calibri"/>
                <w:color w:val="000000"/>
              </w:rPr>
              <w:t>Uninsured x 2014</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0.0768</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0.0159</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0.0455**</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-0.296</w:t>
            </w:r>
          </w:p>
        </w:tc>
      </w:tr>
      <w:tr w:rsidR="006565B3" w:rsidRPr="006565B3" w:rsidTr="006565B3">
        <w:trPr>
          <w:trHeight w:val="310"/>
        </w:trPr>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(0.0583)</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(0.0302)</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(0.0195)</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(1.0924)</w:t>
            </w:r>
          </w:p>
        </w:tc>
      </w:tr>
      <w:tr w:rsidR="006565B3" w:rsidRPr="006565B3" w:rsidTr="006565B3">
        <w:trPr>
          <w:trHeight w:val="310"/>
        </w:trPr>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6565B3" w:rsidRPr="006565B3" w:rsidRDefault="006565B3" w:rsidP="006565B3">
            <w:pPr>
              <w:rPr>
                <w:sz w:val="20"/>
                <w:szCs w:val="20"/>
              </w:rPr>
            </w:pP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sz w:val="20"/>
                <w:szCs w:val="20"/>
              </w:rPr>
            </w:pP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sz w:val="20"/>
                <w:szCs w:val="20"/>
              </w:rPr>
            </w:pP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sz w:val="20"/>
                <w:szCs w:val="20"/>
              </w:rPr>
            </w:pPr>
          </w:p>
        </w:tc>
      </w:tr>
      <w:tr w:rsidR="006565B3" w:rsidRPr="006565B3" w:rsidTr="006565B3">
        <w:trPr>
          <w:trHeight w:val="310"/>
        </w:trPr>
        <w:tc>
          <w:tcPr>
            <w:tcW w:w="0" w:type="auto"/>
            <w:tcBorders>
              <w:top w:val="nil"/>
              <w:left w:val="nil"/>
              <w:bottom w:val="nil"/>
              <w:right w:val="nil"/>
            </w:tcBorders>
            <w:shd w:val="clear" w:color="auto" w:fill="auto"/>
            <w:noWrap/>
            <w:vAlign w:val="bottom"/>
            <w:hideMark/>
          </w:tcPr>
          <w:p w:rsidR="006565B3" w:rsidRPr="006565B3" w:rsidRDefault="006565B3" w:rsidP="006565B3">
            <w:pPr>
              <w:rPr>
                <w:rFonts w:ascii="Calibri" w:hAnsi="Calibri" w:cs="Calibri"/>
                <w:color w:val="000000"/>
              </w:rPr>
            </w:pPr>
            <w:r w:rsidRPr="006565B3">
              <w:rPr>
                <w:rFonts w:ascii="Calibri" w:hAnsi="Calibri" w:cs="Calibri"/>
                <w:color w:val="000000"/>
              </w:rPr>
              <w:t>Uninsured x 2015</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0.0687</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0.0203</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0.0628***</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-1.150</w:t>
            </w:r>
          </w:p>
        </w:tc>
      </w:tr>
      <w:tr w:rsidR="006565B3" w:rsidRPr="006565B3" w:rsidTr="006565B3">
        <w:trPr>
          <w:trHeight w:val="310"/>
        </w:trPr>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(0.0771)</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(0.0470)</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(0.0220)</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(1.0618)</w:t>
            </w:r>
          </w:p>
        </w:tc>
      </w:tr>
      <w:tr w:rsidR="006565B3" w:rsidRPr="006565B3" w:rsidTr="006565B3">
        <w:trPr>
          <w:trHeight w:val="310"/>
        </w:trPr>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6565B3" w:rsidRPr="006565B3" w:rsidRDefault="006565B3" w:rsidP="006565B3">
            <w:pPr>
              <w:rPr>
                <w:sz w:val="20"/>
                <w:szCs w:val="20"/>
              </w:rPr>
            </w:pP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sz w:val="20"/>
                <w:szCs w:val="20"/>
              </w:rPr>
            </w:pP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sz w:val="20"/>
                <w:szCs w:val="20"/>
              </w:rPr>
            </w:pP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sz w:val="20"/>
                <w:szCs w:val="20"/>
              </w:rPr>
            </w:pPr>
          </w:p>
        </w:tc>
      </w:tr>
      <w:tr w:rsidR="006565B3" w:rsidRPr="006565B3" w:rsidTr="006565B3">
        <w:trPr>
          <w:trHeight w:val="310"/>
        </w:trPr>
        <w:tc>
          <w:tcPr>
            <w:tcW w:w="0" w:type="auto"/>
            <w:tcBorders>
              <w:top w:val="nil"/>
              <w:left w:val="nil"/>
              <w:bottom w:val="nil"/>
              <w:right w:val="nil"/>
            </w:tcBorders>
            <w:shd w:val="clear" w:color="auto" w:fill="auto"/>
            <w:noWrap/>
            <w:vAlign w:val="bottom"/>
            <w:hideMark/>
          </w:tcPr>
          <w:p w:rsidR="006565B3" w:rsidRPr="006565B3" w:rsidRDefault="006565B3" w:rsidP="006565B3">
            <w:pPr>
              <w:rPr>
                <w:rFonts w:ascii="Calibri" w:hAnsi="Calibri" w:cs="Calibri"/>
                <w:color w:val="000000"/>
              </w:rPr>
            </w:pPr>
            <w:r w:rsidRPr="006565B3">
              <w:rPr>
                <w:rFonts w:ascii="Calibri" w:hAnsi="Calibri" w:cs="Calibri"/>
                <w:color w:val="000000"/>
              </w:rPr>
              <w:t>Uninsured x 2016</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0.0492</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-0.0241</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0.0602**</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-0.599</w:t>
            </w:r>
          </w:p>
        </w:tc>
      </w:tr>
      <w:tr w:rsidR="006565B3" w:rsidRPr="006565B3" w:rsidTr="006565B3">
        <w:trPr>
          <w:trHeight w:val="310"/>
        </w:trPr>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(0.0685)</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(0.0296)</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(0.0226)</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(0.6245)</w:t>
            </w:r>
          </w:p>
        </w:tc>
      </w:tr>
      <w:tr w:rsidR="006565B3" w:rsidRPr="006565B3" w:rsidTr="006565B3">
        <w:trPr>
          <w:trHeight w:val="310"/>
        </w:trPr>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6565B3" w:rsidRPr="006565B3" w:rsidRDefault="006565B3" w:rsidP="006565B3">
            <w:pPr>
              <w:rPr>
                <w:sz w:val="20"/>
                <w:szCs w:val="20"/>
              </w:rPr>
            </w:pP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sz w:val="20"/>
                <w:szCs w:val="20"/>
              </w:rPr>
            </w:pP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sz w:val="20"/>
                <w:szCs w:val="20"/>
              </w:rPr>
            </w:pP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sz w:val="20"/>
                <w:szCs w:val="20"/>
              </w:rPr>
            </w:pPr>
          </w:p>
        </w:tc>
      </w:tr>
      <w:tr w:rsidR="006565B3" w:rsidRPr="006565B3" w:rsidTr="006565B3">
        <w:trPr>
          <w:trHeight w:val="310"/>
        </w:trPr>
        <w:tc>
          <w:tcPr>
            <w:tcW w:w="0" w:type="auto"/>
            <w:tcBorders>
              <w:top w:val="nil"/>
              <w:left w:val="nil"/>
              <w:bottom w:val="nil"/>
              <w:right w:val="nil"/>
            </w:tcBorders>
            <w:shd w:val="clear" w:color="auto" w:fill="auto"/>
            <w:noWrap/>
            <w:vAlign w:val="bottom"/>
            <w:hideMark/>
          </w:tcPr>
          <w:p w:rsidR="006565B3" w:rsidRPr="006565B3" w:rsidRDefault="006565B3" w:rsidP="006565B3">
            <w:pPr>
              <w:rPr>
                <w:rFonts w:ascii="Calibri" w:hAnsi="Calibri" w:cs="Calibri"/>
                <w:color w:val="000000"/>
              </w:rPr>
            </w:pPr>
            <w:r w:rsidRPr="006565B3">
              <w:rPr>
                <w:rFonts w:ascii="Calibri" w:hAnsi="Calibri" w:cs="Calibri"/>
                <w:color w:val="000000"/>
              </w:rPr>
              <w:t>Medicaid x Uninsured x 2011</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-0.0518</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-0.0621</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-0.0120</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2.113*</w:t>
            </w:r>
          </w:p>
        </w:tc>
      </w:tr>
      <w:tr w:rsidR="006565B3" w:rsidRPr="006565B3" w:rsidTr="006565B3">
        <w:trPr>
          <w:trHeight w:val="310"/>
        </w:trPr>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(0.0869)</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(0.0587)</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(0.0273)</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(1.1050)</w:t>
            </w:r>
          </w:p>
        </w:tc>
      </w:tr>
      <w:tr w:rsidR="006565B3" w:rsidRPr="006565B3" w:rsidTr="006565B3">
        <w:trPr>
          <w:trHeight w:val="310"/>
        </w:trPr>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6565B3" w:rsidRPr="006565B3" w:rsidRDefault="006565B3" w:rsidP="006565B3">
            <w:pPr>
              <w:rPr>
                <w:sz w:val="20"/>
                <w:szCs w:val="20"/>
              </w:rPr>
            </w:pP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sz w:val="20"/>
                <w:szCs w:val="20"/>
              </w:rPr>
            </w:pP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sz w:val="20"/>
                <w:szCs w:val="20"/>
              </w:rPr>
            </w:pP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sz w:val="20"/>
                <w:szCs w:val="20"/>
              </w:rPr>
            </w:pPr>
          </w:p>
        </w:tc>
      </w:tr>
      <w:tr w:rsidR="006565B3" w:rsidRPr="006565B3" w:rsidTr="006565B3">
        <w:trPr>
          <w:trHeight w:val="310"/>
        </w:trPr>
        <w:tc>
          <w:tcPr>
            <w:tcW w:w="0" w:type="auto"/>
            <w:tcBorders>
              <w:top w:val="nil"/>
              <w:left w:val="nil"/>
              <w:bottom w:val="nil"/>
              <w:right w:val="nil"/>
            </w:tcBorders>
            <w:shd w:val="clear" w:color="auto" w:fill="auto"/>
            <w:noWrap/>
            <w:vAlign w:val="bottom"/>
            <w:hideMark/>
          </w:tcPr>
          <w:p w:rsidR="006565B3" w:rsidRPr="006565B3" w:rsidRDefault="006565B3" w:rsidP="006565B3">
            <w:pPr>
              <w:rPr>
                <w:rFonts w:ascii="Calibri" w:hAnsi="Calibri" w:cs="Calibri"/>
                <w:color w:val="000000"/>
              </w:rPr>
            </w:pPr>
            <w:r w:rsidRPr="006565B3">
              <w:rPr>
                <w:rFonts w:ascii="Calibri" w:hAnsi="Calibri" w:cs="Calibri"/>
                <w:color w:val="000000"/>
              </w:rPr>
              <w:t>Medicaid x Uninsured x 2012</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0.0530</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-0.00619</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-0.0215</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1.957</w:t>
            </w:r>
          </w:p>
        </w:tc>
      </w:tr>
      <w:tr w:rsidR="006565B3" w:rsidRPr="006565B3" w:rsidTr="006565B3">
        <w:trPr>
          <w:trHeight w:val="310"/>
        </w:trPr>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(0.0975)</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(0.0375)</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(0.0285)</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(1.3504)</w:t>
            </w:r>
          </w:p>
        </w:tc>
      </w:tr>
      <w:tr w:rsidR="006565B3" w:rsidRPr="006565B3" w:rsidTr="006565B3">
        <w:trPr>
          <w:trHeight w:val="310"/>
        </w:trPr>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6565B3" w:rsidRPr="006565B3" w:rsidRDefault="006565B3" w:rsidP="006565B3">
            <w:pPr>
              <w:rPr>
                <w:sz w:val="20"/>
                <w:szCs w:val="20"/>
              </w:rPr>
            </w:pP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sz w:val="20"/>
                <w:szCs w:val="20"/>
              </w:rPr>
            </w:pP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sz w:val="20"/>
                <w:szCs w:val="20"/>
              </w:rPr>
            </w:pP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sz w:val="20"/>
                <w:szCs w:val="20"/>
              </w:rPr>
            </w:pPr>
          </w:p>
        </w:tc>
      </w:tr>
      <w:tr w:rsidR="006565B3" w:rsidRPr="006565B3" w:rsidTr="006565B3">
        <w:trPr>
          <w:trHeight w:val="310"/>
        </w:trPr>
        <w:tc>
          <w:tcPr>
            <w:tcW w:w="0" w:type="auto"/>
            <w:tcBorders>
              <w:top w:val="nil"/>
              <w:left w:val="nil"/>
              <w:bottom w:val="nil"/>
              <w:right w:val="nil"/>
            </w:tcBorders>
            <w:shd w:val="clear" w:color="auto" w:fill="auto"/>
            <w:noWrap/>
            <w:vAlign w:val="bottom"/>
            <w:hideMark/>
          </w:tcPr>
          <w:p w:rsidR="006565B3" w:rsidRPr="006565B3" w:rsidRDefault="006565B3" w:rsidP="006565B3">
            <w:pPr>
              <w:rPr>
                <w:rFonts w:ascii="Calibri" w:hAnsi="Calibri" w:cs="Calibri"/>
                <w:color w:val="000000"/>
              </w:rPr>
            </w:pPr>
            <w:r w:rsidRPr="006565B3">
              <w:rPr>
                <w:rFonts w:ascii="Calibri" w:hAnsi="Calibri" w:cs="Calibri"/>
                <w:color w:val="000000"/>
              </w:rPr>
              <w:t>Medicaid x Uninsured x 2014</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-0.0652</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-0.0540</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0.0107</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1.659</w:t>
            </w:r>
          </w:p>
        </w:tc>
      </w:tr>
      <w:tr w:rsidR="006565B3" w:rsidRPr="006565B3" w:rsidTr="006565B3">
        <w:trPr>
          <w:trHeight w:val="310"/>
        </w:trPr>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(0.0725)</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(0.0371)</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(0.0255)</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(1.2204)</w:t>
            </w:r>
          </w:p>
        </w:tc>
      </w:tr>
      <w:tr w:rsidR="006565B3" w:rsidRPr="006565B3" w:rsidTr="006565B3">
        <w:trPr>
          <w:trHeight w:val="310"/>
        </w:trPr>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6565B3" w:rsidRPr="006565B3" w:rsidRDefault="006565B3" w:rsidP="006565B3">
            <w:pPr>
              <w:rPr>
                <w:sz w:val="20"/>
                <w:szCs w:val="20"/>
              </w:rPr>
            </w:pP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sz w:val="20"/>
                <w:szCs w:val="20"/>
              </w:rPr>
            </w:pP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sz w:val="20"/>
                <w:szCs w:val="20"/>
              </w:rPr>
            </w:pP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sz w:val="20"/>
                <w:szCs w:val="20"/>
              </w:rPr>
            </w:pPr>
          </w:p>
        </w:tc>
      </w:tr>
      <w:tr w:rsidR="006565B3" w:rsidRPr="006565B3" w:rsidTr="006565B3">
        <w:trPr>
          <w:trHeight w:val="310"/>
        </w:trPr>
        <w:tc>
          <w:tcPr>
            <w:tcW w:w="0" w:type="auto"/>
            <w:tcBorders>
              <w:top w:val="nil"/>
              <w:left w:val="nil"/>
              <w:bottom w:val="nil"/>
              <w:right w:val="nil"/>
            </w:tcBorders>
            <w:shd w:val="clear" w:color="auto" w:fill="auto"/>
            <w:noWrap/>
            <w:vAlign w:val="bottom"/>
            <w:hideMark/>
          </w:tcPr>
          <w:p w:rsidR="006565B3" w:rsidRPr="006565B3" w:rsidRDefault="006565B3" w:rsidP="006565B3">
            <w:pPr>
              <w:rPr>
                <w:rFonts w:ascii="Calibri" w:hAnsi="Calibri" w:cs="Calibri"/>
                <w:color w:val="000000"/>
              </w:rPr>
            </w:pPr>
            <w:r w:rsidRPr="006565B3">
              <w:rPr>
                <w:rFonts w:ascii="Calibri" w:hAnsi="Calibri" w:cs="Calibri"/>
                <w:color w:val="000000"/>
              </w:rPr>
              <w:t>Medicaid x Uninsured x 2015</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-0.0468</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-0.0305</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0.0000916</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3.095**</w:t>
            </w:r>
          </w:p>
        </w:tc>
      </w:tr>
      <w:tr w:rsidR="006565B3" w:rsidRPr="006565B3" w:rsidTr="006565B3">
        <w:trPr>
          <w:trHeight w:val="310"/>
        </w:trPr>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(0.0840)</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(0.0547)</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(0.0244)</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(1.2123)</w:t>
            </w:r>
          </w:p>
        </w:tc>
      </w:tr>
      <w:tr w:rsidR="006565B3" w:rsidRPr="006565B3" w:rsidTr="006565B3">
        <w:trPr>
          <w:trHeight w:val="310"/>
        </w:trPr>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6565B3" w:rsidRPr="006565B3" w:rsidRDefault="006565B3" w:rsidP="006565B3">
            <w:pPr>
              <w:rPr>
                <w:sz w:val="20"/>
                <w:szCs w:val="20"/>
              </w:rPr>
            </w:pP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sz w:val="20"/>
                <w:szCs w:val="20"/>
              </w:rPr>
            </w:pP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sz w:val="20"/>
                <w:szCs w:val="20"/>
              </w:rPr>
            </w:pP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sz w:val="20"/>
                <w:szCs w:val="20"/>
              </w:rPr>
            </w:pPr>
          </w:p>
        </w:tc>
      </w:tr>
      <w:tr w:rsidR="006565B3" w:rsidRPr="006565B3" w:rsidTr="006565B3">
        <w:trPr>
          <w:trHeight w:val="310"/>
        </w:trPr>
        <w:tc>
          <w:tcPr>
            <w:tcW w:w="0" w:type="auto"/>
            <w:tcBorders>
              <w:top w:val="nil"/>
              <w:left w:val="nil"/>
              <w:bottom w:val="nil"/>
              <w:right w:val="nil"/>
            </w:tcBorders>
            <w:shd w:val="clear" w:color="auto" w:fill="auto"/>
            <w:noWrap/>
            <w:vAlign w:val="bottom"/>
            <w:hideMark/>
          </w:tcPr>
          <w:p w:rsidR="006565B3" w:rsidRPr="006565B3" w:rsidRDefault="006565B3" w:rsidP="006565B3">
            <w:pPr>
              <w:rPr>
                <w:rFonts w:ascii="Calibri" w:hAnsi="Calibri" w:cs="Calibri"/>
                <w:color w:val="000000"/>
              </w:rPr>
            </w:pPr>
            <w:r w:rsidRPr="006565B3">
              <w:rPr>
                <w:rFonts w:ascii="Calibri" w:hAnsi="Calibri" w:cs="Calibri"/>
                <w:color w:val="000000"/>
              </w:rPr>
              <w:t>Medicaid x Uninsured x 2016</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-0.149*</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0.00414</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-0.00635</w:t>
            </w:r>
          </w:p>
        </w:tc>
        <w:tc>
          <w:tcPr>
            <w:tcW w:w="0" w:type="auto"/>
            <w:tcBorders>
              <w:top w:val="nil"/>
              <w:left w:val="nil"/>
              <w:bottom w:val="nil"/>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2.352**</w:t>
            </w:r>
          </w:p>
        </w:tc>
      </w:tr>
      <w:tr w:rsidR="006565B3" w:rsidRPr="006565B3" w:rsidTr="006565B3">
        <w:trPr>
          <w:trHeight w:val="310"/>
        </w:trPr>
        <w:tc>
          <w:tcPr>
            <w:tcW w:w="0" w:type="auto"/>
            <w:tcBorders>
              <w:top w:val="nil"/>
              <w:left w:val="nil"/>
              <w:bottom w:val="single" w:sz="4" w:space="0" w:color="auto"/>
              <w:right w:val="nil"/>
            </w:tcBorders>
            <w:shd w:val="clear" w:color="auto" w:fill="auto"/>
            <w:noWrap/>
            <w:vAlign w:val="bottom"/>
            <w:hideMark/>
          </w:tcPr>
          <w:p w:rsidR="006565B3" w:rsidRPr="006565B3" w:rsidRDefault="006565B3" w:rsidP="006565B3">
            <w:pPr>
              <w:rPr>
                <w:rFonts w:ascii="Calibri" w:hAnsi="Calibri" w:cs="Calibri"/>
                <w:color w:val="000000"/>
              </w:rPr>
            </w:pPr>
            <w:r w:rsidRPr="006565B3">
              <w:rPr>
                <w:rFonts w:ascii="Calibri" w:hAnsi="Calibri" w:cs="Calibri"/>
                <w:color w:val="000000"/>
              </w:rPr>
              <w:t> </w:t>
            </w:r>
          </w:p>
        </w:tc>
        <w:tc>
          <w:tcPr>
            <w:tcW w:w="0" w:type="auto"/>
            <w:tcBorders>
              <w:top w:val="nil"/>
              <w:left w:val="nil"/>
              <w:bottom w:val="single" w:sz="4" w:space="0" w:color="auto"/>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(0.0852)</w:t>
            </w:r>
          </w:p>
        </w:tc>
        <w:tc>
          <w:tcPr>
            <w:tcW w:w="0" w:type="auto"/>
            <w:tcBorders>
              <w:top w:val="nil"/>
              <w:left w:val="nil"/>
              <w:bottom w:val="single" w:sz="4" w:space="0" w:color="auto"/>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(0.0526)</w:t>
            </w:r>
          </w:p>
        </w:tc>
        <w:tc>
          <w:tcPr>
            <w:tcW w:w="0" w:type="auto"/>
            <w:tcBorders>
              <w:top w:val="nil"/>
              <w:left w:val="nil"/>
              <w:bottom w:val="single" w:sz="4" w:space="0" w:color="auto"/>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(0.0283)</w:t>
            </w:r>
          </w:p>
        </w:tc>
        <w:tc>
          <w:tcPr>
            <w:tcW w:w="0" w:type="auto"/>
            <w:tcBorders>
              <w:top w:val="nil"/>
              <w:left w:val="nil"/>
              <w:bottom w:val="single" w:sz="4" w:space="0" w:color="auto"/>
              <w:right w:val="nil"/>
            </w:tcBorders>
            <w:shd w:val="clear" w:color="auto" w:fill="auto"/>
            <w:noWrap/>
            <w:vAlign w:val="bottom"/>
            <w:hideMark/>
          </w:tcPr>
          <w:p w:rsidR="006565B3" w:rsidRPr="006565B3" w:rsidRDefault="006565B3" w:rsidP="006565B3">
            <w:pPr>
              <w:jc w:val="center"/>
              <w:rPr>
                <w:rFonts w:ascii="Calibri" w:hAnsi="Calibri" w:cs="Calibri"/>
                <w:color w:val="000000"/>
              </w:rPr>
            </w:pPr>
            <w:r w:rsidRPr="006565B3">
              <w:rPr>
                <w:rFonts w:ascii="Calibri" w:hAnsi="Calibri" w:cs="Calibri"/>
                <w:color w:val="000000"/>
              </w:rPr>
              <w:t>(1.0604)</w:t>
            </w:r>
          </w:p>
        </w:tc>
      </w:tr>
    </w:tbl>
    <w:p w:rsidR="005D7130" w:rsidRDefault="007B2B8F" w:rsidP="00482A31">
      <w:pPr>
        <w:spacing w:line="276" w:lineRule="auto"/>
        <w:rPr>
          <w:color w:val="FF0000"/>
        </w:rPr>
      </w:pPr>
      <w:r w:rsidRPr="005A43BD">
        <w:rPr>
          <w:i/>
          <w:sz w:val="16"/>
          <w:szCs w:val="16"/>
        </w:rPr>
        <w:t xml:space="preserve">Notes: </w:t>
      </w:r>
      <w:r>
        <w:rPr>
          <w:sz w:val="16"/>
          <w:szCs w:val="16"/>
        </w:rPr>
        <w:t>Standard errors, heteroskedasticity-robust and clustered at the state level, are in parentheses. *** Denotes statistical significance at 1 percent level, ** Denotes statistical significance at 5 percent level,</w:t>
      </w:r>
      <w:r w:rsidRPr="005A43BD">
        <w:rPr>
          <w:sz w:val="16"/>
          <w:szCs w:val="16"/>
        </w:rPr>
        <w:t xml:space="preserve"> </w:t>
      </w:r>
      <w:r>
        <w:rPr>
          <w:sz w:val="16"/>
          <w:szCs w:val="16"/>
        </w:rPr>
        <w:t>* Denotes statistical significance at 10 percent level</w:t>
      </w:r>
    </w:p>
    <w:p w:rsidR="006565B3" w:rsidRDefault="006565B3">
      <w:pPr>
        <w:spacing w:after="160" w:line="259" w:lineRule="auto"/>
        <w:rPr>
          <w:color w:val="FF0000"/>
        </w:rPr>
      </w:pPr>
      <w:r>
        <w:rPr>
          <w:color w:val="FF0000"/>
        </w:rPr>
        <w:br w:type="page"/>
      </w:r>
    </w:p>
    <w:tbl>
      <w:tblPr>
        <w:tblW w:w="0" w:type="auto"/>
        <w:tblLook w:val="04A0" w:firstRow="1" w:lastRow="0" w:firstColumn="1" w:lastColumn="0" w:noHBand="0" w:noVBand="1"/>
      </w:tblPr>
      <w:tblGrid>
        <w:gridCol w:w="3042"/>
        <w:gridCol w:w="1104"/>
        <w:gridCol w:w="2224"/>
        <w:gridCol w:w="1198"/>
        <w:gridCol w:w="1792"/>
      </w:tblGrid>
      <w:tr w:rsidR="00506ACD" w:rsidRPr="00506ACD" w:rsidTr="00506ACD">
        <w:trPr>
          <w:trHeight w:val="310"/>
        </w:trPr>
        <w:tc>
          <w:tcPr>
            <w:tcW w:w="0" w:type="auto"/>
            <w:gridSpan w:val="5"/>
            <w:tcBorders>
              <w:top w:val="nil"/>
              <w:left w:val="nil"/>
              <w:bottom w:val="single" w:sz="4" w:space="0" w:color="auto"/>
              <w:right w:val="nil"/>
            </w:tcBorders>
            <w:shd w:val="clear" w:color="auto" w:fill="auto"/>
            <w:noWrap/>
            <w:vAlign w:val="bottom"/>
            <w:hideMark/>
          </w:tcPr>
          <w:p w:rsidR="00506ACD" w:rsidRPr="00506ACD" w:rsidRDefault="00506ACD" w:rsidP="00506ACD">
            <w:pPr>
              <w:jc w:val="center"/>
              <w:rPr>
                <w:rFonts w:ascii="Calibri" w:hAnsi="Calibri" w:cs="Calibri"/>
                <w:b/>
                <w:bCs/>
                <w:color w:val="000000"/>
                <w:u w:val="single"/>
              </w:rPr>
            </w:pPr>
            <w:r w:rsidRPr="00506ACD">
              <w:rPr>
                <w:rFonts w:ascii="Calibri" w:hAnsi="Calibri" w:cs="Calibri"/>
                <w:b/>
                <w:bCs/>
                <w:color w:val="000000"/>
                <w:u w:val="single"/>
              </w:rPr>
              <w:lastRenderedPageBreak/>
              <w:t>Table A8: Non-Whites DiDiD Event Study</w:t>
            </w:r>
          </w:p>
        </w:tc>
      </w:tr>
      <w:tr w:rsidR="00506ACD" w:rsidRPr="00506ACD" w:rsidTr="00506ACD">
        <w:trPr>
          <w:trHeight w:val="620"/>
        </w:trPr>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b/>
                <w:bCs/>
                <w:color w:val="000000"/>
                <w:u w:val="single"/>
              </w:rPr>
            </w:pPr>
          </w:p>
        </w:tc>
        <w:tc>
          <w:tcPr>
            <w:tcW w:w="0" w:type="auto"/>
            <w:tcBorders>
              <w:top w:val="nil"/>
              <w:left w:val="nil"/>
              <w:bottom w:val="single" w:sz="4" w:space="0" w:color="auto"/>
              <w:right w:val="nil"/>
            </w:tcBorders>
            <w:shd w:val="clear" w:color="auto" w:fill="auto"/>
            <w:vAlign w:val="bottom"/>
            <w:hideMark/>
          </w:tcPr>
          <w:p w:rsidR="00506ACD" w:rsidRPr="00506ACD" w:rsidRDefault="00506ACD" w:rsidP="00506ACD">
            <w:pPr>
              <w:jc w:val="center"/>
              <w:rPr>
                <w:rFonts w:ascii="Calibri" w:hAnsi="Calibri" w:cs="Calibri"/>
                <w:color w:val="000000"/>
              </w:rPr>
            </w:pPr>
            <w:proofErr w:type="gramStart"/>
            <w:r w:rsidRPr="00506ACD">
              <w:rPr>
                <w:rFonts w:ascii="Calibri" w:hAnsi="Calibri" w:cs="Calibri"/>
                <w:color w:val="000000"/>
              </w:rPr>
              <w:t>ln(</w:t>
            </w:r>
            <w:proofErr w:type="gramEnd"/>
            <w:r w:rsidRPr="00506ACD">
              <w:rPr>
                <w:rFonts w:ascii="Calibri" w:hAnsi="Calibri" w:cs="Calibri"/>
                <w:color w:val="000000"/>
              </w:rPr>
              <w:t>Wage)</w:t>
            </w:r>
          </w:p>
        </w:tc>
        <w:tc>
          <w:tcPr>
            <w:tcW w:w="0" w:type="auto"/>
            <w:tcBorders>
              <w:top w:val="nil"/>
              <w:left w:val="nil"/>
              <w:bottom w:val="single" w:sz="4" w:space="0" w:color="auto"/>
              <w:right w:val="nil"/>
            </w:tcBorders>
            <w:shd w:val="clear" w:color="auto" w:fill="auto"/>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Labor Force Participation</w:t>
            </w:r>
          </w:p>
        </w:tc>
        <w:tc>
          <w:tcPr>
            <w:tcW w:w="0" w:type="auto"/>
            <w:tcBorders>
              <w:top w:val="nil"/>
              <w:left w:val="nil"/>
              <w:bottom w:val="single" w:sz="4" w:space="0" w:color="auto"/>
              <w:right w:val="nil"/>
            </w:tcBorders>
            <w:shd w:val="clear" w:color="auto" w:fill="auto"/>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Employed</w:t>
            </w:r>
          </w:p>
        </w:tc>
        <w:tc>
          <w:tcPr>
            <w:tcW w:w="0" w:type="auto"/>
            <w:tcBorders>
              <w:top w:val="nil"/>
              <w:left w:val="nil"/>
              <w:bottom w:val="single" w:sz="4" w:space="0" w:color="auto"/>
              <w:right w:val="nil"/>
            </w:tcBorders>
            <w:shd w:val="clear" w:color="auto" w:fill="auto"/>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Usual Hours Worked</w:t>
            </w: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rPr>
                <w:rFonts w:ascii="Calibri" w:hAnsi="Calibri" w:cs="Calibri"/>
                <w:color w:val="000000"/>
              </w:rPr>
            </w:pPr>
            <w:r w:rsidRPr="00506ACD">
              <w:rPr>
                <w:rFonts w:ascii="Calibri" w:hAnsi="Calibri" w:cs="Calibri"/>
                <w:color w:val="000000"/>
              </w:rPr>
              <w:t>Uninsured x 2011</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0.0577</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0.0163</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-0.0597</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-3.469</w:t>
            </w: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(0.0939)</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(0.0489)</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(0.0389)</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(2.4236)</w:t>
            </w: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rPr>
                <w:sz w:val="20"/>
                <w:szCs w:val="2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sz w:val="20"/>
                <w:szCs w:val="2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sz w:val="20"/>
                <w:szCs w:val="2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sz w:val="20"/>
                <w:szCs w:val="20"/>
              </w:rPr>
            </w:pP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rPr>
                <w:rFonts w:ascii="Calibri" w:hAnsi="Calibri" w:cs="Calibri"/>
                <w:color w:val="000000"/>
              </w:rPr>
            </w:pPr>
            <w:r w:rsidRPr="00506ACD">
              <w:rPr>
                <w:rFonts w:ascii="Calibri" w:hAnsi="Calibri" w:cs="Calibri"/>
                <w:color w:val="000000"/>
              </w:rPr>
              <w:t>Uninsured x 2012</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0.00225</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0.00565</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-0.0501**</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-2.390</w:t>
            </w: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(0.1033)</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(0.0377)</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(0.0207)</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(1.6677)</w:t>
            </w: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rPr>
                <w:sz w:val="20"/>
                <w:szCs w:val="2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sz w:val="20"/>
                <w:szCs w:val="2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sz w:val="20"/>
                <w:szCs w:val="2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sz w:val="20"/>
                <w:szCs w:val="20"/>
              </w:rPr>
            </w:pP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rPr>
                <w:rFonts w:ascii="Calibri" w:hAnsi="Calibri" w:cs="Calibri"/>
                <w:color w:val="000000"/>
              </w:rPr>
            </w:pPr>
            <w:r w:rsidRPr="00506ACD">
              <w:rPr>
                <w:rFonts w:ascii="Calibri" w:hAnsi="Calibri" w:cs="Calibri"/>
                <w:color w:val="000000"/>
              </w:rPr>
              <w:t>Uninsured x 2014</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0.0599</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-0.0109</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-0.00189</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-0.753</w:t>
            </w: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(0.1185)</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(0.0578)</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(0.0223)</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(1.5286)</w:t>
            </w: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rPr>
                <w:sz w:val="20"/>
                <w:szCs w:val="2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sz w:val="20"/>
                <w:szCs w:val="2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sz w:val="20"/>
                <w:szCs w:val="2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sz w:val="20"/>
                <w:szCs w:val="20"/>
              </w:rPr>
            </w:pP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rPr>
                <w:rFonts w:ascii="Calibri" w:hAnsi="Calibri" w:cs="Calibri"/>
                <w:color w:val="000000"/>
              </w:rPr>
            </w:pPr>
            <w:r w:rsidRPr="00506ACD">
              <w:rPr>
                <w:rFonts w:ascii="Calibri" w:hAnsi="Calibri" w:cs="Calibri"/>
                <w:color w:val="000000"/>
              </w:rPr>
              <w:t>Uninsured x 2015</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0.193</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-0.0123</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0.0195</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-0.536</w:t>
            </w: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(0.1220)</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(0.0564)</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(0.0288)</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(1.7374)</w:t>
            </w: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rPr>
                <w:sz w:val="20"/>
                <w:szCs w:val="2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sz w:val="20"/>
                <w:szCs w:val="2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sz w:val="20"/>
                <w:szCs w:val="2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sz w:val="20"/>
                <w:szCs w:val="20"/>
              </w:rPr>
            </w:pP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rPr>
                <w:rFonts w:ascii="Calibri" w:hAnsi="Calibri" w:cs="Calibri"/>
                <w:color w:val="000000"/>
              </w:rPr>
            </w:pPr>
            <w:r w:rsidRPr="00506ACD">
              <w:rPr>
                <w:rFonts w:ascii="Calibri" w:hAnsi="Calibri" w:cs="Calibri"/>
                <w:color w:val="000000"/>
              </w:rPr>
              <w:t>Uninsured x 2016</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-0.0134</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0.0267</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0.0105</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-0.482</w:t>
            </w: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(0.0468)</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(0.0334)</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(0.0244)</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(1.5675)</w:t>
            </w: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rPr>
                <w:sz w:val="20"/>
                <w:szCs w:val="2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sz w:val="20"/>
                <w:szCs w:val="2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sz w:val="20"/>
                <w:szCs w:val="2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sz w:val="20"/>
                <w:szCs w:val="20"/>
              </w:rPr>
            </w:pP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rPr>
                <w:rFonts w:ascii="Calibri" w:hAnsi="Calibri" w:cs="Calibri"/>
                <w:color w:val="000000"/>
              </w:rPr>
            </w:pPr>
            <w:r w:rsidRPr="00506ACD">
              <w:rPr>
                <w:rFonts w:ascii="Calibri" w:hAnsi="Calibri" w:cs="Calibri"/>
                <w:color w:val="000000"/>
              </w:rPr>
              <w:t>Medicaid x Uninsured x 2011</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0.0462</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0.00747</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0.0913*</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4.374*</w:t>
            </w: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(0.1235)</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(0.0616)</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(0.0509)</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(2.5530)</w:t>
            </w: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rPr>
                <w:sz w:val="20"/>
                <w:szCs w:val="2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sz w:val="20"/>
                <w:szCs w:val="2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sz w:val="20"/>
                <w:szCs w:val="2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sz w:val="20"/>
                <w:szCs w:val="20"/>
              </w:rPr>
            </w:pP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rPr>
                <w:rFonts w:ascii="Calibri" w:hAnsi="Calibri" w:cs="Calibri"/>
                <w:color w:val="000000"/>
              </w:rPr>
            </w:pPr>
            <w:r w:rsidRPr="00506ACD">
              <w:rPr>
                <w:rFonts w:ascii="Calibri" w:hAnsi="Calibri" w:cs="Calibri"/>
                <w:color w:val="000000"/>
              </w:rPr>
              <w:t>Medicaid x Uninsured x 2012</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0.0163</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0.00764</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0.0600</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3.519*</w:t>
            </w: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(0.1216)</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(0.0431)</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(0.0403)</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(1.7714)</w:t>
            </w: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rPr>
                <w:sz w:val="20"/>
                <w:szCs w:val="2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sz w:val="20"/>
                <w:szCs w:val="2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sz w:val="20"/>
                <w:szCs w:val="2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sz w:val="20"/>
                <w:szCs w:val="20"/>
              </w:rPr>
            </w:pP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rPr>
                <w:rFonts w:ascii="Calibri" w:hAnsi="Calibri" w:cs="Calibri"/>
                <w:color w:val="000000"/>
              </w:rPr>
            </w:pPr>
            <w:r w:rsidRPr="00506ACD">
              <w:rPr>
                <w:rFonts w:ascii="Calibri" w:hAnsi="Calibri" w:cs="Calibri"/>
                <w:color w:val="000000"/>
              </w:rPr>
              <w:t>Medicaid x Uninsured x 2014</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0.0257</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0.0218</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0.0603</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3.199</w:t>
            </w: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(0.1318)</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(0.0612)</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(0.0369)</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(2.0001)</w:t>
            </w: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rPr>
                <w:sz w:val="20"/>
                <w:szCs w:val="2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sz w:val="20"/>
                <w:szCs w:val="2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sz w:val="20"/>
                <w:szCs w:val="2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sz w:val="20"/>
                <w:szCs w:val="20"/>
              </w:rPr>
            </w:pP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rPr>
                <w:rFonts w:ascii="Calibri" w:hAnsi="Calibri" w:cs="Calibri"/>
                <w:color w:val="000000"/>
              </w:rPr>
            </w:pPr>
            <w:r w:rsidRPr="00506ACD">
              <w:rPr>
                <w:rFonts w:ascii="Calibri" w:hAnsi="Calibri" w:cs="Calibri"/>
                <w:color w:val="000000"/>
              </w:rPr>
              <w:t>Medicaid x Uninsured x 2015</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-0.167</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0.0185</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0.0387</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1.316</w:t>
            </w: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(0.1488)</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(0.0664)</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(0.0418)</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(1.9513)</w:t>
            </w: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rPr>
                <w:sz w:val="20"/>
                <w:szCs w:val="2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sz w:val="20"/>
                <w:szCs w:val="2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sz w:val="20"/>
                <w:szCs w:val="2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sz w:val="20"/>
                <w:szCs w:val="20"/>
              </w:rPr>
            </w:pP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rPr>
                <w:rFonts w:ascii="Calibri" w:hAnsi="Calibri" w:cs="Calibri"/>
                <w:color w:val="000000"/>
              </w:rPr>
            </w:pPr>
            <w:r w:rsidRPr="00506ACD">
              <w:rPr>
                <w:rFonts w:ascii="Calibri" w:hAnsi="Calibri" w:cs="Calibri"/>
                <w:color w:val="000000"/>
              </w:rPr>
              <w:t>Medicaid x Uninsured x 2016</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-0.0127</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0.00830</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0.0592</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1.658</w:t>
            </w:r>
          </w:p>
        </w:tc>
      </w:tr>
      <w:tr w:rsidR="00506ACD" w:rsidRPr="00506ACD" w:rsidTr="00506ACD">
        <w:trPr>
          <w:trHeight w:val="310"/>
        </w:trPr>
        <w:tc>
          <w:tcPr>
            <w:tcW w:w="0" w:type="auto"/>
            <w:tcBorders>
              <w:top w:val="nil"/>
              <w:left w:val="nil"/>
              <w:bottom w:val="single" w:sz="4" w:space="0" w:color="auto"/>
              <w:right w:val="nil"/>
            </w:tcBorders>
            <w:shd w:val="clear" w:color="auto" w:fill="auto"/>
            <w:noWrap/>
            <w:vAlign w:val="bottom"/>
            <w:hideMark/>
          </w:tcPr>
          <w:p w:rsidR="00506ACD" w:rsidRPr="00506ACD" w:rsidRDefault="00506ACD" w:rsidP="00506ACD">
            <w:pPr>
              <w:rPr>
                <w:rFonts w:ascii="Calibri" w:hAnsi="Calibri" w:cs="Calibri"/>
                <w:color w:val="000000"/>
              </w:rPr>
            </w:pPr>
            <w:r w:rsidRPr="00506ACD">
              <w:rPr>
                <w:rFonts w:ascii="Calibri" w:hAnsi="Calibri" w:cs="Calibri"/>
                <w:color w:val="000000"/>
              </w:rPr>
              <w:t> </w:t>
            </w:r>
          </w:p>
        </w:tc>
        <w:tc>
          <w:tcPr>
            <w:tcW w:w="0" w:type="auto"/>
            <w:tcBorders>
              <w:top w:val="nil"/>
              <w:left w:val="nil"/>
              <w:bottom w:val="single" w:sz="4" w:space="0" w:color="auto"/>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(0.0995)</w:t>
            </w:r>
          </w:p>
        </w:tc>
        <w:tc>
          <w:tcPr>
            <w:tcW w:w="0" w:type="auto"/>
            <w:tcBorders>
              <w:top w:val="nil"/>
              <w:left w:val="nil"/>
              <w:bottom w:val="single" w:sz="4" w:space="0" w:color="auto"/>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(0.0546)</w:t>
            </w:r>
          </w:p>
        </w:tc>
        <w:tc>
          <w:tcPr>
            <w:tcW w:w="0" w:type="auto"/>
            <w:tcBorders>
              <w:top w:val="nil"/>
              <w:left w:val="nil"/>
              <w:bottom w:val="single" w:sz="4" w:space="0" w:color="auto"/>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(0.0396)</w:t>
            </w:r>
          </w:p>
        </w:tc>
        <w:tc>
          <w:tcPr>
            <w:tcW w:w="0" w:type="auto"/>
            <w:tcBorders>
              <w:top w:val="nil"/>
              <w:left w:val="nil"/>
              <w:bottom w:val="single" w:sz="4" w:space="0" w:color="auto"/>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(1.9483)</w:t>
            </w:r>
          </w:p>
        </w:tc>
      </w:tr>
    </w:tbl>
    <w:p w:rsidR="006565B3" w:rsidRDefault="007B2B8F" w:rsidP="00482A31">
      <w:pPr>
        <w:spacing w:line="276" w:lineRule="auto"/>
        <w:rPr>
          <w:color w:val="FF0000"/>
        </w:rPr>
      </w:pPr>
      <w:r w:rsidRPr="005A43BD">
        <w:rPr>
          <w:i/>
          <w:sz w:val="16"/>
          <w:szCs w:val="16"/>
        </w:rPr>
        <w:t xml:space="preserve">Notes: </w:t>
      </w:r>
      <w:r>
        <w:rPr>
          <w:sz w:val="16"/>
          <w:szCs w:val="16"/>
        </w:rPr>
        <w:t>Standard errors, heteroskedasticity-robust and clustered at the state level, are in parentheses. *** Denotes statistical significance at 1 percent level, ** Denotes statistical significance at 5 percent level,</w:t>
      </w:r>
      <w:r w:rsidRPr="005A43BD">
        <w:rPr>
          <w:sz w:val="16"/>
          <w:szCs w:val="16"/>
        </w:rPr>
        <w:t xml:space="preserve"> </w:t>
      </w:r>
      <w:r>
        <w:rPr>
          <w:sz w:val="16"/>
          <w:szCs w:val="16"/>
        </w:rPr>
        <w:t>* Denotes statistical significance at 10 percent level</w:t>
      </w:r>
    </w:p>
    <w:p w:rsidR="00506ACD" w:rsidRDefault="00506ACD">
      <w:pPr>
        <w:spacing w:after="160" w:line="259" w:lineRule="auto"/>
        <w:rPr>
          <w:color w:val="FF0000"/>
        </w:rPr>
      </w:pPr>
      <w:r>
        <w:rPr>
          <w:color w:val="FF0000"/>
        </w:rPr>
        <w:br w:type="page"/>
      </w:r>
    </w:p>
    <w:tbl>
      <w:tblPr>
        <w:tblW w:w="0" w:type="auto"/>
        <w:tblLook w:val="04A0" w:firstRow="1" w:lastRow="0" w:firstColumn="1" w:lastColumn="0" w:noHBand="0" w:noVBand="1"/>
      </w:tblPr>
      <w:tblGrid>
        <w:gridCol w:w="3042"/>
        <w:gridCol w:w="1104"/>
        <w:gridCol w:w="2183"/>
        <w:gridCol w:w="1244"/>
        <w:gridCol w:w="1787"/>
      </w:tblGrid>
      <w:tr w:rsidR="00506ACD" w:rsidRPr="00506ACD" w:rsidTr="00506ACD">
        <w:trPr>
          <w:trHeight w:val="310"/>
        </w:trPr>
        <w:tc>
          <w:tcPr>
            <w:tcW w:w="0" w:type="auto"/>
            <w:gridSpan w:val="5"/>
            <w:tcBorders>
              <w:top w:val="nil"/>
              <w:left w:val="nil"/>
              <w:bottom w:val="single" w:sz="4" w:space="0" w:color="auto"/>
              <w:right w:val="nil"/>
            </w:tcBorders>
            <w:shd w:val="clear" w:color="auto" w:fill="auto"/>
            <w:noWrap/>
            <w:vAlign w:val="bottom"/>
            <w:hideMark/>
          </w:tcPr>
          <w:p w:rsidR="00506ACD" w:rsidRPr="00506ACD" w:rsidRDefault="00506ACD" w:rsidP="00506ACD">
            <w:pPr>
              <w:jc w:val="center"/>
              <w:rPr>
                <w:rFonts w:ascii="Calibri" w:hAnsi="Calibri" w:cs="Calibri"/>
                <w:b/>
                <w:bCs/>
                <w:color w:val="000000"/>
                <w:u w:val="single"/>
              </w:rPr>
            </w:pPr>
            <w:r w:rsidRPr="00506ACD">
              <w:rPr>
                <w:rFonts w:ascii="Calibri" w:hAnsi="Calibri" w:cs="Calibri"/>
                <w:b/>
                <w:bCs/>
                <w:color w:val="000000"/>
                <w:u w:val="single"/>
              </w:rPr>
              <w:lastRenderedPageBreak/>
              <w:t>Table A9: Whites DiDiD Event Study</w:t>
            </w:r>
          </w:p>
        </w:tc>
      </w:tr>
      <w:tr w:rsidR="00506ACD" w:rsidRPr="00506ACD" w:rsidTr="00506ACD">
        <w:trPr>
          <w:trHeight w:val="620"/>
        </w:trPr>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b/>
                <w:bCs/>
                <w:color w:val="000000"/>
                <w:u w:val="single"/>
              </w:rPr>
            </w:pPr>
          </w:p>
        </w:tc>
        <w:tc>
          <w:tcPr>
            <w:tcW w:w="0" w:type="auto"/>
            <w:tcBorders>
              <w:top w:val="nil"/>
              <w:left w:val="nil"/>
              <w:bottom w:val="single" w:sz="4" w:space="0" w:color="auto"/>
              <w:right w:val="nil"/>
            </w:tcBorders>
            <w:shd w:val="clear" w:color="auto" w:fill="auto"/>
            <w:vAlign w:val="bottom"/>
            <w:hideMark/>
          </w:tcPr>
          <w:p w:rsidR="00506ACD" w:rsidRPr="00506ACD" w:rsidRDefault="00506ACD" w:rsidP="00506ACD">
            <w:pPr>
              <w:jc w:val="center"/>
              <w:rPr>
                <w:rFonts w:ascii="Calibri" w:hAnsi="Calibri" w:cs="Calibri"/>
                <w:color w:val="000000"/>
              </w:rPr>
            </w:pPr>
            <w:proofErr w:type="gramStart"/>
            <w:r w:rsidRPr="00506ACD">
              <w:rPr>
                <w:rFonts w:ascii="Calibri" w:hAnsi="Calibri" w:cs="Calibri"/>
                <w:color w:val="000000"/>
              </w:rPr>
              <w:t>ln(</w:t>
            </w:r>
            <w:proofErr w:type="gramEnd"/>
            <w:r w:rsidRPr="00506ACD">
              <w:rPr>
                <w:rFonts w:ascii="Calibri" w:hAnsi="Calibri" w:cs="Calibri"/>
                <w:color w:val="000000"/>
              </w:rPr>
              <w:t>Wage)</w:t>
            </w:r>
          </w:p>
        </w:tc>
        <w:tc>
          <w:tcPr>
            <w:tcW w:w="0" w:type="auto"/>
            <w:tcBorders>
              <w:top w:val="nil"/>
              <w:left w:val="nil"/>
              <w:bottom w:val="single" w:sz="4" w:space="0" w:color="auto"/>
              <w:right w:val="nil"/>
            </w:tcBorders>
            <w:shd w:val="clear" w:color="auto" w:fill="auto"/>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Labor Force Participation</w:t>
            </w:r>
          </w:p>
        </w:tc>
        <w:tc>
          <w:tcPr>
            <w:tcW w:w="0" w:type="auto"/>
            <w:tcBorders>
              <w:top w:val="nil"/>
              <w:left w:val="nil"/>
              <w:bottom w:val="single" w:sz="4" w:space="0" w:color="auto"/>
              <w:right w:val="nil"/>
            </w:tcBorders>
            <w:shd w:val="clear" w:color="auto" w:fill="auto"/>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Employed</w:t>
            </w:r>
          </w:p>
        </w:tc>
        <w:tc>
          <w:tcPr>
            <w:tcW w:w="0" w:type="auto"/>
            <w:tcBorders>
              <w:top w:val="nil"/>
              <w:left w:val="nil"/>
              <w:bottom w:val="single" w:sz="4" w:space="0" w:color="auto"/>
              <w:right w:val="nil"/>
            </w:tcBorders>
            <w:shd w:val="clear" w:color="auto" w:fill="auto"/>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Usual Hours Worked</w:t>
            </w: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rPr>
                <w:rFonts w:ascii="Calibri" w:hAnsi="Calibri" w:cs="Calibri"/>
                <w:color w:val="000000"/>
              </w:rPr>
            </w:pPr>
            <w:r w:rsidRPr="00506ACD">
              <w:rPr>
                <w:rFonts w:ascii="Calibri" w:hAnsi="Calibri" w:cs="Calibri"/>
                <w:color w:val="000000"/>
              </w:rPr>
              <w:t>Uninsured x 2011</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0.0379</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-0.0533**</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0.0361*</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1.023</w:t>
            </w: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(0.0932)</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(0.0226)</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(0.0212)</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(1.2153)</w:t>
            </w: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rPr>
                <w:sz w:val="20"/>
                <w:szCs w:val="2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sz w:val="20"/>
                <w:szCs w:val="2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sz w:val="20"/>
                <w:szCs w:val="2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sz w:val="20"/>
                <w:szCs w:val="20"/>
              </w:rPr>
            </w:pP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rPr>
                <w:rFonts w:ascii="Calibri" w:hAnsi="Calibri" w:cs="Calibri"/>
                <w:color w:val="000000"/>
              </w:rPr>
            </w:pPr>
            <w:r w:rsidRPr="00506ACD">
              <w:rPr>
                <w:rFonts w:ascii="Calibri" w:hAnsi="Calibri" w:cs="Calibri"/>
                <w:color w:val="000000"/>
              </w:rPr>
              <w:t>Uninsured x 2012</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-0.0403</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-0.0209</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0.0103</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1.687</w:t>
            </w: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(0.0630)</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(0.0231)</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(0.0316)</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(1.7930)</w:t>
            </w: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rPr>
                <w:sz w:val="20"/>
                <w:szCs w:val="2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sz w:val="20"/>
                <w:szCs w:val="2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sz w:val="20"/>
                <w:szCs w:val="2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sz w:val="20"/>
                <w:szCs w:val="20"/>
              </w:rPr>
            </w:pP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rPr>
                <w:rFonts w:ascii="Calibri" w:hAnsi="Calibri" w:cs="Calibri"/>
                <w:color w:val="000000"/>
              </w:rPr>
            </w:pPr>
            <w:r w:rsidRPr="00506ACD">
              <w:rPr>
                <w:rFonts w:ascii="Calibri" w:hAnsi="Calibri" w:cs="Calibri"/>
                <w:color w:val="000000"/>
              </w:rPr>
              <w:t>Uninsured x 2014</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0.0115</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-0.0578**</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0.0461</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-0.0230</w:t>
            </w: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(0.0656)</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(0.0236)</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(0.0280)</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(0.6948)</w:t>
            </w: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rPr>
                <w:sz w:val="20"/>
                <w:szCs w:val="2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sz w:val="20"/>
                <w:szCs w:val="2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sz w:val="20"/>
                <w:szCs w:val="2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sz w:val="20"/>
                <w:szCs w:val="20"/>
              </w:rPr>
            </w:pP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rPr>
                <w:rFonts w:ascii="Calibri" w:hAnsi="Calibri" w:cs="Calibri"/>
                <w:color w:val="000000"/>
              </w:rPr>
            </w:pPr>
            <w:r w:rsidRPr="00506ACD">
              <w:rPr>
                <w:rFonts w:ascii="Calibri" w:hAnsi="Calibri" w:cs="Calibri"/>
                <w:color w:val="000000"/>
              </w:rPr>
              <w:t>Uninsured x 2015</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-0.113</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-0.0167</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0.0435*</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2.211***</w:t>
            </w: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(0.1054)</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(0.0305)</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(0.0223)</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(0.7053)</w:t>
            </w: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rPr>
                <w:sz w:val="20"/>
                <w:szCs w:val="2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sz w:val="20"/>
                <w:szCs w:val="2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sz w:val="20"/>
                <w:szCs w:val="2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sz w:val="20"/>
                <w:szCs w:val="20"/>
              </w:rPr>
            </w:pP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rPr>
                <w:rFonts w:ascii="Calibri" w:hAnsi="Calibri" w:cs="Calibri"/>
                <w:color w:val="000000"/>
              </w:rPr>
            </w:pPr>
            <w:r w:rsidRPr="00506ACD">
              <w:rPr>
                <w:rFonts w:ascii="Calibri" w:hAnsi="Calibri" w:cs="Calibri"/>
                <w:color w:val="000000"/>
              </w:rPr>
              <w:t>Uninsured x 2016</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-0.0614</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-0.0409*</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0.0582***</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0.568</w:t>
            </w: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(0.0922)</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(0.0236)</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(0.0170)</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(0.9672)</w:t>
            </w: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rPr>
                <w:sz w:val="20"/>
                <w:szCs w:val="2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sz w:val="20"/>
                <w:szCs w:val="2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sz w:val="20"/>
                <w:szCs w:val="2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sz w:val="20"/>
                <w:szCs w:val="20"/>
              </w:rPr>
            </w:pP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rPr>
                <w:rFonts w:ascii="Calibri" w:hAnsi="Calibri" w:cs="Calibri"/>
                <w:color w:val="000000"/>
              </w:rPr>
            </w:pPr>
            <w:r w:rsidRPr="00506ACD">
              <w:rPr>
                <w:rFonts w:ascii="Calibri" w:hAnsi="Calibri" w:cs="Calibri"/>
                <w:color w:val="000000"/>
              </w:rPr>
              <w:t>Medicaid x Uninsured x 2011</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0.0554</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0.0112</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-0.0185</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-3.089</w:t>
            </w: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(0.1177)</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(0.0520)</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(0.0326)</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(2.1561)</w:t>
            </w: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rPr>
                <w:sz w:val="20"/>
                <w:szCs w:val="2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sz w:val="20"/>
                <w:szCs w:val="2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sz w:val="20"/>
                <w:szCs w:val="2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sz w:val="20"/>
                <w:szCs w:val="20"/>
              </w:rPr>
            </w:pP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rPr>
                <w:rFonts w:ascii="Calibri" w:hAnsi="Calibri" w:cs="Calibri"/>
                <w:color w:val="000000"/>
              </w:rPr>
            </w:pPr>
            <w:r w:rsidRPr="00506ACD">
              <w:rPr>
                <w:rFonts w:ascii="Calibri" w:hAnsi="Calibri" w:cs="Calibri"/>
                <w:color w:val="000000"/>
              </w:rPr>
              <w:t>Medicaid x Uninsured x 2012</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0.00587</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0.0324</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-0.0505</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-2.223</w:t>
            </w: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(0.0729)</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(0.0414)</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(0.0385)</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(2.5156)</w:t>
            </w: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rPr>
                <w:sz w:val="20"/>
                <w:szCs w:val="2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sz w:val="20"/>
                <w:szCs w:val="2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sz w:val="20"/>
                <w:szCs w:val="2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sz w:val="20"/>
                <w:szCs w:val="20"/>
              </w:rPr>
            </w:pP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rPr>
                <w:rFonts w:ascii="Calibri" w:hAnsi="Calibri" w:cs="Calibri"/>
                <w:color w:val="000000"/>
              </w:rPr>
            </w:pPr>
            <w:r w:rsidRPr="00506ACD">
              <w:rPr>
                <w:rFonts w:ascii="Calibri" w:hAnsi="Calibri" w:cs="Calibri"/>
                <w:color w:val="000000"/>
              </w:rPr>
              <w:t>Medicaid x Uninsured x 2014</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-0.0219</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0.0110</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-0.0800**</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-0.240</w:t>
            </w: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(0.0848)</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(0.0369)</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(0.0357)</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(1.9548)</w:t>
            </w: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rPr>
                <w:sz w:val="20"/>
                <w:szCs w:val="2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sz w:val="20"/>
                <w:szCs w:val="2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sz w:val="20"/>
                <w:szCs w:val="2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sz w:val="20"/>
                <w:szCs w:val="20"/>
              </w:rPr>
            </w:pP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rPr>
                <w:rFonts w:ascii="Calibri" w:hAnsi="Calibri" w:cs="Calibri"/>
                <w:color w:val="000000"/>
              </w:rPr>
            </w:pPr>
            <w:r w:rsidRPr="00506ACD">
              <w:rPr>
                <w:rFonts w:ascii="Calibri" w:hAnsi="Calibri" w:cs="Calibri"/>
                <w:color w:val="000000"/>
              </w:rPr>
              <w:t>Medicaid x Uninsured x 2015</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0.258**</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0.0146</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-0.0326</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-2.031*</w:t>
            </w: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(0.1173)</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(0.0476)</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(0.0302)</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(1.1392)</w:t>
            </w: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rPr>
                <w:sz w:val="20"/>
                <w:szCs w:val="2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sz w:val="20"/>
                <w:szCs w:val="2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sz w:val="20"/>
                <w:szCs w:val="20"/>
              </w:rPr>
            </w:pP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sz w:val="20"/>
                <w:szCs w:val="20"/>
              </w:rPr>
            </w:pPr>
          </w:p>
        </w:tc>
      </w:tr>
      <w:tr w:rsidR="00506ACD" w:rsidRPr="00506ACD" w:rsidTr="00506ACD">
        <w:trPr>
          <w:trHeight w:val="310"/>
        </w:trPr>
        <w:tc>
          <w:tcPr>
            <w:tcW w:w="0" w:type="auto"/>
            <w:tcBorders>
              <w:top w:val="nil"/>
              <w:left w:val="nil"/>
              <w:bottom w:val="nil"/>
              <w:right w:val="nil"/>
            </w:tcBorders>
            <w:shd w:val="clear" w:color="auto" w:fill="auto"/>
            <w:noWrap/>
            <w:vAlign w:val="bottom"/>
            <w:hideMark/>
          </w:tcPr>
          <w:p w:rsidR="00506ACD" w:rsidRPr="00506ACD" w:rsidRDefault="00506ACD" w:rsidP="00506ACD">
            <w:pPr>
              <w:rPr>
                <w:rFonts w:ascii="Calibri" w:hAnsi="Calibri" w:cs="Calibri"/>
                <w:color w:val="000000"/>
              </w:rPr>
            </w:pPr>
            <w:r w:rsidRPr="00506ACD">
              <w:rPr>
                <w:rFonts w:ascii="Calibri" w:hAnsi="Calibri" w:cs="Calibri"/>
                <w:color w:val="000000"/>
              </w:rPr>
              <w:t>Medicaid x Uninsured x 2016</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0.0810</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-0.0134</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-0.0489</w:t>
            </w:r>
          </w:p>
        </w:tc>
        <w:tc>
          <w:tcPr>
            <w:tcW w:w="0" w:type="auto"/>
            <w:tcBorders>
              <w:top w:val="nil"/>
              <w:left w:val="nil"/>
              <w:bottom w:val="nil"/>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-2.034*</w:t>
            </w:r>
          </w:p>
        </w:tc>
      </w:tr>
      <w:tr w:rsidR="00506ACD" w:rsidRPr="00506ACD" w:rsidTr="00506ACD">
        <w:trPr>
          <w:trHeight w:val="310"/>
        </w:trPr>
        <w:tc>
          <w:tcPr>
            <w:tcW w:w="0" w:type="auto"/>
            <w:tcBorders>
              <w:top w:val="nil"/>
              <w:left w:val="nil"/>
              <w:bottom w:val="single" w:sz="4" w:space="0" w:color="auto"/>
              <w:right w:val="nil"/>
            </w:tcBorders>
            <w:shd w:val="clear" w:color="auto" w:fill="auto"/>
            <w:noWrap/>
            <w:vAlign w:val="bottom"/>
            <w:hideMark/>
          </w:tcPr>
          <w:p w:rsidR="00506ACD" w:rsidRPr="00506ACD" w:rsidRDefault="00506ACD" w:rsidP="00506ACD">
            <w:pPr>
              <w:rPr>
                <w:rFonts w:ascii="Calibri" w:hAnsi="Calibri" w:cs="Calibri"/>
                <w:color w:val="000000"/>
              </w:rPr>
            </w:pPr>
            <w:r w:rsidRPr="00506ACD">
              <w:rPr>
                <w:rFonts w:ascii="Calibri" w:hAnsi="Calibri" w:cs="Calibri"/>
                <w:color w:val="000000"/>
              </w:rPr>
              <w:t> </w:t>
            </w:r>
          </w:p>
        </w:tc>
        <w:tc>
          <w:tcPr>
            <w:tcW w:w="0" w:type="auto"/>
            <w:tcBorders>
              <w:top w:val="nil"/>
              <w:left w:val="nil"/>
              <w:bottom w:val="single" w:sz="4" w:space="0" w:color="auto"/>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(0.1022)</w:t>
            </w:r>
          </w:p>
        </w:tc>
        <w:tc>
          <w:tcPr>
            <w:tcW w:w="0" w:type="auto"/>
            <w:tcBorders>
              <w:top w:val="nil"/>
              <w:left w:val="nil"/>
              <w:bottom w:val="single" w:sz="4" w:space="0" w:color="auto"/>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(0.0332)</w:t>
            </w:r>
          </w:p>
        </w:tc>
        <w:tc>
          <w:tcPr>
            <w:tcW w:w="0" w:type="auto"/>
            <w:tcBorders>
              <w:top w:val="nil"/>
              <w:left w:val="nil"/>
              <w:bottom w:val="single" w:sz="4" w:space="0" w:color="auto"/>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(0.0423)</w:t>
            </w:r>
          </w:p>
        </w:tc>
        <w:tc>
          <w:tcPr>
            <w:tcW w:w="0" w:type="auto"/>
            <w:tcBorders>
              <w:top w:val="nil"/>
              <w:left w:val="nil"/>
              <w:bottom w:val="single" w:sz="4" w:space="0" w:color="auto"/>
              <w:right w:val="nil"/>
            </w:tcBorders>
            <w:shd w:val="clear" w:color="auto" w:fill="auto"/>
            <w:noWrap/>
            <w:vAlign w:val="bottom"/>
            <w:hideMark/>
          </w:tcPr>
          <w:p w:rsidR="00506ACD" w:rsidRPr="00506ACD" w:rsidRDefault="00506ACD" w:rsidP="00506ACD">
            <w:pPr>
              <w:jc w:val="center"/>
              <w:rPr>
                <w:rFonts w:ascii="Calibri" w:hAnsi="Calibri" w:cs="Calibri"/>
                <w:color w:val="000000"/>
              </w:rPr>
            </w:pPr>
            <w:r w:rsidRPr="00506ACD">
              <w:rPr>
                <w:rFonts w:ascii="Calibri" w:hAnsi="Calibri" w:cs="Calibri"/>
                <w:color w:val="000000"/>
              </w:rPr>
              <w:t>(1.1668)</w:t>
            </w:r>
          </w:p>
        </w:tc>
      </w:tr>
    </w:tbl>
    <w:p w:rsidR="00506ACD" w:rsidRDefault="007B2B8F" w:rsidP="00482A31">
      <w:pPr>
        <w:spacing w:line="276" w:lineRule="auto"/>
        <w:rPr>
          <w:color w:val="FF0000"/>
        </w:rPr>
      </w:pPr>
      <w:r w:rsidRPr="005A43BD">
        <w:rPr>
          <w:i/>
          <w:sz w:val="16"/>
          <w:szCs w:val="16"/>
        </w:rPr>
        <w:t xml:space="preserve">Notes: </w:t>
      </w:r>
      <w:r>
        <w:rPr>
          <w:sz w:val="16"/>
          <w:szCs w:val="16"/>
        </w:rPr>
        <w:t>Standard errors, heteroskedasticity-robust and clustered at the state level, are in parentheses. *** Denotes statistical significance at 1 percent level, ** Denotes statistical significance at 5 percent level,</w:t>
      </w:r>
      <w:r w:rsidRPr="005A43BD">
        <w:rPr>
          <w:sz w:val="16"/>
          <w:szCs w:val="16"/>
        </w:rPr>
        <w:t xml:space="preserve"> </w:t>
      </w:r>
      <w:r>
        <w:rPr>
          <w:sz w:val="16"/>
          <w:szCs w:val="16"/>
        </w:rPr>
        <w:t>* Denotes statistical significance at 10 percent level</w:t>
      </w:r>
    </w:p>
    <w:p w:rsidR="00506ACD" w:rsidRDefault="00506ACD">
      <w:pPr>
        <w:spacing w:after="160" w:line="259" w:lineRule="auto"/>
        <w:rPr>
          <w:color w:val="FF0000"/>
        </w:rPr>
      </w:pPr>
      <w:r>
        <w:rPr>
          <w:color w:val="FF0000"/>
        </w:rPr>
        <w:br w:type="page"/>
      </w:r>
    </w:p>
    <w:tbl>
      <w:tblPr>
        <w:tblW w:w="0" w:type="auto"/>
        <w:tblLook w:val="04A0" w:firstRow="1" w:lastRow="0" w:firstColumn="1" w:lastColumn="0" w:noHBand="0" w:noVBand="1"/>
      </w:tblPr>
      <w:tblGrid>
        <w:gridCol w:w="3042"/>
        <w:gridCol w:w="1196"/>
        <w:gridCol w:w="1993"/>
        <w:gridCol w:w="1567"/>
        <w:gridCol w:w="1562"/>
      </w:tblGrid>
      <w:tr w:rsidR="005A36C2" w:rsidTr="005A36C2">
        <w:trPr>
          <w:trHeight w:val="290"/>
        </w:trPr>
        <w:tc>
          <w:tcPr>
            <w:tcW w:w="0" w:type="auto"/>
            <w:gridSpan w:val="5"/>
            <w:tcBorders>
              <w:top w:val="nil"/>
              <w:left w:val="nil"/>
              <w:bottom w:val="single" w:sz="4" w:space="0" w:color="auto"/>
              <w:right w:val="nil"/>
            </w:tcBorders>
            <w:shd w:val="clear" w:color="auto" w:fill="auto"/>
            <w:noWrap/>
            <w:vAlign w:val="bottom"/>
            <w:hideMark/>
          </w:tcPr>
          <w:p w:rsidR="005A36C2" w:rsidRDefault="005A36C2">
            <w:pPr>
              <w:jc w:val="center"/>
              <w:rPr>
                <w:rFonts w:ascii="Calibri" w:hAnsi="Calibri" w:cs="Calibri"/>
                <w:b/>
                <w:bCs/>
                <w:color w:val="000000"/>
                <w:sz w:val="22"/>
                <w:szCs w:val="22"/>
                <w:u w:val="single"/>
              </w:rPr>
            </w:pPr>
            <w:r>
              <w:rPr>
                <w:rFonts w:ascii="Calibri" w:hAnsi="Calibri" w:cs="Calibri"/>
                <w:b/>
                <w:bCs/>
                <w:color w:val="000000"/>
                <w:sz w:val="22"/>
                <w:szCs w:val="22"/>
                <w:u w:val="single"/>
              </w:rPr>
              <w:lastRenderedPageBreak/>
              <w:t>Table A10: Seniors - DiDiD Event Study</w:t>
            </w:r>
          </w:p>
        </w:tc>
      </w:tr>
      <w:tr w:rsidR="005A36C2" w:rsidTr="005A36C2">
        <w:trPr>
          <w:trHeight w:val="600"/>
        </w:trPr>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b/>
                <w:bCs/>
                <w:color w:val="000000"/>
                <w:sz w:val="22"/>
                <w:szCs w:val="22"/>
                <w:u w:val="single"/>
              </w:rPr>
            </w:pPr>
          </w:p>
        </w:tc>
        <w:tc>
          <w:tcPr>
            <w:tcW w:w="0" w:type="auto"/>
            <w:tcBorders>
              <w:top w:val="nil"/>
              <w:left w:val="nil"/>
              <w:bottom w:val="single" w:sz="4" w:space="0" w:color="auto"/>
              <w:right w:val="nil"/>
            </w:tcBorders>
            <w:shd w:val="clear" w:color="auto" w:fill="auto"/>
            <w:noWrap/>
            <w:vAlign w:val="bottom"/>
            <w:hideMark/>
          </w:tcPr>
          <w:p w:rsidR="005A36C2" w:rsidRDefault="005A36C2">
            <w:pPr>
              <w:jc w:val="center"/>
              <w:rPr>
                <w:rFonts w:ascii="Calibri" w:hAnsi="Calibri" w:cs="Calibri"/>
                <w:color w:val="000000"/>
              </w:rPr>
            </w:pPr>
            <w:proofErr w:type="gramStart"/>
            <w:r>
              <w:rPr>
                <w:rFonts w:ascii="Calibri" w:hAnsi="Calibri" w:cs="Calibri"/>
                <w:color w:val="000000"/>
              </w:rPr>
              <w:t>ln(</w:t>
            </w:r>
            <w:proofErr w:type="gramEnd"/>
            <w:r>
              <w:rPr>
                <w:rFonts w:ascii="Calibri" w:hAnsi="Calibri" w:cs="Calibri"/>
                <w:color w:val="000000"/>
              </w:rPr>
              <w:t>Wage)</w:t>
            </w:r>
          </w:p>
        </w:tc>
        <w:tc>
          <w:tcPr>
            <w:tcW w:w="0" w:type="auto"/>
            <w:tcBorders>
              <w:top w:val="nil"/>
              <w:left w:val="nil"/>
              <w:bottom w:val="single" w:sz="4" w:space="0" w:color="auto"/>
              <w:right w:val="nil"/>
            </w:tcBorders>
            <w:shd w:val="clear" w:color="auto" w:fill="auto"/>
            <w:vAlign w:val="bottom"/>
            <w:hideMark/>
          </w:tcPr>
          <w:p w:rsidR="005A36C2" w:rsidRDefault="005A36C2">
            <w:pPr>
              <w:jc w:val="center"/>
              <w:rPr>
                <w:rFonts w:ascii="Calibri" w:hAnsi="Calibri" w:cs="Calibri"/>
                <w:color w:val="000000"/>
              </w:rPr>
            </w:pPr>
            <w:r>
              <w:rPr>
                <w:rFonts w:ascii="Calibri" w:hAnsi="Calibri" w:cs="Calibri"/>
                <w:color w:val="000000"/>
              </w:rPr>
              <w:t>Labor Force Participation</w:t>
            </w:r>
          </w:p>
        </w:tc>
        <w:tc>
          <w:tcPr>
            <w:tcW w:w="0" w:type="auto"/>
            <w:tcBorders>
              <w:top w:val="nil"/>
              <w:left w:val="nil"/>
              <w:bottom w:val="single" w:sz="4" w:space="0" w:color="auto"/>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Employed</w:t>
            </w:r>
          </w:p>
        </w:tc>
        <w:tc>
          <w:tcPr>
            <w:tcW w:w="0" w:type="auto"/>
            <w:tcBorders>
              <w:top w:val="nil"/>
              <w:left w:val="nil"/>
              <w:bottom w:val="single" w:sz="4" w:space="0" w:color="auto"/>
              <w:right w:val="nil"/>
            </w:tcBorders>
            <w:shd w:val="clear" w:color="auto" w:fill="auto"/>
            <w:vAlign w:val="bottom"/>
            <w:hideMark/>
          </w:tcPr>
          <w:p w:rsidR="005A36C2" w:rsidRDefault="005A36C2">
            <w:pPr>
              <w:jc w:val="center"/>
              <w:rPr>
                <w:rFonts w:ascii="Calibri" w:hAnsi="Calibri" w:cs="Calibri"/>
                <w:color w:val="000000"/>
              </w:rPr>
            </w:pPr>
            <w:r>
              <w:rPr>
                <w:rFonts w:ascii="Calibri" w:hAnsi="Calibri" w:cs="Calibri"/>
                <w:color w:val="000000"/>
              </w:rPr>
              <w:t>Usual Hours Worked</w:t>
            </w:r>
          </w:p>
        </w:tc>
      </w:tr>
      <w:tr w:rsidR="005A36C2" w:rsidTr="005A36C2">
        <w:trPr>
          <w:trHeight w:val="310"/>
        </w:trPr>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A36C2" w:rsidRDefault="005A36C2">
            <w:pPr>
              <w:rPr>
                <w:sz w:val="20"/>
                <w:szCs w:val="20"/>
              </w:rPr>
            </w:pPr>
          </w:p>
        </w:tc>
        <w:tc>
          <w:tcPr>
            <w:tcW w:w="0" w:type="auto"/>
            <w:tcBorders>
              <w:top w:val="nil"/>
              <w:left w:val="nil"/>
              <w:bottom w:val="nil"/>
              <w:right w:val="nil"/>
            </w:tcBorders>
            <w:shd w:val="clear" w:color="auto" w:fill="auto"/>
            <w:noWrap/>
            <w:vAlign w:val="bottom"/>
            <w:hideMark/>
          </w:tcPr>
          <w:p w:rsidR="005A36C2" w:rsidRDefault="005A36C2">
            <w:pPr>
              <w:jc w:val="center"/>
              <w:rPr>
                <w:sz w:val="20"/>
                <w:szCs w:val="20"/>
              </w:rPr>
            </w:pPr>
          </w:p>
        </w:tc>
        <w:tc>
          <w:tcPr>
            <w:tcW w:w="0" w:type="auto"/>
            <w:tcBorders>
              <w:top w:val="nil"/>
              <w:left w:val="nil"/>
              <w:bottom w:val="nil"/>
              <w:right w:val="nil"/>
            </w:tcBorders>
            <w:shd w:val="clear" w:color="auto" w:fill="auto"/>
            <w:noWrap/>
            <w:vAlign w:val="bottom"/>
            <w:hideMark/>
          </w:tcPr>
          <w:p w:rsidR="005A36C2" w:rsidRDefault="005A36C2">
            <w:pPr>
              <w:jc w:val="center"/>
              <w:rPr>
                <w:sz w:val="20"/>
                <w:szCs w:val="20"/>
              </w:rPr>
            </w:pPr>
          </w:p>
        </w:tc>
        <w:tc>
          <w:tcPr>
            <w:tcW w:w="0" w:type="auto"/>
            <w:tcBorders>
              <w:top w:val="nil"/>
              <w:left w:val="nil"/>
              <w:bottom w:val="nil"/>
              <w:right w:val="nil"/>
            </w:tcBorders>
            <w:shd w:val="clear" w:color="auto" w:fill="auto"/>
            <w:noWrap/>
            <w:vAlign w:val="bottom"/>
            <w:hideMark/>
          </w:tcPr>
          <w:p w:rsidR="005A36C2" w:rsidRDefault="005A36C2">
            <w:pPr>
              <w:jc w:val="center"/>
              <w:rPr>
                <w:sz w:val="20"/>
                <w:szCs w:val="20"/>
              </w:rPr>
            </w:pPr>
          </w:p>
        </w:tc>
      </w:tr>
      <w:tr w:rsidR="005A36C2" w:rsidTr="005A36C2">
        <w:trPr>
          <w:trHeight w:val="310"/>
        </w:trPr>
        <w:tc>
          <w:tcPr>
            <w:tcW w:w="0" w:type="auto"/>
            <w:tcBorders>
              <w:top w:val="nil"/>
              <w:left w:val="nil"/>
              <w:bottom w:val="nil"/>
              <w:right w:val="nil"/>
            </w:tcBorders>
            <w:shd w:val="clear" w:color="auto" w:fill="auto"/>
            <w:noWrap/>
            <w:vAlign w:val="bottom"/>
            <w:hideMark/>
          </w:tcPr>
          <w:p w:rsidR="005A36C2" w:rsidRDefault="005A36C2">
            <w:pPr>
              <w:rPr>
                <w:rFonts w:ascii="Calibri" w:hAnsi="Calibri" w:cs="Calibri"/>
                <w:color w:val="000000"/>
              </w:rPr>
            </w:pPr>
            <w:r>
              <w:rPr>
                <w:rFonts w:ascii="Calibri" w:hAnsi="Calibri" w:cs="Calibri"/>
                <w:color w:val="000000"/>
              </w:rPr>
              <w:t>Uninsured x 2011</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-0.445**</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0.0267</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0.0204</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8.687**</w:t>
            </w:r>
          </w:p>
        </w:tc>
      </w:tr>
      <w:tr w:rsidR="005A36C2" w:rsidTr="005A36C2">
        <w:trPr>
          <w:trHeight w:val="310"/>
        </w:trPr>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(0.1800)</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(0.0252)</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(0.0472)</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(3.8692)</w:t>
            </w:r>
          </w:p>
        </w:tc>
      </w:tr>
      <w:tr w:rsidR="005A36C2" w:rsidTr="005A36C2">
        <w:trPr>
          <w:trHeight w:val="310"/>
        </w:trPr>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A36C2" w:rsidRDefault="005A36C2">
            <w:pPr>
              <w:rPr>
                <w:sz w:val="20"/>
                <w:szCs w:val="20"/>
              </w:rPr>
            </w:pPr>
          </w:p>
        </w:tc>
        <w:tc>
          <w:tcPr>
            <w:tcW w:w="0" w:type="auto"/>
            <w:tcBorders>
              <w:top w:val="nil"/>
              <w:left w:val="nil"/>
              <w:bottom w:val="nil"/>
              <w:right w:val="nil"/>
            </w:tcBorders>
            <w:shd w:val="clear" w:color="auto" w:fill="auto"/>
            <w:noWrap/>
            <w:vAlign w:val="bottom"/>
            <w:hideMark/>
          </w:tcPr>
          <w:p w:rsidR="005A36C2" w:rsidRDefault="005A36C2">
            <w:pPr>
              <w:jc w:val="center"/>
              <w:rPr>
                <w:sz w:val="20"/>
                <w:szCs w:val="20"/>
              </w:rPr>
            </w:pPr>
          </w:p>
        </w:tc>
        <w:tc>
          <w:tcPr>
            <w:tcW w:w="0" w:type="auto"/>
            <w:tcBorders>
              <w:top w:val="nil"/>
              <w:left w:val="nil"/>
              <w:bottom w:val="nil"/>
              <w:right w:val="nil"/>
            </w:tcBorders>
            <w:shd w:val="clear" w:color="auto" w:fill="auto"/>
            <w:noWrap/>
            <w:vAlign w:val="bottom"/>
            <w:hideMark/>
          </w:tcPr>
          <w:p w:rsidR="005A36C2" w:rsidRDefault="005A36C2">
            <w:pPr>
              <w:jc w:val="center"/>
              <w:rPr>
                <w:sz w:val="20"/>
                <w:szCs w:val="20"/>
              </w:rPr>
            </w:pPr>
          </w:p>
        </w:tc>
        <w:tc>
          <w:tcPr>
            <w:tcW w:w="0" w:type="auto"/>
            <w:tcBorders>
              <w:top w:val="nil"/>
              <w:left w:val="nil"/>
              <w:bottom w:val="nil"/>
              <w:right w:val="nil"/>
            </w:tcBorders>
            <w:shd w:val="clear" w:color="auto" w:fill="auto"/>
            <w:noWrap/>
            <w:vAlign w:val="bottom"/>
            <w:hideMark/>
          </w:tcPr>
          <w:p w:rsidR="005A36C2" w:rsidRDefault="005A36C2">
            <w:pPr>
              <w:jc w:val="center"/>
              <w:rPr>
                <w:sz w:val="20"/>
                <w:szCs w:val="20"/>
              </w:rPr>
            </w:pPr>
          </w:p>
        </w:tc>
      </w:tr>
      <w:tr w:rsidR="005A36C2" w:rsidTr="005A36C2">
        <w:trPr>
          <w:trHeight w:val="310"/>
        </w:trPr>
        <w:tc>
          <w:tcPr>
            <w:tcW w:w="0" w:type="auto"/>
            <w:tcBorders>
              <w:top w:val="nil"/>
              <w:left w:val="nil"/>
              <w:bottom w:val="nil"/>
              <w:right w:val="nil"/>
            </w:tcBorders>
            <w:shd w:val="clear" w:color="auto" w:fill="auto"/>
            <w:noWrap/>
            <w:vAlign w:val="bottom"/>
            <w:hideMark/>
          </w:tcPr>
          <w:p w:rsidR="005A36C2" w:rsidRDefault="005A36C2">
            <w:pPr>
              <w:rPr>
                <w:rFonts w:ascii="Calibri" w:hAnsi="Calibri" w:cs="Calibri"/>
                <w:color w:val="000000"/>
              </w:rPr>
            </w:pPr>
            <w:r>
              <w:rPr>
                <w:rFonts w:ascii="Calibri" w:hAnsi="Calibri" w:cs="Calibri"/>
                <w:color w:val="000000"/>
              </w:rPr>
              <w:t>Uninsured x 2012</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-0.238</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0.0252</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-0.0402</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2.757</w:t>
            </w:r>
          </w:p>
        </w:tc>
      </w:tr>
      <w:tr w:rsidR="005A36C2" w:rsidTr="005A36C2">
        <w:trPr>
          <w:trHeight w:val="310"/>
        </w:trPr>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(0.2819)</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(0.0400)</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(0.0447)</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(4.9165)</w:t>
            </w:r>
          </w:p>
        </w:tc>
      </w:tr>
      <w:tr w:rsidR="005A36C2" w:rsidTr="005A36C2">
        <w:trPr>
          <w:trHeight w:val="310"/>
        </w:trPr>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A36C2" w:rsidRDefault="005A36C2">
            <w:pPr>
              <w:rPr>
                <w:sz w:val="20"/>
                <w:szCs w:val="20"/>
              </w:rPr>
            </w:pPr>
          </w:p>
        </w:tc>
        <w:tc>
          <w:tcPr>
            <w:tcW w:w="0" w:type="auto"/>
            <w:tcBorders>
              <w:top w:val="nil"/>
              <w:left w:val="nil"/>
              <w:bottom w:val="nil"/>
              <w:right w:val="nil"/>
            </w:tcBorders>
            <w:shd w:val="clear" w:color="auto" w:fill="auto"/>
            <w:noWrap/>
            <w:vAlign w:val="bottom"/>
            <w:hideMark/>
          </w:tcPr>
          <w:p w:rsidR="005A36C2" w:rsidRDefault="005A36C2">
            <w:pPr>
              <w:jc w:val="center"/>
              <w:rPr>
                <w:sz w:val="20"/>
                <w:szCs w:val="20"/>
              </w:rPr>
            </w:pPr>
          </w:p>
        </w:tc>
        <w:tc>
          <w:tcPr>
            <w:tcW w:w="0" w:type="auto"/>
            <w:tcBorders>
              <w:top w:val="nil"/>
              <w:left w:val="nil"/>
              <w:bottom w:val="nil"/>
              <w:right w:val="nil"/>
            </w:tcBorders>
            <w:shd w:val="clear" w:color="auto" w:fill="auto"/>
            <w:noWrap/>
            <w:vAlign w:val="bottom"/>
            <w:hideMark/>
          </w:tcPr>
          <w:p w:rsidR="005A36C2" w:rsidRDefault="005A36C2">
            <w:pPr>
              <w:jc w:val="center"/>
              <w:rPr>
                <w:sz w:val="20"/>
                <w:szCs w:val="20"/>
              </w:rPr>
            </w:pPr>
          </w:p>
        </w:tc>
        <w:tc>
          <w:tcPr>
            <w:tcW w:w="0" w:type="auto"/>
            <w:tcBorders>
              <w:top w:val="nil"/>
              <w:left w:val="nil"/>
              <w:bottom w:val="nil"/>
              <w:right w:val="nil"/>
            </w:tcBorders>
            <w:shd w:val="clear" w:color="auto" w:fill="auto"/>
            <w:noWrap/>
            <w:vAlign w:val="bottom"/>
            <w:hideMark/>
          </w:tcPr>
          <w:p w:rsidR="005A36C2" w:rsidRDefault="005A36C2">
            <w:pPr>
              <w:jc w:val="center"/>
              <w:rPr>
                <w:sz w:val="20"/>
                <w:szCs w:val="20"/>
              </w:rPr>
            </w:pPr>
          </w:p>
        </w:tc>
      </w:tr>
      <w:tr w:rsidR="005A36C2" w:rsidTr="005A36C2">
        <w:trPr>
          <w:trHeight w:val="310"/>
        </w:trPr>
        <w:tc>
          <w:tcPr>
            <w:tcW w:w="0" w:type="auto"/>
            <w:tcBorders>
              <w:top w:val="nil"/>
              <w:left w:val="nil"/>
              <w:bottom w:val="nil"/>
              <w:right w:val="nil"/>
            </w:tcBorders>
            <w:shd w:val="clear" w:color="auto" w:fill="auto"/>
            <w:noWrap/>
            <w:vAlign w:val="bottom"/>
            <w:hideMark/>
          </w:tcPr>
          <w:p w:rsidR="005A36C2" w:rsidRDefault="005A36C2">
            <w:pPr>
              <w:rPr>
                <w:rFonts w:ascii="Calibri" w:hAnsi="Calibri" w:cs="Calibri"/>
                <w:color w:val="000000"/>
              </w:rPr>
            </w:pPr>
            <w:r>
              <w:rPr>
                <w:rFonts w:ascii="Calibri" w:hAnsi="Calibri" w:cs="Calibri"/>
                <w:color w:val="000000"/>
              </w:rPr>
              <w:t>Uninsured x 2014</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-0.456*</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0.0248</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-0.0130</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-0.162</w:t>
            </w:r>
          </w:p>
        </w:tc>
      </w:tr>
      <w:tr w:rsidR="005A36C2" w:rsidTr="005A36C2">
        <w:trPr>
          <w:trHeight w:val="310"/>
        </w:trPr>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(0.2353)</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(0.0231)</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(0.0687)</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(2.8599)</w:t>
            </w:r>
          </w:p>
        </w:tc>
      </w:tr>
      <w:tr w:rsidR="005A36C2" w:rsidTr="005A36C2">
        <w:trPr>
          <w:trHeight w:val="310"/>
        </w:trPr>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A36C2" w:rsidRDefault="005A36C2">
            <w:pPr>
              <w:rPr>
                <w:sz w:val="20"/>
                <w:szCs w:val="20"/>
              </w:rPr>
            </w:pPr>
          </w:p>
        </w:tc>
        <w:tc>
          <w:tcPr>
            <w:tcW w:w="0" w:type="auto"/>
            <w:tcBorders>
              <w:top w:val="nil"/>
              <w:left w:val="nil"/>
              <w:bottom w:val="nil"/>
              <w:right w:val="nil"/>
            </w:tcBorders>
            <w:shd w:val="clear" w:color="auto" w:fill="auto"/>
            <w:noWrap/>
            <w:vAlign w:val="bottom"/>
            <w:hideMark/>
          </w:tcPr>
          <w:p w:rsidR="005A36C2" w:rsidRDefault="005A36C2">
            <w:pPr>
              <w:jc w:val="center"/>
              <w:rPr>
                <w:sz w:val="20"/>
                <w:szCs w:val="20"/>
              </w:rPr>
            </w:pPr>
          </w:p>
        </w:tc>
        <w:tc>
          <w:tcPr>
            <w:tcW w:w="0" w:type="auto"/>
            <w:tcBorders>
              <w:top w:val="nil"/>
              <w:left w:val="nil"/>
              <w:bottom w:val="nil"/>
              <w:right w:val="nil"/>
            </w:tcBorders>
            <w:shd w:val="clear" w:color="auto" w:fill="auto"/>
            <w:noWrap/>
            <w:vAlign w:val="bottom"/>
            <w:hideMark/>
          </w:tcPr>
          <w:p w:rsidR="005A36C2" w:rsidRDefault="005A36C2">
            <w:pPr>
              <w:jc w:val="center"/>
              <w:rPr>
                <w:sz w:val="20"/>
                <w:szCs w:val="20"/>
              </w:rPr>
            </w:pPr>
          </w:p>
        </w:tc>
        <w:tc>
          <w:tcPr>
            <w:tcW w:w="0" w:type="auto"/>
            <w:tcBorders>
              <w:top w:val="nil"/>
              <w:left w:val="nil"/>
              <w:bottom w:val="nil"/>
              <w:right w:val="nil"/>
            </w:tcBorders>
            <w:shd w:val="clear" w:color="auto" w:fill="auto"/>
            <w:noWrap/>
            <w:vAlign w:val="bottom"/>
            <w:hideMark/>
          </w:tcPr>
          <w:p w:rsidR="005A36C2" w:rsidRDefault="005A36C2">
            <w:pPr>
              <w:jc w:val="center"/>
              <w:rPr>
                <w:sz w:val="20"/>
                <w:szCs w:val="20"/>
              </w:rPr>
            </w:pPr>
          </w:p>
        </w:tc>
      </w:tr>
      <w:tr w:rsidR="005A36C2" w:rsidTr="005A36C2">
        <w:trPr>
          <w:trHeight w:val="310"/>
        </w:trPr>
        <w:tc>
          <w:tcPr>
            <w:tcW w:w="0" w:type="auto"/>
            <w:tcBorders>
              <w:top w:val="nil"/>
              <w:left w:val="nil"/>
              <w:bottom w:val="nil"/>
              <w:right w:val="nil"/>
            </w:tcBorders>
            <w:shd w:val="clear" w:color="auto" w:fill="auto"/>
            <w:noWrap/>
            <w:vAlign w:val="bottom"/>
            <w:hideMark/>
          </w:tcPr>
          <w:p w:rsidR="005A36C2" w:rsidRDefault="005A36C2">
            <w:pPr>
              <w:rPr>
                <w:rFonts w:ascii="Calibri" w:hAnsi="Calibri" w:cs="Calibri"/>
                <w:color w:val="000000"/>
              </w:rPr>
            </w:pPr>
            <w:r>
              <w:rPr>
                <w:rFonts w:ascii="Calibri" w:hAnsi="Calibri" w:cs="Calibri"/>
                <w:color w:val="000000"/>
              </w:rPr>
              <w:t>Uninsured x 2015</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-0.369</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0.0178</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0.0811</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5.228</w:t>
            </w:r>
          </w:p>
        </w:tc>
      </w:tr>
      <w:tr w:rsidR="005A36C2" w:rsidTr="005A36C2">
        <w:trPr>
          <w:trHeight w:val="310"/>
        </w:trPr>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(0.2383)</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(0.0303)</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(0.0528)</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(6.1503)</w:t>
            </w:r>
          </w:p>
        </w:tc>
      </w:tr>
      <w:tr w:rsidR="005A36C2" w:rsidTr="005A36C2">
        <w:trPr>
          <w:trHeight w:val="310"/>
        </w:trPr>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A36C2" w:rsidRDefault="005A36C2">
            <w:pPr>
              <w:rPr>
                <w:sz w:val="20"/>
                <w:szCs w:val="20"/>
              </w:rPr>
            </w:pPr>
          </w:p>
        </w:tc>
        <w:tc>
          <w:tcPr>
            <w:tcW w:w="0" w:type="auto"/>
            <w:tcBorders>
              <w:top w:val="nil"/>
              <w:left w:val="nil"/>
              <w:bottom w:val="nil"/>
              <w:right w:val="nil"/>
            </w:tcBorders>
            <w:shd w:val="clear" w:color="auto" w:fill="auto"/>
            <w:noWrap/>
            <w:vAlign w:val="bottom"/>
            <w:hideMark/>
          </w:tcPr>
          <w:p w:rsidR="005A36C2" w:rsidRDefault="005A36C2">
            <w:pPr>
              <w:jc w:val="center"/>
              <w:rPr>
                <w:sz w:val="20"/>
                <w:szCs w:val="20"/>
              </w:rPr>
            </w:pPr>
          </w:p>
        </w:tc>
        <w:tc>
          <w:tcPr>
            <w:tcW w:w="0" w:type="auto"/>
            <w:tcBorders>
              <w:top w:val="nil"/>
              <w:left w:val="nil"/>
              <w:bottom w:val="nil"/>
              <w:right w:val="nil"/>
            </w:tcBorders>
            <w:shd w:val="clear" w:color="auto" w:fill="auto"/>
            <w:noWrap/>
            <w:vAlign w:val="bottom"/>
            <w:hideMark/>
          </w:tcPr>
          <w:p w:rsidR="005A36C2" w:rsidRDefault="005A36C2">
            <w:pPr>
              <w:jc w:val="center"/>
              <w:rPr>
                <w:sz w:val="20"/>
                <w:szCs w:val="20"/>
              </w:rPr>
            </w:pPr>
          </w:p>
        </w:tc>
        <w:tc>
          <w:tcPr>
            <w:tcW w:w="0" w:type="auto"/>
            <w:tcBorders>
              <w:top w:val="nil"/>
              <w:left w:val="nil"/>
              <w:bottom w:val="nil"/>
              <w:right w:val="nil"/>
            </w:tcBorders>
            <w:shd w:val="clear" w:color="auto" w:fill="auto"/>
            <w:noWrap/>
            <w:vAlign w:val="bottom"/>
            <w:hideMark/>
          </w:tcPr>
          <w:p w:rsidR="005A36C2" w:rsidRDefault="005A36C2">
            <w:pPr>
              <w:jc w:val="center"/>
              <w:rPr>
                <w:sz w:val="20"/>
                <w:szCs w:val="20"/>
              </w:rPr>
            </w:pPr>
          </w:p>
        </w:tc>
      </w:tr>
      <w:tr w:rsidR="005A36C2" w:rsidTr="005A36C2">
        <w:trPr>
          <w:trHeight w:val="310"/>
        </w:trPr>
        <w:tc>
          <w:tcPr>
            <w:tcW w:w="0" w:type="auto"/>
            <w:tcBorders>
              <w:top w:val="nil"/>
              <w:left w:val="nil"/>
              <w:bottom w:val="nil"/>
              <w:right w:val="nil"/>
            </w:tcBorders>
            <w:shd w:val="clear" w:color="auto" w:fill="auto"/>
            <w:noWrap/>
            <w:vAlign w:val="bottom"/>
            <w:hideMark/>
          </w:tcPr>
          <w:p w:rsidR="005A36C2" w:rsidRDefault="005A36C2">
            <w:pPr>
              <w:rPr>
                <w:rFonts w:ascii="Calibri" w:hAnsi="Calibri" w:cs="Calibri"/>
                <w:color w:val="000000"/>
              </w:rPr>
            </w:pPr>
            <w:r>
              <w:rPr>
                <w:rFonts w:ascii="Calibri" w:hAnsi="Calibri" w:cs="Calibri"/>
                <w:color w:val="000000"/>
              </w:rPr>
              <w:t>Uninsured x 2016</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-0.621***</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0.0143</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0.0233</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5.444</w:t>
            </w:r>
          </w:p>
        </w:tc>
      </w:tr>
      <w:tr w:rsidR="005A36C2" w:rsidTr="005A36C2">
        <w:trPr>
          <w:trHeight w:val="310"/>
        </w:trPr>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(0.2143)</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(0.0200)</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(0.0619)</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(4.8648)</w:t>
            </w:r>
          </w:p>
        </w:tc>
      </w:tr>
      <w:tr w:rsidR="005A36C2" w:rsidTr="005A36C2">
        <w:trPr>
          <w:trHeight w:val="310"/>
        </w:trPr>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A36C2" w:rsidRDefault="005A36C2">
            <w:pPr>
              <w:rPr>
                <w:sz w:val="20"/>
                <w:szCs w:val="20"/>
              </w:rPr>
            </w:pPr>
          </w:p>
        </w:tc>
        <w:tc>
          <w:tcPr>
            <w:tcW w:w="0" w:type="auto"/>
            <w:tcBorders>
              <w:top w:val="nil"/>
              <w:left w:val="nil"/>
              <w:bottom w:val="nil"/>
              <w:right w:val="nil"/>
            </w:tcBorders>
            <w:shd w:val="clear" w:color="auto" w:fill="auto"/>
            <w:noWrap/>
            <w:vAlign w:val="bottom"/>
            <w:hideMark/>
          </w:tcPr>
          <w:p w:rsidR="005A36C2" w:rsidRDefault="005A36C2">
            <w:pPr>
              <w:jc w:val="center"/>
              <w:rPr>
                <w:sz w:val="20"/>
                <w:szCs w:val="20"/>
              </w:rPr>
            </w:pPr>
          </w:p>
        </w:tc>
        <w:tc>
          <w:tcPr>
            <w:tcW w:w="0" w:type="auto"/>
            <w:tcBorders>
              <w:top w:val="nil"/>
              <w:left w:val="nil"/>
              <w:bottom w:val="nil"/>
              <w:right w:val="nil"/>
            </w:tcBorders>
            <w:shd w:val="clear" w:color="auto" w:fill="auto"/>
            <w:noWrap/>
            <w:vAlign w:val="bottom"/>
            <w:hideMark/>
          </w:tcPr>
          <w:p w:rsidR="005A36C2" w:rsidRDefault="005A36C2">
            <w:pPr>
              <w:jc w:val="center"/>
              <w:rPr>
                <w:sz w:val="20"/>
                <w:szCs w:val="20"/>
              </w:rPr>
            </w:pPr>
          </w:p>
        </w:tc>
        <w:tc>
          <w:tcPr>
            <w:tcW w:w="0" w:type="auto"/>
            <w:tcBorders>
              <w:top w:val="nil"/>
              <w:left w:val="nil"/>
              <w:bottom w:val="nil"/>
              <w:right w:val="nil"/>
            </w:tcBorders>
            <w:shd w:val="clear" w:color="auto" w:fill="auto"/>
            <w:noWrap/>
            <w:vAlign w:val="bottom"/>
            <w:hideMark/>
          </w:tcPr>
          <w:p w:rsidR="005A36C2" w:rsidRDefault="005A36C2">
            <w:pPr>
              <w:jc w:val="center"/>
              <w:rPr>
                <w:sz w:val="20"/>
                <w:szCs w:val="20"/>
              </w:rPr>
            </w:pPr>
          </w:p>
        </w:tc>
      </w:tr>
      <w:tr w:rsidR="005A36C2" w:rsidTr="005A36C2">
        <w:trPr>
          <w:trHeight w:val="310"/>
        </w:trPr>
        <w:tc>
          <w:tcPr>
            <w:tcW w:w="0" w:type="auto"/>
            <w:tcBorders>
              <w:top w:val="nil"/>
              <w:left w:val="nil"/>
              <w:bottom w:val="nil"/>
              <w:right w:val="nil"/>
            </w:tcBorders>
            <w:shd w:val="clear" w:color="auto" w:fill="auto"/>
            <w:noWrap/>
            <w:vAlign w:val="bottom"/>
            <w:hideMark/>
          </w:tcPr>
          <w:p w:rsidR="005A36C2" w:rsidRDefault="005A36C2">
            <w:pPr>
              <w:rPr>
                <w:rFonts w:ascii="Calibri" w:hAnsi="Calibri" w:cs="Calibri"/>
                <w:color w:val="000000"/>
              </w:rPr>
            </w:pPr>
            <w:r>
              <w:rPr>
                <w:rFonts w:ascii="Calibri" w:hAnsi="Calibri" w:cs="Calibri"/>
                <w:color w:val="000000"/>
              </w:rPr>
              <w:t>Medicaid x Uninsured x 2011</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0.639**</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-0.0284</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-0.0876</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-8.085*</w:t>
            </w:r>
          </w:p>
        </w:tc>
      </w:tr>
      <w:tr w:rsidR="005A36C2" w:rsidTr="005A36C2">
        <w:trPr>
          <w:trHeight w:val="310"/>
        </w:trPr>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(0.3117)</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(0.0362)</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(0.0647)</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(4.5627)</w:t>
            </w:r>
          </w:p>
        </w:tc>
      </w:tr>
      <w:tr w:rsidR="005A36C2" w:rsidTr="005A36C2">
        <w:trPr>
          <w:trHeight w:val="310"/>
        </w:trPr>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A36C2" w:rsidRDefault="005A36C2">
            <w:pPr>
              <w:rPr>
                <w:sz w:val="20"/>
                <w:szCs w:val="20"/>
              </w:rPr>
            </w:pPr>
          </w:p>
        </w:tc>
        <w:tc>
          <w:tcPr>
            <w:tcW w:w="0" w:type="auto"/>
            <w:tcBorders>
              <w:top w:val="nil"/>
              <w:left w:val="nil"/>
              <w:bottom w:val="nil"/>
              <w:right w:val="nil"/>
            </w:tcBorders>
            <w:shd w:val="clear" w:color="auto" w:fill="auto"/>
            <w:noWrap/>
            <w:vAlign w:val="bottom"/>
            <w:hideMark/>
          </w:tcPr>
          <w:p w:rsidR="005A36C2" w:rsidRDefault="005A36C2">
            <w:pPr>
              <w:jc w:val="center"/>
              <w:rPr>
                <w:sz w:val="20"/>
                <w:szCs w:val="20"/>
              </w:rPr>
            </w:pPr>
          </w:p>
        </w:tc>
        <w:tc>
          <w:tcPr>
            <w:tcW w:w="0" w:type="auto"/>
            <w:tcBorders>
              <w:top w:val="nil"/>
              <w:left w:val="nil"/>
              <w:bottom w:val="nil"/>
              <w:right w:val="nil"/>
            </w:tcBorders>
            <w:shd w:val="clear" w:color="auto" w:fill="auto"/>
            <w:noWrap/>
            <w:vAlign w:val="bottom"/>
            <w:hideMark/>
          </w:tcPr>
          <w:p w:rsidR="005A36C2" w:rsidRDefault="005A36C2">
            <w:pPr>
              <w:jc w:val="center"/>
              <w:rPr>
                <w:sz w:val="20"/>
                <w:szCs w:val="20"/>
              </w:rPr>
            </w:pPr>
          </w:p>
        </w:tc>
        <w:tc>
          <w:tcPr>
            <w:tcW w:w="0" w:type="auto"/>
            <w:tcBorders>
              <w:top w:val="nil"/>
              <w:left w:val="nil"/>
              <w:bottom w:val="nil"/>
              <w:right w:val="nil"/>
            </w:tcBorders>
            <w:shd w:val="clear" w:color="auto" w:fill="auto"/>
            <w:noWrap/>
            <w:vAlign w:val="bottom"/>
            <w:hideMark/>
          </w:tcPr>
          <w:p w:rsidR="005A36C2" w:rsidRDefault="005A36C2">
            <w:pPr>
              <w:jc w:val="center"/>
              <w:rPr>
                <w:sz w:val="20"/>
                <w:szCs w:val="20"/>
              </w:rPr>
            </w:pPr>
          </w:p>
        </w:tc>
      </w:tr>
      <w:tr w:rsidR="005A36C2" w:rsidTr="005A36C2">
        <w:trPr>
          <w:trHeight w:val="310"/>
        </w:trPr>
        <w:tc>
          <w:tcPr>
            <w:tcW w:w="0" w:type="auto"/>
            <w:tcBorders>
              <w:top w:val="nil"/>
              <w:left w:val="nil"/>
              <w:bottom w:val="nil"/>
              <w:right w:val="nil"/>
            </w:tcBorders>
            <w:shd w:val="clear" w:color="auto" w:fill="auto"/>
            <w:noWrap/>
            <w:vAlign w:val="bottom"/>
            <w:hideMark/>
          </w:tcPr>
          <w:p w:rsidR="005A36C2" w:rsidRDefault="005A36C2">
            <w:pPr>
              <w:rPr>
                <w:rFonts w:ascii="Calibri" w:hAnsi="Calibri" w:cs="Calibri"/>
                <w:color w:val="000000"/>
              </w:rPr>
            </w:pPr>
            <w:r>
              <w:rPr>
                <w:rFonts w:ascii="Calibri" w:hAnsi="Calibri" w:cs="Calibri"/>
                <w:color w:val="000000"/>
              </w:rPr>
              <w:t>Medicaid x Uninsured x 2012</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-0.0346</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-0.0318</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-0.000000538</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-3.000</w:t>
            </w:r>
          </w:p>
        </w:tc>
      </w:tr>
      <w:tr w:rsidR="005A36C2" w:rsidTr="005A36C2">
        <w:trPr>
          <w:trHeight w:val="310"/>
        </w:trPr>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(0.4300)</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(0.0420)</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(0.0530)</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(5.3260)</w:t>
            </w:r>
          </w:p>
        </w:tc>
      </w:tr>
      <w:tr w:rsidR="005A36C2" w:rsidTr="005A36C2">
        <w:trPr>
          <w:trHeight w:val="310"/>
        </w:trPr>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A36C2" w:rsidRDefault="005A36C2">
            <w:pPr>
              <w:rPr>
                <w:sz w:val="20"/>
                <w:szCs w:val="20"/>
              </w:rPr>
            </w:pPr>
          </w:p>
        </w:tc>
        <w:tc>
          <w:tcPr>
            <w:tcW w:w="0" w:type="auto"/>
            <w:tcBorders>
              <w:top w:val="nil"/>
              <w:left w:val="nil"/>
              <w:bottom w:val="nil"/>
              <w:right w:val="nil"/>
            </w:tcBorders>
            <w:shd w:val="clear" w:color="auto" w:fill="auto"/>
            <w:noWrap/>
            <w:vAlign w:val="bottom"/>
            <w:hideMark/>
          </w:tcPr>
          <w:p w:rsidR="005A36C2" w:rsidRDefault="005A36C2">
            <w:pPr>
              <w:jc w:val="center"/>
              <w:rPr>
                <w:sz w:val="20"/>
                <w:szCs w:val="20"/>
              </w:rPr>
            </w:pPr>
          </w:p>
        </w:tc>
        <w:tc>
          <w:tcPr>
            <w:tcW w:w="0" w:type="auto"/>
            <w:tcBorders>
              <w:top w:val="nil"/>
              <w:left w:val="nil"/>
              <w:bottom w:val="nil"/>
              <w:right w:val="nil"/>
            </w:tcBorders>
            <w:shd w:val="clear" w:color="auto" w:fill="auto"/>
            <w:noWrap/>
            <w:vAlign w:val="bottom"/>
            <w:hideMark/>
          </w:tcPr>
          <w:p w:rsidR="005A36C2" w:rsidRDefault="005A36C2">
            <w:pPr>
              <w:jc w:val="center"/>
              <w:rPr>
                <w:sz w:val="20"/>
                <w:szCs w:val="20"/>
              </w:rPr>
            </w:pPr>
          </w:p>
        </w:tc>
        <w:tc>
          <w:tcPr>
            <w:tcW w:w="0" w:type="auto"/>
            <w:tcBorders>
              <w:top w:val="nil"/>
              <w:left w:val="nil"/>
              <w:bottom w:val="nil"/>
              <w:right w:val="nil"/>
            </w:tcBorders>
            <w:shd w:val="clear" w:color="auto" w:fill="auto"/>
            <w:noWrap/>
            <w:vAlign w:val="bottom"/>
            <w:hideMark/>
          </w:tcPr>
          <w:p w:rsidR="005A36C2" w:rsidRDefault="005A36C2">
            <w:pPr>
              <w:jc w:val="center"/>
              <w:rPr>
                <w:sz w:val="20"/>
                <w:szCs w:val="20"/>
              </w:rPr>
            </w:pPr>
          </w:p>
        </w:tc>
      </w:tr>
      <w:tr w:rsidR="005A36C2" w:rsidTr="005A36C2">
        <w:trPr>
          <w:trHeight w:val="310"/>
        </w:trPr>
        <w:tc>
          <w:tcPr>
            <w:tcW w:w="0" w:type="auto"/>
            <w:tcBorders>
              <w:top w:val="nil"/>
              <w:left w:val="nil"/>
              <w:bottom w:val="nil"/>
              <w:right w:val="nil"/>
            </w:tcBorders>
            <w:shd w:val="clear" w:color="auto" w:fill="auto"/>
            <w:noWrap/>
            <w:vAlign w:val="bottom"/>
            <w:hideMark/>
          </w:tcPr>
          <w:p w:rsidR="005A36C2" w:rsidRDefault="005A36C2">
            <w:pPr>
              <w:rPr>
                <w:rFonts w:ascii="Calibri" w:hAnsi="Calibri" w:cs="Calibri"/>
                <w:color w:val="000000"/>
              </w:rPr>
            </w:pPr>
            <w:r>
              <w:rPr>
                <w:rFonts w:ascii="Calibri" w:hAnsi="Calibri" w:cs="Calibri"/>
                <w:color w:val="000000"/>
              </w:rPr>
              <w:t>Medicaid x Uninsured x 2014</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0.341</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-0.0159</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0.0442</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-0.0318</w:t>
            </w:r>
          </w:p>
        </w:tc>
      </w:tr>
      <w:tr w:rsidR="005A36C2" w:rsidTr="005A36C2">
        <w:trPr>
          <w:trHeight w:val="310"/>
        </w:trPr>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(0.2817)</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(0.0393)</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(0.0701)</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(3.7663)</w:t>
            </w:r>
          </w:p>
        </w:tc>
      </w:tr>
      <w:tr w:rsidR="005A36C2" w:rsidTr="005A36C2">
        <w:trPr>
          <w:trHeight w:val="310"/>
        </w:trPr>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A36C2" w:rsidRDefault="005A36C2">
            <w:pPr>
              <w:rPr>
                <w:sz w:val="20"/>
                <w:szCs w:val="20"/>
              </w:rPr>
            </w:pPr>
          </w:p>
        </w:tc>
        <w:tc>
          <w:tcPr>
            <w:tcW w:w="0" w:type="auto"/>
            <w:tcBorders>
              <w:top w:val="nil"/>
              <w:left w:val="nil"/>
              <w:bottom w:val="nil"/>
              <w:right w:val="nil"/>
            </w:tcBorders>
            <w:shd w:val="clear" w:color="auto" w:fill="auto"/>
            <w:noWrap/>
            <w:vAlign w:val="bottom"/>
            <w:hideMark/>
          </w:tcPr>
          <w:p w:rsidR="005A36C2" w:rsidRDefault="005A36C2">
            <w:pPr>
              <w:jc w:val="center"/>
              <w:rPr>
                <w:sz w:val="20"/>
                <w:szCs w:val="20"/>
              </w:rPr>
            </w:pPr>
          </w:p>
        </w:tc>
        <w:tc>
          <w:tcPr>
            <w:tcW w:w="0" w:type="auto"/>
            <w:tcBorders>
              <w:top w:val="nil"/>
              <w:left w:val="nil"/>
              <w:bottom w:val="nil"/>
              <w:right w:val="nil"/>
            </w:tcBorders>
            <w:shd w:val="clear" w:color="auto" w:fill="auto"/>
            <w:noWrap/>
            <w:vAlign w:val="bottom"/>
            <w:hideMark/>
          </w:tcPr>
          <w:p w:rsidR="005A36C2" w:rsidRDefault="005A36C2">
            <w:pPr>
              <w:jc w:val="center"/>
              <w:rPr>
                <w:sz w:val="20"/>
                <w:szCs w:val="20"/>
              </w:rPr>
            </w:pPr>
          </w:p>
        </w:tc>
        <w:tc>
          <w:tcPr>
            <w:tcW w:w="0" w:type="auto"/>
            <w:tcBorders>
              <w:top w:val="nil"/>
              <w:left w:val="nil"/>
              <w:bottom w:val="nil"/>
              <w:right w:val="nil"/>
            </w:tcBorders>
            <w:shd w:val="clear" w:color="auto" w:fill="auto"/>
            <w:noWrap/>
            <w:vAlign w:val="bottom"/>
            <w:hideMark/>
          </w:tcPr>
          <w:p w:rsidR="005A36C2" w:rsidRDefault="005A36C2">
            <w:pPr>
              <w:jc w:val="center"/>
              <w:rPr>
                <w:sz w:val="20"/>
                <w:szCs w:val="20"/>
              </w:rPr>
            </w:pPr>
          </w:p>
        </w:tc>
      </w:tr>
      <w:tr w:rsidR="005A36C2" w:rsidTr="005A36C2">
        <w:trPr>
          <w:trHeight w:val="310"/>
        </w:trPr>
        <w:tc>
          <w:tcPr>
            <w:tcW w:w="0" w:type="auto"/>
            <w:tcBorders>
              <w:top w:val="nil"/>
              <w:left w:val="nil"/>
              <w:bottom w:val="nil"/>
              <w:right w:val="nil"/>
            </w:tcBorders>
            <w:shd w:val="clear" w:color="auto" w:fill="auto"/>
            <w:noWrap/>
            <w:vAlign w:val="bottom"/>
            <w:hideMark/>
          </w:tcPr>
          <w:p w:rsidR="005A36C2" w:rsidRDefault="005A36C2">
            <w:pPr>
              <w:rPr>
                <w:rFonts w:ascii="Calibri" w:hAnsi="Calibri" w:cs="Calibri"/>
                <w:color w:val="000000"/>
              </w:rPr>
            </w:pPr>
            <w:r>
              <w:rPr>
                <w:rFonts w:ascii="Calibri" w:hAnsi="Calibri" w:cs="Calibri"/>
                <w:color w:val="000000"/>
              </w:rPr>
              <w:t>Medicaid x Uninsured x 2015</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0.348</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-0.0205</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-0.167***</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-3.367</w:t>
            </w:r>
          </w:p>
        </w:tc>
      </w:tr>
      <w:tr w:rsidR="005A36C2" w:rsidTr="005A36C2">
        <w:trPr>
          <w:trHeight w:val="310"/>
        </w:trPr>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(0.3145)</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(0.0394)</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(0.0598)</w:t>
            </w:r>
          </w:p>
        </w:tc>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(6.4340)</w:t>
            </w:r>
          </w:p>
        </w:tc>
      </w:tr>
      <w:tr w:rsidR="005A36C2" w:rsidTr="005A36C2">
        <w:trPr>
          <w:trHeight w:val="310"/>
        </w:trPr>
        <w:tc>
          <w:tcPr>
            <w:tcW w:w="0" w:type="auto"/>
            <w:tcBorders>
              <w:top w:val="nil"/>
              <w:left w:val="nil"/>
              <w:bottom w:val="nil"/>
              <w:right w:val="nil"/>
            </w:tcBorders>
            <w:shd w:val="clear" w:color="auto" w:fill="auto"/>
            <w:noWrap/>
            <w:vAlign w:val="bottom"/>
            <w:hideMark/>
          </w:tcPr>
          <w:p w:rsidR="005A36C2" w:rsidRDefault="005A36C2">
            <w:pPr>
              <w:jc w:val="cente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rsidR="005A36C2" w:rsidRDefault="005A36C2">
            <w:pPr>
              <w:rPr>
                <w:sz w:val="20"/>
                <w:szCs w:val="20"/>
              </w:rPr>
            </w:pPr>
          </w:p>
        </w:tc>
        <w:tc>
          <w:tcPr>
            <w:tcW w:w="0" w:type="auto"/>
            <w:tcBorders>
              <w:top w:val="nil"/>
              <w:left w:val="nil"/>
              <w:bottom w:val="nil"/>
              <w:right w:val="nil"/>
            </w:tcBorders>
            <w:shd w:val="clear" w:color="auto" w:fill="auto"/>
            <w:noWrap/>
            <w:vAlign w:val="bottom"/>
            <w:hideMark/>
          </w:tcPr>
          <w:p w:rsidR="005A36C2" w:rsidRDefault="005A36C2">
            <w:pPr>
              <w:jc w:val="center"/>
              <w:rPr>
                <w:sz w:val="20"/>
                <w:szCs w:val="20"/>
              </w:rPr>
            </w:pPr>
          </w:p>
        </w:tc>
        <w:tc>
          <w:tcPr>
            <w:tcW w:w="0" w:type="auto"/>
            <w:tcBorders>
              <w:top w:val="nil"/>
              <w:left w:val="nil"/>
              <w:bottom w:val="nil"/>
              <w:right w:val="nil"/>
            </w:tcBorders>
            <w:shd w:val="clear" w:color="auto" w:fill="auto"/>
            <w:noWrap/>
            <w:vAlign w:val="bottom"/>
            <w:hideMark/>
          </w:tcPr>
          <w:p w:rsidR="005A36C2" w:rsidRDefault="005A36C2">
            <w:pPr>
              <w:jc w:val="center"/>
              <w:rPr>
                <w:sz w:val="20"/>
                <w:szCs w:val="20"/>
              </w:rPr>
            </w:pPr>
          </w:p>
        </w:tc>
        <w:tc>
          <w:tcPr>
            <w:tcW w:w="0" w:type="auto"/>
            <w:tcBorders>
              <w:top w:val="nil"/>
              <w:left w:val="nil"/>
              <w:bottom w:val="nil"/>
              <w:right w:val="nil"/>
            </w:tcBorders>
            <w:shd w:val="clear" w:color="auto" w:fill="auto"/>
            <w:noWrap/>
            <w:vAlign w:val="bottom"/>
            <w:hideMark/>
          </w:tcPr>
          <w:p w:rsidR="005A36C2" w:rsidRDefault="005A36C2">
            <w:pPr>
              <w:jc w:val="center"/>
              <w:rPr>
                <w:sz w:val="20"/>
                <w:szCs w:val="20"/>
              </w:rPr>
            </w:pPr>
          </w:p>
        </w:tc>
      </w:tr>
      <w:tr w:rsidR="005A36C2" w:rsidTr="005A36C2">
        <w:trPr>
          <w:trHeight w:val="310"/>
        </w:trPr>
        <w:tc>
          <w:tcPr>
            <w:tcW w:w="0" w:type="auto"/>
            <w:tcBorders>
              <w:top w:val="nil"/>
              <w:left w:val="nil"/>
              <w:bottom w:val="nil"/>
              <w:right w:val="nil"/>
            </w:tcBorders>
            <w:shd w:val="clear" w:color="auto" w:fill="auto"/>
            <w:noWrap/>
            <w:vAlign w:val="bottom"/>
            <w:hideMark/>
          </w:tcPr>
          <w:p w:rsidR="005A36C2" w:rsidRDefault="005A36C2">
            <w:pPr>
              <w:rPr>
                <w:rFonts w:ascii="Calibri" w:hAnsi="Calibri" w:cs="Calibri"/>
                <w:color w:val="000000"/>
              </w:rPr>
            </w:pPr>
            <w:r>
              <w:rPr>
                <w:rFonts w:ascii="Calibri" w:hAnsi="Calibri" w:cs="Calibri"/>
                <w:color w:val="000000"/>
              </w:rPr>
              <w:t>Medicaid x Uninsured x 2016</w:t>
            </w:r>
          </w:p>
        </w:tc>
        <w:tc>
          <w:tcPr>
            <w:tcW w:w="0" w:type="auto"/>
            <w:tcBorders>
              <w:top w:val="nil"/>
              <w:left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0.525</w:t>
            </w:r>
          </w:p>
        </w:tc>
        <w:tc>
          <w:tcPr>
            <w:tcW w:w="0" w:type="auto"/>
            <w:tcBorders>
              <w:top w:val="nil"/>
              <w:left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-0.0236</w:t>
            </w:r>
          </w:p>
        </w:tc>
        <w:tc>
          <w:tcPr>
            <w:tcW w:w="0" w:type="auto"/>
            <w:tcBorders>
              <w:top w:val="nil"/>
              <w:left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-0.0415</w:t>
            </w:r>
          </w:p>
        </w:tc>
        <w:tc>
          <w:tcPr>
            <w:tcW w:w="0" w:type="auto"/>
            <w:tcBorders>
              <w:top w:val="nil"/>
              <w:left w:val="nil"/>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-5.415</w:t>
            </w:r>
          </w:p>
        </w:tc>
      </w:tr>
      <w:tr w:rsidR="005A36C2" w:rsidTr="005A36C2">
        <w:trPr>
          <w:trHeight w:val="310"/>
        </w:trPr>
        <w:tc>
          <w:tcPr>
            <w:tcW w:w="0" w:type="auto"/>
            <w:tcBorders>
              <w:top w:val="nil"/>
              <w:left w:val="nil"/>
              <w:bottom w:val="single" w:sz="4" w:space="0" w:color="auto"/>
              <w:right w:val="nil"/>
            </w:tcBorders>
            <w:shd w:val="clear" w:color="auto" w:fill="auto"/>
            <w:noWrap/>
            <w:vAlign w:val="bottom"/>
            <w:hideMark/>
          </w:tcPr>
          <w:p w:rsidR="005A36C2" w:rsidRDefault="005A36C2">
            <w:pPr>
              <w:rPr>
                <w:rFonts w:ascii="Calibri" w:hAnsi="Calibri" w:cs="Calibri"/>
                <w:color w:val="000000"/>
              </w:rPr>
            </w:pPr>
            <w:r>
              <w:rPr>
                <w:rFonts w:ascii="Calibri" w:hAnsi="Calibri" w:cs="Calibri"/>
                <w:color w:val="000000"/>
              </w:rPr>
              <w:t> </w:t>
            </w:r>
          </w:p>
        </w:tc>
        <w:tc>
          <w:tcPr>
            <w:tcW w:w="0" w:type="auto"/>
            <w:tcBorders>
              <w:top w:val="nil"/>
              <w:left w:val="nil"/>
              <w:bottom w:val="single" w:sz="4" w:space="0" w:color="auto"/>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(0.3144)</w:t>
            </w:r>
          </w:p>
        </w:tc>
        <w:tc>
          <w:tcPr>
            <w:tcW w:w="0" w:type="auto"/>
            <w:tcBorders>
              <w:top w:val="nil"/>
              <w:left w:val="nil"/>
              <w:bottom w:val="single" w:sz="4" w:space="0" w:color="auto"/>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(0.0314)</w:t>
            </w:r>
          </w:p>
        </w:tc>
        <w:tc>
          <w:tcPr>
            <w:tcW w:w="0" w:type="auto"/>
            <w:tcBorders>
              <w:top w:val="nil"/>
              <w:left w:val="nil"/>
              <w:bottom w:val="single" w:sz="4" w:space="0" w:color="auto"/>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(0.0660)</w:t>
            </w:r>
          </w:p>
        </w:tc>
        <w:tc>
          <w:tcPr>
            <w:tcW w:w="0" w:type="auto"/>
            <w:tcBorders>
              <w:top w:val="nil"/>
              <w:left w:val="nil"/>
              <w:bottom w:val="single" w:sz="4" w:space="0" w:color="auto"/>
              <w:right w:val="nil"/>
            </w:tcBorders>
            <w:shd w:val="clear" w:color="auto" w:fill="auto"/>
            <w:noWrap/>
            <w:vAlign w:val="bottom"/>
            <w:hideMark/>
          </w:tcPr>
          <w:p w:rsidR="005A36C2" w:rsidRDefault="005A36C2">
            <w:pPr>
              <w:jc w:val="center"/>
              <w:rPr>
                <w:rFonts w:ascii="Calibri" w:hAnsi="Calibri" w:cs="Calibri"/>
                <w:color w:val="000000"/>
              </w:rPr>
            </w:pPr>
            <w:r>
              <w:rPr>
                <w:rFonts w:ascii="Calibri" w:hAnsi="Calibri" w:cs="Calibri"/>
                <w:color w:val="000000"/>
              </w:rPr>
              <w:t>(5.3715)</w:t>
            </w:r>
          </w:p>
        </w:tc>
      </w:tr>
    </w:tbl>
    <w:p w:rsidR="005A36C2" w:rsidRDefault="005A36C2" w:rsidP="005A36C2">
      <w:pPr>
        <w:spacing w:line="276" w:lineRule="auto"/>
        <w:rPr>
          <w:color w:val="FF0000"/>
        </w:rPr>
      </w:pPr>
      <w:r w:rsidRPr="005A43BD">
        <w:rPr>
          <w:i/>
          <w:sz w:val="16"/>
          <w:szCs w:val="16"/>
        </w:rPr>
        <w:t xml:space="preserve">Notes: </w:t>
      </w:r>
      <w:r>
        <w:rPr>
          <w:sz w:val="16"/>
          <w:szCs w:val="16"/>
        </w:rPr>
        <w:t>Standard errors, heteroskedasticity-robust and clustered at the state level, are in parentheses. *** Denotes statistical significance at 1 percent level, ** Denotes statistical significance at 5 percent level,</w:t>
      </w:r>
      <w:r w:rsidRPr="005A43BD">
        <w:rPr>
          <w:sz w:val="16"/>
          <w:szCs w:val="16"/>
        </w:rPr>
        <w:t xml:space="preserve"> </w:t>
      </w:r>
      <w:r>
        <w:rPr>
          <w:sz w:val="16"/>
          <w:szCs w:val="16"/>
        </w:rPr>
        <w:t>* Denotes statistical significance at 10 percent level</w:t>
      </w:r>
    </w:p>
    <w:p w:rsidR="00506ACD" w:rsidRPr="00E2213A" w:rsidRDefault="00506ACD" w:rsidP="00482A31">
      <w:pPr>
        <w:spacing w:line="276" w:lineRule="auto"/>
        <w:rPr>
          <w:color w:val="FF0000"/>
        </w:rPr>
      </w:pPr>
    </w:p>
    <w:sectPr w:rsidR="00506ACD" w:rsidRPr="00E221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0A4F" w:rsidRDefault="00040A4F" w:rsidP="00790569">
      <w:r>
        <w:separator/>
      </w:r>
    </w:p>
  </w:endnote>
  <w:endnote w:type="continuationSeparator" w:id="0">
    <w:p w:rsidR="00040A4F" w:rsidRDefault="00040A4F" w:rsidP="00790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0A4F" w:rsidRDefault="00040A4F" w:rsidP="00790569">
      <w:r>
        <w:separator/>
      </w:r>
    </w:p>
  </w:footnote>
  <w:footnote w:type="continuationSeparator" w:id="0">
    <w:p w:rsidR="00040A4F" w:rsidRDefault="00040A4F" w:rsidP="007905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3534238"/>
      <w:docPartObj>
        <w:docPartGallery w:val="Page Numbers (Top of Page)"/>
        <w:docPartUnique/>
      </w:docPartObj>
    </w:sdtPr>
    <w:sdtEndPr>
      <w:rPr>
        <w:noProof/>
      </w:rPr>
    </w:sdtEndPr>
    <w:sdtContent>
      <w:p w:rsidR="00B86E95" w:rsidRDefault="00B86E9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B86E95" w:rsidRDefault="00B86E95" w:rsidP="00B86E9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A2802"/>
    <w:multiLevelType w:val="hybridMultilevel"/>
    <w:tmpl w:val="29282E0E"/>
    <w:lvl w:ilvl="0" w:tplc="6C6E2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9D60968"/>
    <w:multiLevelType w:val="hybridMultilevel"/>
    <w:tmpl w:val="2B2EFDC8"/>
    <w:lvl w:ilvl="0" w:tplc="5EF2D0C8">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AC61D65"/>
    <w:multiLevelType w:val="hybridMultilevel"/>
    <w:tmpl w:val="E90AB55E"/>
    <w:lvl w:ilvl="0" w:tplc="82E888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7D4B15"/>
    <w:multiLevelType w:val="hybridMultilevel"/>
    <w:tmpl w:val="56D8F694"/>
    <w:lvl w:ilvl="0" w:tplc="F2D6B318">
      <w:start w:val="3"/>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1DE"/>
    <w:rsid w:val="00000BC0"/>
    <w:rsid w:val="00002AD3"/>
    <w:rsid w:val="00006FF1"/>
    <w:rsid w:val="0000776C"/>
    <w:rsid w:val="00010E1A"/>
    <w:rsid w:val="00012BD5"/>
    <w:rsid w:val="000167BA"/>
    <w:rsid w:val="00020F68"/>
    <w:rsid w:val="0002127A"/>
    <w:rsid w:val="00022927"/>
    <w:rsid w:val="00023693"/>
    <w:rsid w:val="0002557C"/>
    <w:rsid w:val="00025ECD"/>
    <w:rsid w:val="0002678E"/>
    <w:rsid w:val="00027399"/>
    <w:rsid w:val="00030350"/>
    <w:rsid w:val="00030F95"/>
    <w:rsid w:val="00033174"/>
    <w:rsid w:val="00034670"/>
    <w:rsid w:val="00037814"/>
    <w:rsid w:val="000408B3"/>
    <w:rsid w:val="00040A4F"/>
    <w:rsid w:val="00041591"/>
    <w:rsid w:val="00042561"/>
    <w:rsid w:val="00043FE7"/>
    <w:rsid w:val="00045D56"/>
    <w:rsid w:val="000472FD"/>
    <w:rsid w:val="00047E9F"/>
    <w:rsid w:val="00047F06"/>
    <w:rsid w:val="00050968"/>
    <w:rsid w:val="000515FF"/>
    <w:rsid w:val="00051D6E"/>
    <w:rsid w:val="00052C7C"/>
    <w:rsid w:val="00053D3F"/>
    <w:rsid w:val="00054874"/>
    <w:rsid w:val="000578F3"/>
    <w:rsid w:val="00060138"/>
    <w:rsid w:val="000604AD"/>
    <w:rsid w:val="00061063"/>
    <w:rsid w:val="00066578"/>
    <w:rsid w:val="00070436"/>
    <w:rsid w:val="00075DAE"/>
    <w:rsid w:val="00077306"/>
    <w:rsid w:val="00077C59"/>
    <w:rsid w:val="00080EF3"/>
    <w:rsid w:val="00080F24"/>
    <w:rsid w:val="000836B6"/>
    <w:rsid w:val="0008399B"/>
    <w:rsid w:val="00084956"/>
    <w:rsid w:val="00085236"/>
    <w:rsid w:val="000904C7"/>
    <w:rsid w:val="00091486"/>
    <w:rsid w:val="00092FCE"/>
    <w:rsid w:val="000930D5"/>
    <w:rsid w:val="0009391D"/>
    <w:rsid w:val="00093E39"/>
    <w:rsid w:val="00095380"/>
    <w:rsid w:val="000954B1"/>
    <w:rsid w:val="00096230"/>
    <w:rsid w:val="00097B89"/>
    <w:rsid w:val="000A0776"/>
    <w:rsid w:val="000A23B3"/>
    <w:rsid w:val="000A3C47"/>
    <w:rsid w:val="000A6F7F"/>
    <w:rsid w:val="000B2553"/>
    <w:rsid w:val="000B2DD9"/>
    <w:rsid w:val="000B2F01"/>
    <w:rsid w:val="000B5E01"/>
    <w:rsid w:val="000B6192"/>
    <w:rsid w:val="000B7EA1"/>
    <w:rsid w:val="000C1D33"/>
    <w:rsid w:val="000C36E9"/>
    <w:rsid w:val="000C4D0B"/>
    <w:rsid w:val="000C5514"/>
    <w:rsid w:val="000C5AFF"/>
    <w:rsid w:val="000C5E86"/>
    <w:rsid w:val="000C63B0"/>
    <w:rsid w:val="000C6879"/>
    <w:rsid w:val="000C6BDD"/>
    <w:rsid w:val="000D3057"/>
    <w:rsid w:val="000D49F0"/>
    <w:rsid w:val="000D5468"/>
    <w:rsid w:val="000D64C9"/>
    <w:rsid w:val="000E5CC8"/>
    <w:rsid w:val="000E788F"/>
    <w:rsid w:val="000F0C28"/>
    <w:rsid w:val="000F14B1"/>
    <w:rsid w:val="000F3CF4"/>
    <w:rsid w:val="000F5C54"/>
    <w:rsid w:val="00100EBE"/>
    <w:rsid w:val="00101529"/>
    <w:rsid w:val="001068B9"/>
    <w:rsid w:val="001119E4"/>
    <w:rsid w:val="00112F36"/>
    <w:rsid w:val="0011642F"/>
    <w:rsid w:val="00124448"/>
    <w:rsid w:val="00124E90"/>
    <w:rsid w:val="00131291"/>
    <w:rsid w:val="00133E9B"/>
    <w:rsid w:val="00141D3B"/>
    <w:rsid w:val="00143F88"/>
    <w:rsid w:val="00146A57"/>
    <w:rsid w:val="0014758E"/>
    <w:rsid w:val="001502F2"/>
    <w:rsid w:val="00151E7B"/>
    <w:rsid w:val="00156219"/>
    <w:rsid w:val="00157EAB"/>
    <w:rsid w:val="0016028C"/>
    <w:rsid w:val="00160C48"/>
    <w:rsid w:val="00163C00"/>
    <w:rsid w:val="00163D30"/>
    <w:rsid w:val="00164B2C"/>
    <w:rsid w:val="0017141F"/>
    <w:rsid w:val="00171CAD"/>
    <w:rsid w:val="0017525C"/>
    <w:rsid w:val="00175FC6"/>
    <w:rsid w:val="001763D5"/>
    <w:rsid w:val="001803E1"/>
    <w:rsid w:val="00180CE6"/>
    <w:rsid w:val="00182467"/>
    <w:rsid w:val="00182864"/>
    <w:rsid w:val="001845C7"/>
    <w:rsid w:val="00190EBE"/>
    <w:rsid w:val="00194EC9"/>
    <w:rsid w:val="00195A0B"/>
    <w:rsid w:val="001969C2"/>
    <w:rsid w:val="00196B66"/>
    <w:rsid w:val="00197663"/>
    <w:rsid w:val="001A172B"/>
    <w:rsid w:val="001A2FDB"/>
    <w:rsid w:val="001A313E"/>
    <w:rsid w:val="001A44E9"/>
    <w:rsid w:val="001A6058"/>
    <w:rsid w:val="001A6293"/>
    <w:rsid w:val="001A78AE"/>
    <w:rsid w:val="001B5605"/>
    <w:rsid w:val="001B59B9"/>
    <w:rsid w:val="001B6FAD"/>
    <w:rsid w:val="001C02AD"/>
    <w:rsid w:val="001C156A"/>
    <w:rsid w:val="001C5767"/>
    <w:rsid w:val="001C6FA8"/>
    <w:rsid w:val="001C7216"/>
    <w:rsid w:val="001C72D8"/>
    <w:rsid w:val="001D001D"/>
    <w:rsid w:val="001D425B"/>
    <w:rsid w:val="001E33F7"/>
    <w:rsid w:val="001E4853"/>
    <w:rsid w:val="001E5164"/>
    <w:rsid w:val="001E6C8E"/>
    <w:rsid w:val="001F2B76"/>
    <w:rsid w:val="001F3296"/>
    <w:rsid w:val="001F4439"/>
    <w:rsid w:val="001F4578"/>
    <w:rsid w:val="001F51E1"/>
    <w:rsid w:val="001F6180"/>
    <w:rsid w:val="001F6E50"/>
    <w:rsid w:val="00201F4B"/>
    <w:rsid w:val="002046EE"/>
    <w:rsid w:val="0020592F"/>
    <w:rsid w:val="00212369"/>
    <w:rsid w:val="00214E05"/>
    <w:rsid w:val="002179B3"/>
    <w:rsid w:val="002204A3"/>
    <w:rsid w:val="00220F61"/>
    <w:rsid w:val="00224B9A"/>
    <w:rsid w:val="00224BCB"/>
    <w:rsid w:val="002259CF"/>
    <w:rsid w:val="00237507"/>
    <w:rsid w:val="00237DEE"/>
    <w:rsid w:val="00241E0D"/>
    <w:rsid w:val="00243254"/>
    <w:rsid w:val="002434C4"/>
    <w:rsid w:val="00246925"/>
    <w:rsid w:val="002469A1"/>
    <w:rsid w:val="00251BC7"/>
    <w:rsid w:val="00252209"/>
    <w:rsid w:val="002548AF"/>
    <w:rsid w:val="00264F49"/>
    <w:rsid w:val="002668D4"/>
    <w:rsid w:val="00271EB8"/>
    <w:rsid w:val="0027361C"/>
    <w:rsid w:val="0028215A"/>
    <w:rsid w:val="00284182"/>
    <w:rsid w:val="002861F0"/>
    <w:rsid w:val="00286862"/>
    <w:rsid w:val="002901AD"/>
    <w:rsid w:val="00291B12"/>
    <w:rsid w:val="00292B78"/>
    <w:rsid w:val="00296B50"/>
    <w:rsid w:val="002A1D9E"/>
    <w:rsid w:val="002A2C25"/>
    <w:rsid w:val="002A37AD"/>
    <w:rsid w:val="002B30B8"/>
    <w:rsid w:val="002B4589"/>
    <w:rsid w:val="002B4B03"/>
    <w:rsid w:val="002B4D6C"/>
    <w:rsid w:val="002B658D"/>
    <w:rsid w:val="002C4529"/>
    <w:rsid w:val="002C5D8F"/>
    <w:rsid w:val="002C614D"/>
    <w:rsid w:val="002C716F"/>
    <w:rsid w:val="002D01A1"/>
    <w:rsid w:val="002D188D"/>
    <w:rsid w:val="002D3349"/>
    <w:rsid w:val="002D3D44"/>
    <w:rsid w:val="002D4593"/>
    <w:rsid w:val="002E0119"/>
    <w:rsid w:val="002E216B"/>
    <w:rsid w:val="002E3141"/>
    <w:rsid w:val="002E3963"/>
    <w:rsid w:val="002F1715"/>
    <w:rsid w:val="003011B1"/>
    <w:rsid w:val="00301690"/>
    <w:rsid w:val="003025A9"/>
    <w:rsid w:val="00305103"/>
    <w:rsid w:val="00305E0F"/>
    <w:rsid w:val="0030644B"/>
    <w:rsid w:val="00307A24"/>
    <w:rsid w:val="00311209"/>
    <w:rsid w:val="00315887"/>
    <w:rsid w:val="003163C6"/>
    <w:rsid w:val="00317E68"/>
    <w:rsid w:val="00320470"/>
    <w:rsid w:val="003208D3"/>
    <w:rsid w:val="00321FDE"/>
    <w:rsid w:val="003247A1"/>
    <w:rsid w:val="00325B2C"/>
    <w:rsid w:val="0032791B"/>
    <w:rsid w:val="00331D86"/>
    <w:rsid w:val="003337AB"/>
    <w:rsid w:val="00334414"/>
    <w:rsid w:val="0033587E"/>
    <w:rsid w:val="00336B46"/>
    <w:rsid w:val="00337E13"/>
    <w:rsid w:val="00343B47"/>
    <w:rsid w:val="00344AFD"/>
    <w:rsid w:val="00347D69"/>
    <w:rsid w:val="00351E62"/>
    <w:rsid w:val="003530AD"/>
    <w:rsid w:val="00361520"/>
    <w:rsid w:val="00362264"/>
    <w:rsid w:val="003707AD"/>
    <w:rsid w:val="00372AE6"/>
    <w:rsid w:val="003746EA"/>
    <w:rsid w:val="00374ABC"/>
    <w:rsid w:val="0038013F"/>
    <w:rsid w:val="00380A89"/>
    <w:rsid w:val="00382C2B"/>
    <w:rsid w:val="00395165"/>
    <w:rsid w:val="003A1A9D"/>
    <w:rsid w:val="003A2EF3"/>
    <w:rsid w:val="003A4BBC"/>
    <w:rsid w:val="003B3D58"/>
    <w:rsid w:val="003C045C"/>
    <w:rsid w:val="003C3789"/>
    <w:rsid w:val="003C4529"/>
    <w:rsid w:val="003C49A5"/>
    <w:rsid w:val="003C582C"/>
    <w:rsid w:val="003C6AB1"/>
    <w:rsid w:val="003C6C51"/>
    <w:rsid w:val="003D2711"/>
    <w:rsid w:val="003D44DD"/>
    <w:rsid w:val="003F25C2"/>
    <w:rsid w:val="003F389E"/>
    <w:rsid w:val="003F4287"/>
    <w:rsid w:val="003F5878"/>
    <w:rsid w:val="00407052"/>
    <w:rsid w:val="00410551"/>
    <w:rsid w:val="004109B0"/>
    <w:rsid w:val="004215DB"/>
    <w:rsid w:val="0042393B"/>
    <w:rsid w:val="00430EF1"/>
    <w:rsid w:val="00432259"/>
    <w:rsid w:val="00436B98"/>
    <w:rsid w:val="00436E7F"/>
    <w:rsid w:val="00436EB5"/>
    <w:rsid w:val="00441572"/>
    <w:rsid w:val="00443640"/>
    <w:rsid w:val="00447012"/>
    <w:rsid w:val="00452317"/>
    <w:rsid w:val="00453014"/>
    <w:rsid w:val="004534E8"/>
    <w:rsid w:val="0045391D"/>
    <w:rsid w:val="004546BE"/>
    <w:rsid w:val="004551D9"/>
    <w:rsid w:val="004552D1"/>
    <w:rsid w:val="004562A9"/>
    <w:rsid w:val="004609DF"/>
    <w:rsid w:val="00464ABE"/>
    <w:rsid w:val="00464CBA"/>
    <w:rsid w:val="004650EE"/>
    <w:rsid w:val="00466270"/>
    <w:rsid w:val="00467C7C"/>
    <w:rsid w:val="00470A4E"/>
    <w:rsid w:val="00471D8A"/>
    <w:rsid w:val="00481E27"/>
    <w:rsid w:val="00482A31"/>
    <w:rsid w:val="00483EB3"/>
    <w:rsid w:val="00487D18"/>
    <w:rsid w:val="00490301"/>
    <w:rsid w:val="004908DD"/>
    <w:rsid w:val="00491035"/>
    <w:rsid w:val="0049700E"/>
    <w:rsid w:val="0049703F"/>
    <w:rsid w:val="00497985"/>
    <w:rsid w:val="004A4ABF"/>
    <w:rsid w:val="004A4EA1"/>
    <w:rsid w:val="004B421E"/>
    <w:rsid w:val="004C525E"/>
    <w:rsid w:val="004C6507"/>
    <w:rsid w:val="004C78B1"/>
    <w:rsid w:val="004D3304"/>
    <w:rsid w:val="004D479B"/>
    <w:rsid w:val="004D4D9F"/>
    <w:rsid w:val="004D59E6"/>
    <w:rsid w:val="004D6674"/>
    <w:rsid w:val="004D6891"/>
    <w:rsid w:val="004E1902"/>
    <w:rsid w:val="004E226D"/>
    <w:rsid w:val="004E4095"/>
    <w:rsid w:val="004E643A"/>
    <w:rsid w:val="004E6F51"/>
    <w:rsid w:val="004F0CBB"/>
    <w:rsid w:val="004F2072"/>
    <w:rsid w:val="004F6CE3"/>
    <w:rsid w:val="00500276"/>
    <w:rsid w:val="00500780"/>
    <w:rsid w:val="005029DA"/>
    <w:rsid w:val="0050396F"/>
    <w:rsid w:val="0050545A"/>
    <w:rsid w:val="005057E0"/>
    <w:rsid w:val="00506153"/>
    <w:rsid w:val="00506ACD"/>
    <w:rsid w:val="0050741F"/>
    <w:rsid w:val="00512454"/>
    <w:rsid w:val="00514D56"/>
    <w:rsid w:val="0051793F"/>
    <w:rsid w:val="005209EF"/>
    <w:rsid w:val="0052346E"/>
    <w:rsid w:val="005235CC"/>
    <w:rsid w:val="0052392A"/>
    <w:rsid w:val="005251F1"/>
    <w:rsid w:val="00525B4E"/>
    <w:rsid w:val="005269AF"/>
    <w:rsid w:val="00527757"/>
    <w:rsid w:val="005277A0"/>
    <w:rsid w:val="005314DE"/>
    <w:rsid w:val="00531A8B"/>
    <w:rsid w:val="00535042"/>
    <w:rsid w:val="00535391"/>
    <w:rsid w:val="005371D4"/>
    <w:rsid w:val="00537674"/>
    <w:rsid w:val="00537C75"/>
    <w:rsid w:val="00541049"/>
    <w:rsid w:val="00542140"/>
    <w:rsid w:val="005449F4"/>
    <w:rsid w:val="00545E42"/>
    <w:rsid w:val="00547194"/>
    <w:rsid w:val="00554B3A"/>
    <w:rsid w:val="00560361"/>
    <w:rsid w:val="005608C2"/>
    <w:rsid w:val="005611E5"/>
    <w:rsid w:val="00562373"/>
    <w:rsid w:val="00566E36"/>
    <w:rsid w:val="0057611C"/>
    <w:rsid w:val="005813EF"/>
    <w:rsid w:val="005814BC"/>
    <w:rsid w:val="0058256A"/>
    <w:rsid w:val="00583B88"/>
    <w:rsid w:val="00585AB5"/>
    <w:rsid w:val="00590B61"/>
    <w:rsid w:val="00594D50"/>
    <w:rsid w:val="00595CCC"/>
    <w:rsid w:val="0059681D"/>
    <w:rsid w:val="0059701E"/>
    <w:rsid w:val="005A1F7B"/>
    <w:rsid w:val="005A36C2"/>
    <w:rsid w:val="005A3826"/>
    <w:rsid w:val="005A3853"/>
    <w:rsid w:val="005A3DD8"/>
    <w:rsid w:val="005A43BD"/>
    <w:rsid w:val="005A738C"/>
    <w:rsid w:val="005A76AD"/>
    <w:rsid w:val="005B20E0"/>
    <w:rsid w:val="005B4B26"/>
    <w:rsid w:val="005B6267"/>
    <w:rsid w:val="005B6AB6"/>
    <w:rsid w:val="005B778F"/>
    <w:rsid w:val="005B7BE2"/>
    <w:rsid w:val="005B7EE6"/>
    <w:rsid w:val="005D7130"/>
    <w:rsid w:val="005E1713"/>
    <w:rsid w:val="005E3DE0"/>
    <w:rsid w:val="005E443B"/>
    <w:rsid w:val="005E4FD5"/>
    <w:rsid w:val="005E6AE4"/>
    <w:rsid w:val="005F397B"/>
    <w:rsid w:val="005F4F34"/>
    <w:rsid w:val="005F6CBC"/>
    <w:rsid w:val="005F7C56"/>
    <w:rsid w:val="006003DD"/>
    <w:rsid w:val="00600CA1"/>
    <w:rsid w:val="00602006"/>
    <w:rsid w:val="00602243"/>
    <w:rsid w:val="00605206"/>
    <w:rsid w:val="006056EE"/>
    <w:rsid w:val="006073F7"/>
    <w:rsid w:val="00612DF3"/>
    <w:rsid w:val="00613475"/>
    <w:rsid w:val="00616DF5"/>
    <w:rsid w:val="00623D7C"/>
    <w:rsid w:val="00624076"/>
    <w:rsid w:val="006253FB"/>
    <w:rsid w:val="00625D19"/>
    <w:rsid w:val="00627642"/>
    <w:rsid w:val="00634715"/>
    <w:rsid w:val="00635119"/>
    <w:rsid w:val="00636032"/>
    <w:rsid w:val="00641DFA"/>
    <w:rsid w:val="00642645"/>
    <w:rsid w:val="00644725"/>
    <w:rsid w:val="00645D52"/>
    <w:rsid w:val="0064616E"/>
    <w:rsid w:val="00646C18"/>
    <w:rsid w:val="00646F17"/>
    <w:rsid w:val="00647E8C"/>
    <w:rsid w:val="006549BB"/>
    <w:rsid w:val="006565B3"/>
    <w:rsid w:val="00662C3E"/>
    <w:rsid w:val="0066307C"/>
    <w:rsid w:val="00666838"/>
    <w:rsid w:val="006678E4"/>
    <w:rsid w:val="0067418B"/>
    <w:rsid w:val="00674600"/>
    <w:rsid w:val="00676663"/>
    <w:rsid w:val="006803E5"/>
    <w:rsid w:val="00680EE3"/>
    <w:rsid w:val="006827B3"/>
    <w:rsid w:val="006839EB"/>
    <w:rsid w:val="00685720"/>
    <w:rsid w:val="00691BF7"/>
    <w:rsid w:val="00692248"/>
    <w:rsid w:val="00693CE9"/>
    <w:rsid w:val="006969B9"/>
    <w:rsid w:val="00697978"/>
    <w:rsid w:val="006A0C55"/>
    <w:rsid w:val="006A33B8"/>
    <w:rsid w:val="006A4607"/>
    <w:rsid w:val="006A521B"/>
    <w:rsid w:val="006B4074"/>
    <w:rsid w:val="006B5F8A"/>
    <w:rsid w:val="006C0918"/>
    <w:rsid w:val="006C2644"/>
    <w:rsid w:val="006D01CC"/>
    <w:rsid w:val="006D104D"/>
    <w:rsid w:val="006D1FF7"/>
    <w:rsid w:val="006D683F"/>
    <w:rsid w:val="006D718B"/>
    <w:rsid w:val="006E145B"/>
    <w:rsid w:val="006E236B"/>
    <w:rsid w:val="006E405A"/>
    <w:rsid w:val="006E6015"/>
    <w:rsid w:val="006F3282"/>
    <w:rsid w:val="006F3496"/>
    <w:rsid w:val="00702B8F"/>
    <w:rsid w:val="0070321D"/>
    <w:rsid w:val="007036FE"/>
    <w:rsid w:val="00705462"/>
    <w:rsid w:val="00710FF4"/>
    <w:rsid w:val="00712CD5"/>
    <w:rsid w:val="00713ADE"/>
    <w:rsid w:val="00714BFA"/>
    <w:rsid w:val="00715363"/>
    <w:rsid w:val="00716509"/>
    <w:rsid w:val="00720733"/>
    <w:rsid w:val="00724DCB"/>
    <w:rsid w:val="0073072A"/>
    <w:rsid w:val="00730781"/>
    <w:rsid w:val="00732827"/>
    <w:rsid w:val="00734BDA"/>
    <w:rsid w:val="007352D1"/>
    <w:rsid w:val="00736FEE"/>
    <w:rsid w:val="0074061D"/>
    <w:rsid w:val="00743281"/>
    <w:rsid w:val="00744E26"/>
    <w:rsid w:val="00746462"/>
    <w:rsid w:val="00747A33"/>
    <w:rsid w:val="00750957"/>
    <w:rsid w:val="00750961"/>
    <w:rsid w:val="0075138A"/>
    <w:rsid w:val="00751519"/>
    <w:rsid w:val="00752315"/>
    <w:rsid w:val="00752371"/>
    <w:rsid w:val="00752466"/>
    <w:rsid w:val="00760553"/>
    <w:rsid w:val="00761DD3"/>
    <w:rsid w:val="007622EE"/>
    <w:rsid w:val="007627B9"/>
    <w:rsid w:val="00764AFC"/>
    <w:rsid w:val="0076704A"/>
    <w:rsid w:val="00771E94"/>
    <w:rsid w:val="007758CB"/>
    <w:rsid w:val="00776671"/>
    <w:rsid w:val="00777CC7"/>
    <w:rsid w:val="00784197"/>
    <w:rsid w:val="00784258"/>
    <w:rsid w:val="00785342"/>
    <w:rsid w:val="00790569"/>
    <w:rsid w:val="00791386"/>
    <w:rsid w:val="007968A0"/>
    <w:rsid w:val="00797704"/>
    <w:rsid w:val="007A2D10"/>
    <w:rsid w:val="007A3140"/>
    <w:rsid w:val="007A47F4"/>
    <w:rsid w:val="007A67E2"/>
    <w:rsid w:val="007B073A"/>
    <w:rsid w:val="007B2B8F"/>
    <w:rsid w:val="007B377E"/>
    <w:rsid w:val="007B5150"/>
    <w:rsid w:val="007B5A62"/>
    <w:rsid w:val="007B5B74"/>
    <w:rsid w:val="007B7A66"/>
    <w:rsid w:val="007C04B1"/>
    <w:rsid w:val="007C1E75"/>
    <w:rsid w:val="007C4D6E"/>
    <w:rsid w:val="007C6E21"/>
    <w:rsid w:val="007C6FD8"/>
    <w:rsid w:val="007C7140"/>
    <w:rsid w:val="007D117F"/>
    <w:rsid w:val="007D2FD9"/>
    <w:rsid w:val="007D4710"/>
    <w:rsid w:val="007E0CC0"/>
    <w:rsid w:val="007E3EAA"/>
    <w:rsid w:val="007E421C"/>
    <w:rsid w:val="007E48AD"/>
    <w:rsid w:val="007E599A"/>
    <w:rsid w:val="007E6258"/>
    <w:rsid w:val="007F3C9E"/>
    <w:rsid w:val="007F5438"/>
    <w:rsid w:val="007F5977"/>
    <w:rsid w:val="008009D8"/>
    <w:rsid w:val="00804AD9"/>
    <w:rsid w:val="00805849"/>
    <w:rsid w:val="00806218"/>
    <w:rsid w:val="00810A62"/>
    <w:rsid w:val="008123D2"/>
    <w:rsid w:val="0081247A"/>
    <w:rsid w:val="00814852"/>
    <w:rsid w:val="0081685C"/>
    <w:rsid w:val="00824623"/>
    <w:rsid w:val="00830A48"/>
    <w:rsid w:val="008314A1"/>
    <w:rsid w:val="008323E7"/>
    <w:rsid w:val="008342AF"/>
    <w:rsid w:val="00834445"/>
    <w:rsid w:val="008349C9"/>
    <w:rsid w:val="008362AD"/>
    <w:rsid w:val="00836E63"/>
    <w:rsid w:val="00840D1A"/>
    <w:rsid w:val="00842123"/>
    <w:rsid w:val="00842976"/>
    <w:rsid w:val="00843F70"/>
    <w:rsid w:val="00845B27"/>
    <w:rsid w:val="00846B4D"/>
    <w:rsid w:val="008506C0"/>
    <w:rsid w:val="00850FDD"/>
    <w:rsid w:val="00851820"/>
    <w:rsid w:val="00856BE9"/>
    <w:rsid w:val="008610CF"/>
    <w:rsid w:val="00862193"/>
    <w:rsid w:val="00863727"/>
    <w:rsid w:val="0086592B"/>
    <w:rsid w:val="008659CB"/>
    <w:rsid w:val="008775ED"/>
    <w:rsid w:val="00882462"/>
    <w:rsid w:val="00882BED"/>
    <w:rsid w:val="00882DF1"/>
    <w:rsid w:val="008905C2"/>
    <w:rsid w:val="008946B7"/>
    <w:rsid w:val="00897128"/>
    <w:rsid w:val="00897AB3"/>
    <w:rsid w:val="008A08FF"/>
    <w:rsid w:val="008A1E40"/>
    <w:rsid w:val="008A2228"/>
    <w:rsid w:val="008A45D2"/>
    <w:rsid w:val="008A65FD"/>
    <w:rsid w:val="008B00DE"/>
    <w:rsid w:val="008B0998"/>
    <w:rsid w:val="008B18F7"/>
    <w:rsid w:val="008B1E4E"/>
    <w:rsid w:val="008B2388"/>
    <w:rsid w:val="008B2FE6"/>
    <w:rsid w:val="008C2493"/>
    <w:rsid w:val="008C32CF"/>
    <w:rsid w:val="008C3CC4"/>
    <w:rsid w:val="008C465C"/>
    <w:rsid w:val="008D1816"/>
    <w:rsid w:val="008D1B85"/>
    <w:rsid w:val="008D2D7D"/>
    <w:rsid w:val="008D2F0D"/>
    <w:rsid w:val="008D4725"/>
    <w:rsid w:val="008D75FE"/>
    <w:rsid w:val="008D772F"/>
    <w:rsid w:val="008E0166"/>
    <w:rsid w:val="008E27BE"/>
    <w:rsid w:val="008E58E5"/>
    <w:rsid w:val="008E5FE4"/>
    <w:rsid w:val="008E6FC7"/>
    <w:rsid w:val="008F20C4"/>
    <w:rsid w:val="008F255A"/>
    <w:rsid w:val="008F282B"/>
    <w:rsid w:val="008F3675"/>
    <w:rsid w:val="008F3A04"/>
    <w:rsid w:val="008F3DE7"/>
    <w:rsid w:val="008F521B"/>
    <w:rsid w:val="008F74D8"/>
    <w:rsid w:val="00900E03"/>
    <w:rsid w:val="00906318"/>
    <w:rsid w:val="009161B2"/>
    <w:rsid w:val="00917AE7"/>
    <w:rsid w:val="00922134"/>
    <w:rsid w:val="009267D0"/>
    <w:rsid w:val="00927E22"/>
    <w:rsid w:val="00930C46"/>
    <w:rsid w:val="00931AC9"/>
    <w:rsid w:val="00931F0E"/>
    <w:rsid w:val="00933847"/>
    <w:rsid w:val="00935150"/>
    <w:rsid w:val="009358BD"/>
    <w:rsid w:val="00937875"/>
    <w:rsid w:val="0094163B"/>
    <w:rsid w:val="00947F12"/>
    <w:rsid w:val="00956687"/>
    <w:rsid w:val="00956FE6"/>
    <w:rsid w:val="00960892"/>
    <w:rsid w:val="00962F2D"/>
    <w:rsid w:val="009635F9"/>
    <w:rsid w:val="00967730"/>
    <w:rsid w:val="00967CEB"/>
    <w:rsid w:val="0097198A"/>
    <w:rsid w:val="00973368"/>
    <w:rsid w:val="00973BFF"/>
    <w:rsid w:val="00975E27"/>
    <w:rsid w:val="0098209F"/>
    <w:rsid w:val="009943DF"/>
    <w:rsid w:val="00994FA9"/>
    <w:rsid w:val="00995285"/>
    <w:rsid w:val="00995531"/>
    <w:rsid w:val="00995B22"/>
    <w:rsid w:val="00995D84"/>
    <w:rsid w:val="009A0CAD"/>
    <w:rsid w:val="009A2375"/>
    <w:rsid w:val="009A2BA5"/>
    <w:rsid w:val="009A45D5"/>
    <w:rsid w:val="009B07B0"/>
    <w:rsid w:val="009B0D56"/>
    <w:rsid w:val="009B3EE5"/>
    <w:rsid w:val="009B4E33"/>
    <w:rsid w:val="009B55B5"/>
    <w:rsid w:val="009C1245"/>
    <w:rsid w:val="009C1514"/>
    <w:rsid w:val="009C389B"/>
    <w:rsid w:val="009C74A1"/>
    <w:rsid w:val="009D1353"/>
    <w:rsid w:val="009D2E6A"/>
    <w:rsid w:val="009D350E"/>
    <w:rsid w:val="009D44EA"/>
    <w:rsid w:val="009D52D2"/>
    <w:rsid w:val="009E0D8F"/>
    <w:rsid w:val="009E0DB6"/>
    <w:rsid w:val="009E2787"/>
    <w:rsid w:val="009E4507"/>
    <w:rsid w:val="009E52AB"/>
    <w:rsid w:val="009E57C0"/>
    <w:rsid w:val="009F14E3"/>
    <w:rsid w:val="009F2110"/>
    <w:rsid w:val="009F4B4D"/>
    <w:rsid w:val="009F6D20"/>
    <w:rsid w:val="00A0143A"/>
    <w:rsid w:val="00A01504"/>
    <w:rsid w:val="00A045EC"/>
    <w:rsid w:val="00A07492"/>
    <w:rsid w:val="00A101AE"/>
    <w:rsid w:val="00A10770"/>
    <w:rsid w:val="00A15422"/>
    <w:rsid w:val="00A2089A"/>
    <w:rsid w:val="00A22101"/>
    <w:rsid w:val="00A2562D"/>
    <w:rsid w:val="00A26745"/>
    <w:rsid w:val="00A26F0C"/>
    <w:rsid w:val="00A3032A"/>
    <w:rsid w:val="00A3164F"/>
    <w:rsid w:val="00A32E93"/>
    <w:rsid w:val="00A33A5E"/>
    <w:rsid w:val="00A34A5E"/>
    <w:rsid w:val="00A34CB9"/>
    <w:rsid w:val="00A358D4"/>
    <w:rsid w:val="00A41448"/>
    <w:rsid w:val="00A42FAA"/>
    <w:rsid w:val="00A4388F"/>
    <w:rsid w:val="00A521E5"/>
    <w:rsid w:val="00A5652E"/>
    <w:rsid w:val="00A60F34"/>
    <w:rsid w:val="00A62F57"/>
    <w:rsid w:val="00A65235"/>
    <w:rsid w:val="00A65A8C"/>
    <w:rsid w:val="00A7006F"/>
    <w:rsid w:val="00A70B48"/>
    <w:rsid w:val="00A70EAA"/>
    <w:rsid w:val="00A718D4"/>
    <w:rsid w:val="00A7268C"/>
    <w:rsid w:val="00A73CD0"/>
    <w:rsid w:val="00A77A88"/>
    <w:rsid w:val="00A91E00"/>
    <w:rsid w:val="00AA00B1"/>
    <w:rsid w:val="00AA21E6"/>
    <w:rsid w:val="00AA244F"/>
    <w:rsid w:val="00AB114C"/>
    <w:rsid w:val="00AB1248"/>
    <w:rsid w:val="00AB12EE"/>
    <w:rsid w:val="00AB561C"/>
    <w:rsid w:val="00AB6610"/>
    <w:rsid w:val="00AB6A1B"/>
    <w:rsid w:val="00AC00E0"/>
    <w:rsid w:val="00AC715B"/>
    <w:rsid w:val="00AD1416"/>
    <w:rsid w:val="00AD3A78"/>
    <w:rsid w:val="00AD519D"/>
    <w:rsid w:val="00AD6EB0"/>
    <w:rsid w:val="00AD73AA"/>
    <w:rsid w:val="00AE2932"/>
    <w:rsid w:val="00AE53F7"/>
    <w:rsid w:val="00AF2561"/>
    <w:rsid w:val="00AF4537"/>
    <w:rsid w:val="00AF657C"/>
    <w:rsid w:val="00AF691C"/>
    <w:rsid w:val="00B008B5"/>
    <w:rsid w:val="00B023A2"/>
    <w:rsid w:val="00B055A3"/>
    <w:rsid w:val="00B06855"/>
    <w:rsid w:val="00B13F09"/>
    <w:rsid w:val="00B20950"/>
    <w:rsid w:val="00B20DA6"/>
    <w:rsid w:val="00B22358"/>
    <w:rsid w:val="00B251CA"/>
    <w:rsid w:val="00B27D91"/>
    <w:rsid w:val="00B30DE5"/>
    <w:rsid w:val="00B35EE9"/>
    <w:rsid w:val="00B37954"/>
    <w:rsid w:val="00B42048"/>
    <w:rsid w:val="00B45D6F"/>
    <w:rsid w:val="00B45EC7"/>
    <w:rsid w:val="00B50973"/>
    <w:rsid w:val="00B532B8"/>
    <w:rsid w:val="00B61A3B"/>
    <w:rsid w:val="00B63DC1"/>
    <w:rsid w:val="00B66CA7"/>
    <w:rsid w:val="00B710A7"/>
    <w:rsid w:val="00B7133C"/>
    <w:rsid w:val="00B71DB2"/>
    <w:rsid w:val="00B7213D"/>
    <w:rsid w:val="00B73EE5"/>
    <w:rsid w:val="00B751B6"/>
    <w:rsid w:val="00B81A4E"/>
    <w:rsid w:val="00B824F8"/>
    <w:rsid w:val="00B85096"/>
    <w:rsid w:val="00B855F2"/>
    <w:rsid w:val="00B86E95"/>
    <w:rsid w:val="00B926F2"/>
    <w:rsid w:val="00B9740A"/>
    <w:rsid w:val="00BA062B"/>
    <w:rsid w:val="00BA19D2"/>
    <w:rsid w:val="00BA24DA"/>
    <w:rsid w:val="00BA5C0C"/>
    <w:rsid w:val="00BA72CD"/>
    <w:rsid w:val="00BA7904"/>
    <w:rsid w:val="00BB1810"/>
    <w:rsid w:val="00BB1A9E"/>
    <w:rsid w:val="00BB2B40"/>
    <w:rsid w:val="00BB428A"/>
    <w:rsid w:val="00BB7D99"/>
    <w:rsid w:val="00BB7F91"/>
    <w:rsid w:val="00BC0A5C"/>
    <w:rsid w:val="00BC3C36"/>
    <w:rsid w:val="00BD0DE2"/>
    <w:rsid w:val="00BD2321"/>
    <w:rsid w:val="00BD3BFE"/>
    <w:rsid w:val="00BD7078"/>
    <w:rsid w:val="00BE197A"/>
    <w:rsid w:val="00BE2B84"/>
    <w:rsid w:val="00BF170D"/>
    <w:rsid w:val="00BF622F"/>
    <w:rsid w:val="00BF6452"/>
    <w:rsid w:val="00BF7B21"/>
    <w:rsid w:val="00C00396"/>
    <w:rsid w:val="00C053B4"/>
    <w:rsid w:val="00C063EF"/>
    <w:rsid w:val="00C101C1"/>
    <w:rsid w:val="00C12AA6"/>
    <w:rsid w:val="00C20950"/>
    <w:rsid w:val="00C233F1"/>
    <w:rsid w:val="00C252FB"/>
    <w:rsid w:val="00C27309"/>
    <w:rsid w:val="00C32E5E"/>
    <w:rsid w:val="00C3478B"/>
    <w:rsid w:val="00C37087"/>
    <w:rsid w:val="00C37257"/>
    <w:rsid w:val="00C424C1"/>
    <w:rsid w:val="00C42A32"/>
    <w:rsid w:val="00C44586"/>
    <w:rsid w:val="00C4562C"/>
    <w:rsid w:val="00C45ACF"/>
    <w:rsid w:val="00C45F91"/>
    <w:rsid w:val="00C525B7"/>
    <w:rsid w:val="00C53765"/>
    <w:rsid w:val="00C54F26"/>
    <w:rsid w:val="00C5641A"/>
    <w:rsid w:val="00C57E33"/>
    <w:rsid w:val="00C63191"/>
    <w:rsid w:val="00C6459B"/>
    <w:rsid w:val="00C6489B"/>
    <w:rsid w:val="00C64F35"/>
    <w:rsid w:val="00C666DE"/>
    <w:rsid w:val="00C66985"/>
    <w:rsid w:val="00C67879"/>
    <w:rsid w:val="00C7421F"/>
    <w:rsid w:val="00C8008B"/>
    <w:rsid w:val="00C8486E"/>
    <w:rsid w:val="00C863DD"/>
    <w:rsid w:val="00C941FF"/>
    <w:rsid w:val="00C958BA"/>
    <w:rsid w:val="00CA0610"/>
    <w:rsid w:val="00CA24B3"/>
    <w:rsid w:val="00CA4955"/>
    <w:rsid w:val="00CA72A7"/>
    <w:rsid w:val="00CA7A82"/>
    <w:rsid w:val="00CB013E"/>
    <w:rsid w:val="00CB259B"/>
    <w:rsid w:val="00CB48C7"/>
    <w:rsid w:val="00CB58BC"/>
    <w:rsid w:val="00CB6C17"/>
    <w:rsid w:val="00CC27BE"/>
    <w:rsid w:val="00CC34FE"/>
    <w:rsid w:val="00CC3FEE"/>
    <w:rsid w:val="00CC57AA"/>
    <w:rsid w:val="00CC5A84"/>
    <w:rsid w:val="00CC5B2A"/>
    <w:rsid w:val="00CC6908"/>
    <w:rsid w:val="00CC7080"/>
    <w:rsid w:val="00CC7BAC"/>
    <w:rsid w:val="00CC7FF3"/>
    <w:rsid w:val="00CD3400"/>
    <w:rsid w:val="00CD4CA1"/>
    <w:rsid w:val="00CD54D7"/>
    <w:rsid w:val="00CD6079"/>
    <w:rsid w:val="00CE526A"/>
    <w:rsid w:val="00CE61B1"/>
    <w:rsid w:val="00CE6A9E"/>
    <w:rsid w:val="00CE6ABA"/>
    <w:rsid w:val="00CF02CF"/>
    <w:rsid w:val="00CF1A5D"/>
    <w:rsid w:val="00CF451D"/>
    <w:rsid w:val="00D0124F"/>
    <w:rsid w:val="00D01AA1"/>
    <w:rsid w:val="00D03BAC"/>
    <w:rsid w:val="00D05C78"/>
    <w:rsid w:val="00D06194"/>
    <w:rsid w:val="00D13CD7"/>
    <w:rsid w:val="00D14B2C"/>
    <w:rsid w:val="00D14E6C"/>
    <w:rsid w:val="00D201B1"/>
    <w:rsid w:val="00D2452E"/>
    <w:rsid w:val="00D266D1"/>
    <w:rsid w:val="00D272C9"/>
    <w:rsid w:val="00D3515B"/>
    <w:rsid w:val="00D37546"/>
    <w:rsid w:val="00D42F5E"/>
    <w:rsid w:val="00D47830"/>
    <w:rsid w:val="00D50FAC"/>
    <w:rsid w:val="00D511A2"/>
    <w:rsid w:val="00D538D5"/>
    <w:rsid w:val="00D54077"/>
    <w:rsid w:val="00D56C28"/>
    <w:rsid w:val="00D5709D"/>
    <w:rsid w:val="00D62286"/>
    <w:rsid w:val="00D62D78"/>
    <w:rsid w:val="00D63C8C"/>
    <w:rsid w:val="00D6691B"/>
    <w:rsid w:val="00D67313"/>
    <w:rsid w:val="00D7104F"/>
    <w:rsid w:val="00D7357B"/>
    <w:rsid w:val="00D73F61"/>
    <w:rsid w:val="00D7420C"/>
    <w:rsid w:val="00D758F7"/>
    <w:rsid w:val="00D75D23"/>
    <w:rsid w:val="00D76409"/>
    <w:rsid w:val="00D7668E"/>
    <w:rsid w:val="00D83748"/>
    <w:rsid w:val="00D838CE"/>
    <w:rsid w:val="00D92257"/>
    <w:rsid w:val="00D9266E"/>
    <w:rsid w:val="00D93843"/>
    <w:rsid w:val="00D96519"/>
    <w:rsid w:val="00D96630"/>
    <w:rsid w:val="00DA1483"/>
    <w:rsid w:val="00DA3196"/>
    <w:rsid w:val="00DA3763"/>
    <w:rsid w:val="00DA38A8"/>
    <w:rsid w:val="00DA57CC"/>
    <w:rsid w:val="00DA7496"/>
    <w:rsid w:val="00DA7DB4"/>
    <w:rsid w:val="00DB2E32"/>
    <w:rsid w:val="00DB4159"/>
    <w:rsid w:val="00DB421D"/>
    <w:rsid w:val="00DB5A60"/>
    <w:rsid w:val="00DC41CB"/>
    <w:rsid w:val="00DC5E06"/>
    <w:rsid w:val="00DC7F2B"/>
    <w:rsid w:val="00DD16EB"/>
    <w:rsid w:val="00DD334C"/>
    <w:rsid w:val="00DD3C14"/>
    <w:rsid w:val="00DE3DF8"/>
    <w:rsid w:val="00DE492E"/>
    <w:rsid w:val="00DE77DF"/>
    <w:rsid w:val="00DF3395"/>
    <w:rsid w:val="00DF60F4"/>
    <w:rsid w:val="00E00C6E"/>
    <w:rsid w:val="00E01198"/>
    <w:rsid w:val="00E03BA0"/>
    <w:rsid w:val="00E048C1"/>
    <w:rsid w:val="00E06C88"/>
    <w:rsid w:val="00E13D51"/>
    <w:rsid w:val="00E153D3"/>
    <w:rsid w:val="00E1739E"/>
    <w:rsid w:val="00E208E1"/>
    <w:rsid w:val="00E21A61"/>
    <w:rsid w:val="00E2213A"/>
    <w:rsid w:val="00E221C5"/>
    <w:rsid w:val="00E24F7A"/>
    <w:rsid w:val="00E363CB"/>
    <w:rsid w:val="00E417FF"/>
    <w:rsid w:val="00E4249A"/>
    <w:rsid w:val="00E42619"/>
    <w:rsid w:val="00E45670"/>
    <w:rsid w:val="00E45674"/>
    <w:rsid w:val="00E4788E"/>
    <w:rsid w:val="00E50014"/>
    <w:rsid w:val="00E505F2"/>
    <w:rsid w:val="00E51DD9"/>
    <w:rsid w:val="00E54BEA"/>
    <w:rsid w:val="00E556F2"/>
    <w:rsid w:val="00E63AC2"/>
    <w:rsid w:val="00E63E54"/>
    <w:rsid w:val="00E65C05"/>
    <w:rsid w:val="00E66A4E"/>
    <w:rsid w:val="00E66C15"/>
    <w:rsid w:val="00E66D1A"/>
    <w:rsid w:val="00E66E67"/>
    <w:rsid w:val="00E6703C"/>
    <w:rsid w:val="00E67EE1"/>
    <w:rsid w:val="00E703D5"/>
    <w:rsid w:val="00E70AE4"/>
    <w:rsid w:val="00E7135D"/>
    <w:rsid w:val="00E73750"/>
    <w:rsid w:val="00E74E86"/>
    <w:rsid w:val="00E851DE"/>
    <w:rsid w:val="00E87299"/>
    <w:rsid w:val="00E909A8"/>
    <w:rsid w:val="00E92049"/>
    <w:rsid w:val="00E92F73"/>
    <w:rsid w:val="00E93892"/>
    <w:rsid w:val="00E94477"/>
    <w:rsid w:val="00E95A82"/>
    <w:rsid w:val="00EA1869"/>
    <w:rsid w:val="00EA2707"/>
    <w:rsid w:val="00EA4AAB"/>
    <w:rsid w:val="00EA4E24"/>
    <w:rsid w:val="00EA51FB"/>
    <w:rsid w:val="00EA5214"/>
    <w:rsid w:val="00EB0271"/>
    <w:rsid w:val="00EB5917"/>
    <w:rsid w:val="00EB5EF7"/>
    <w:rsid w:val="00EB6512"/>
    <w:rsid w:val="00EB712D"/>
    <w:rsid w:val="00EC0AA3"/>
    <w:rsid w:val="00EC1028"/>
    <w:rsid w:val="00EC13BC"/>
    <w:rsid w:val="00EC1599"/>
    <w:rsid w:val="00EC164A"/>
    <w:rsid w:val="00EC4EFE"/>
    <w:rsid w:val="00EC508B"/>
    <w:rsid w:val="00EC73CF"/>
    <w:rsid w:val="00ED0473"/>
    <w:rsid w:val="00ED0E20"/>
    <w:rsid w:val="00ED1A27"/>
    <w:rsid w:val="00ED2CD2"/>
    <w:rsid w:val="00ED7ED3"/>
    <w:rsid w:val="00EE6274"/>
    <w:rsid w:val="00EF30A4"/>
    <w:rsid w:val="00EF51D9"/>
    <w:rsid w:val="00EF53A0"/>
    <w:rsid w:val="00EF70FE"/>
    <w:rsid w:val="00EF7D74"/>
    <w:rsid w:val="00F008DD"/>
    <w:rsid w:val="00F00E36"/>
    <w:rsid w:val="00F01F41"/>
    <w:rsid w:val="00F078B8"/>
    <w:rsid w:val="00F11CD8"/>
    <w:rsid w:val="00F13D05"/>
    <w:rsid w:val="00F17683"/>
    <w:rsid w:val="00F17A65"/>
    <w:rsid w:val="00F30090"/>
    <w:rsid w:val="00F30CE0"/>
    <w:rsid w:val="00F30E92"/>
    <w:rsid w:val="00F31281"/>
    <w:rsid w:val="00F350B9"/>
    <w:rsid w:val="00F402D1"/>
    <w:rsid w:val="00F44E6B"/>
    <w:rsid w:val="00F5448F"/>
    <w:rsid w:val="00F63CBD"/>
    <w:rsid w:val="00F662A0"/>
    <w:rsid w:val="00F6677E"/>
    <w:rsid w:val="00F668B9"/>
    <w:rsid w:val="00F7485C"/>
    <w:rsid w:val="00F8172A"/>
    <w:rsid w:val="00F83352"/>
    <w:rsid w:val="00F84EDF"/>
    <w:rsid w:val="00F87D43"/>
    <w:rsid w:val="00F87F57"/>
    <w:rsid w:val="00F9324E"/>
    <w:rsid w:val="00F96050"/>
    <w:rsid w:val="00F97F94"/>
    <w:rsid w:val="00FA0245"/>
    <w:rsid w:val="00FA0804"/>
    <w:rsid w:val="00FA3034"/>
    <w:rsid w:val="00FA4ABE"/>
    <w:rsid w:val="00FA7B08"/>
    <w:rsid w:val="00FB7413"/>
    <w:rsid w:val="00FC1818"/>
    <w:rsid w:val="00FC229C"/>
    <w:rsid w:val="00FC25D2"/>
    <w:rsid w:val="00FD0C6F"/>
    <w:rsid w:val="00FD274B"/>
    <w:rsid w:val="00FD307E"/>
    <w:rsid w:val="00FD4AAE"/>
    <w:rsid w:val="00FE1D15"/>
    <w:rsid w:val="00FE3BB0"/>
    <w:rsid w:val="00FE60F3"/>
    <w:rsid w:val="00FF0DF0"/>
    <w:rsid w:val="00FF296E"/>
    <w:rsid w:val="00FF64D0"/>
    <w:rsid w:val="00FF7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6D0E8"/>
  <w15:chartTrackingRefBased/>
  <w15:docId w15:val="{C9068BC8-C040-488E-AE13-55FB3FFF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A36C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101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452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19D2"/>
    <w:rPr>
      <w:color w:val="0563C1" w:themeColor="hyperlink"/>
      <w:u w:val="single"/>
    </w:rPr>
  </w:style>
  <w:style w:type="character" w:customStyle="1" w:styleId="UnresolvedMention1">
    <w:name w:val="Unresolved Mention1"/>
    <w:basedOn w:val="DefaultParagraphFont"/>
    <w:uiPriority w:val="99"/>
    <w:semiHidden/>
    <w:unhideWhenUsed/>
    <w:rsid w:val="00BA19D2"/>
    <w:rPr>
      <w:color w:val="605E5C"/>
      <w:shd w:val="clear" w:color="auto" w:fill="E1DFDD"/>
    </w:rPr>
  </w:style>
  <w:style w:type="paragraph" w:styleId="ListParagraph">
    <w:name w:val="List Paragraph"/>
    <w:basedOn w:val="Normal"/>
    <w:uiPriority w:val="34"/>
    <w:qFormat/>
    <w:rsid w:val="00182864"/>
    <w:pPr>
      <w:ind w:left="720"/>
      <w:contextualSpacing/>
    </w:pPr>
  </w:style>
  <w:style w:type="character" w:styleId="PlaceholderText">
    <w:name w:val="Placeholder Text"/>
    <w:basedOn w:val="DefaultParagraphFont"/>
    <w:uiPriority w:val="99"/>
    <w:semiHidden/>
    <w:rsid w:val="00182864"/>
    <w:rPr>
      <w:color w:val="808080"/>
    </w:rPr>
  </w:style>
  <w:style w:type="paragraph" w:styleId="Header">
    <w:name w:val="header"/>
    <w:basedOn w:val="Normal"/>
    <w:link w:val="HeaderChar"/>
    <w:uiPriority w:val="99"/>
    <w:unhideWhenUsed/>
    <w:rsid w:val="00790569"/>
    <w:pPr>
      <w:tabs>
        <w:tab w:val="center" w:pos="4680"/>
        <w:tab w:val="right" w:pos="9360"/>
      </w:tabs>
    </w:pPr>
  </w:style>
  <w:style w:type="character" w:customStyle="1" w:styleId="HeaderChar">
    <w:name w:val="Header Char"/>
    <w:basedOn w:val="DefaultParagraphFont"/>
    <w:link w:val="Header"/>
    <w:uiPriority w:val="99"/>
    <w:rsid w:val="00790569"/>
  </w:style>
  <w:style w:type="paragraph" w:styleId="Footer">
    <w:name w:val="footer"/>
    <w:basedOn w:val="Normal"/>
    <w:link w:val="FooterChar"/>
    <w:uiPriority w:val="99"/>
    <w:unhideWhenUsed/>
    <w:rsid w:val="00790569"/>
    <w:pPr>
      <w:tabs>
        <w:tab w:val="center" w:pos="4680"/>
        <w:tab w:val="right" w:pos="9360"/>
      </w:tabs>
    </w:pPr>
  </w:style>
  <w:style w:type="character" w:customStyle="1" w:styleId="FooterChar">
    <w:name w:val="Footer Char"/>
    <w:basedOn w:val="DefaultParagraphFont"/>
    <w:link w:val="Footer"/>
    <w:uiPriority w:val="99"/>
    <w:rsid w:val="00790569"/>
  </w:style>
  <w:style w:type="character" w:styleId="FollowedHyperlink">
    <w:name w:val="FollowedHyperlink"/>
    <w:basedOn w:val="DefaultParagraphFont"/>
    <w:uiPriority w:val="99"/>
    <w:semiHidden/>
    <w:unhideWhenUsed/>
    <w:rsid w:val="0064616E"/>
    <w:rPr>
      <w:color w:val="954F72" w:themeColor="followedHyperlink"/>
      <w:u w:val="single"/>
    </w:rPr>
  </w:style>
  <w:style w:type="character" w:customStyle="1" w:styleId="Heading1Char">
    <w:name w:val="Heading 1 Char"/>
    <w:basedOn w:val="DefaultParagraphFont"/>
    <w:link w:val="Heading1"/>
    <w:uiPriority w:val="9"/>
    <w:rsid w:val="00C101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452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C6F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6FD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10039">
      <w:bodyDiv w:val="1"/>
      <w:marLeft w:val="0"/>
      <w:marRight w:val="0"/>
      <w:marTop w:val="0"/>
      <w:marBottom w:val="0"/>
      <w:divBdr>
        <w:top w:val="none" w:sz="0" w:space="0" w:color="auto"/>
        <w:left w:val="none" w:sz="0" w:space="0" w:color="auto"/>
        <w:bottom w:val="none" w:sz="0" w:space="0" w:color="auto"/>
        <w:right w:val="none" w:sz="0" w:space="0" w:color="auto"/>
      </w:divBdr>
    </w:div>
    <w:div w:id="26223793">
      <w:bodyDiv w:val="1"/>
      <w:marLeft w:val="0"/>
      <w:marRight w:val="0"/>
      <w:marTop w:val="0"/>
      <w:marBottom w:val="0"/>
      <w:divBdr>
        <w:top w:val="none" w:sz="0" w:space="0" w:color="auto"/>
        <w:left w:val="none" w:sz="0" w:space="0" w:color="auto"/>
        <w:bottom w:val="none" w:sz="0" w:space="0" w:color="auto"/>
        <w:right w:val="none" w:sz="0" w:space="0" w:color="auto"/>
      </w:divBdr>
    </w:div>
    <w:div w:id="61027683">
      <w:bodyDiv w:val="1"/>
      <w:marLeft w:val="0"/>
      <w:marRight w:val="0"/>
      <w:marTop w:val="0"/>
      <w:marBottom w:val="0"/>
      <w:divBdr>
        <w:top w:val="none" w:sz="0" w:space="0" w:color="auto"/>
        <w:left w:val="none" w:sz="0" w:space="0" w:color="auto"/>
        <w:bottom w:val="none" w:sz="0" w:space="0" w:color="auto"/>
        <w:right w:val="none" w:sz="0" w:space="0" w:color="auto"/>
      </w:divBdr>
    </w:div>
    <w:div w:id="88163956">
      <w:bodyDiv w:val="1"/>
      <w:marLeft w:val="0"/>
      <w:marRight w:val="0"/>
      <w:marTop w:val="0"/>
      <w:marBottom w:val="0"/>
      <w:divBdr>
        <w:top w:val="none" w:sz="0" w:space="0" w:color="auto"/>
        <w:left w:val="none" w:sz="0" w:space="0" w:color="auto"/>
        <w:bottom w:val="none" w:sz="0" w:space="0" w:color="auto"/>
        <w:right w:val="none" w:sz="0" w:space="0" w:color="auto"/>
      </w:divBdr>
    </w:div>
    <w:div w:id="113407004">
      <w:bodyDiv w:val="1"/>
      <w:marLeft w:val="0"/>
      <w:marRight w:val="0"/>
      <w:marTop w:val="0"/>
      <w:marBottom w:val="0"/>
      <w:divBdr>
        <w:top w:val="none" w:sz="0" w:space="0" w:color="auto"/>
        <w:left w:val="none" w:sz="0" w:space="0" w:color="auto"/>
        <w:bottom w:val="none" w:sz="0" w:space="0" w:color="auto"/>
        <w:right w:val="none" w:sz="0" w:space="0" w:color="auto"/>
      </w:divBdr>
    </w:div>
    <w:div w:id="185020135">
      <w:bodyDiv w:val="1"/>
      <w:marLeft w:val="0"/>
      <w:marRight w:val="0"/>
      <w:marTop w:val="0"/>
      <w:marBottom w:val="0"/>
      <w:divBdr>
        <w:top w:val="none" w:sz="0" w:space="0" w:color="auto"/>
        <w:left w:val="none" w:sz="0" w:space="0" w:color="auto"/>
        <w:bottom w:val="none" w:sz="0" w:space="0" w:color="auto"/>
        <w:right w:val="none" w:sz="0" w:space="0" w:color="auto"/>
      </w:divBdr>
    </w:div>
    <w:div w:id="196893849">
      <w:bodyDiv w:val="1"/>
      <w:marLeft w:val="0"/>
      <w:marRight w:val="0"/>
      <w:marTop w:val="0"/>
      <w:marBottom w:val="0"/>
      <w:divBdr>
        <w:top w:val="none" w:sz="0" w:space="0" w:color="auto"/>
        <w:left w:val="none" w:sz="0" w:space="0" w:color="auto"/>
        <w:bottom w:val="none" w:sz="0" w:space="0" w:color="auto"/>
        <w:right w:val="none" w:sz="0" w:space="0" w:color="auto"/>
      </w:divBdr>
    </w:div>
    <w:div w:id="214662883">
      <w:bodyDiv w:val="1"/>
      <w:marLeft w:val="0"/>
      <w:marRight w:val="0"/>
      <w:marTop w:val="0"/>
      <w:marBottom w:val="0"/>
      <w:divBdr>
        <w:top w:val="none" w:sz="0" w:space="0" w:color="auto"/>
        <w:left w:val="none" w:sz="0" w:space="0" w:color="auto"/>
        <w:bottom w:val="none" w:sz="0" w:space="0" w:color="auto"/>
        <w:right w:val="none" w:sz="0" w:space="0" w:color="auto"/>
      </w:divBdr>
    </w:div>
    <w:div w:id="274674406">
      <w:bodyDiv w:val="1"/>
      <w:marLeft w:val="0"/>
      <w:marRight w:val="0"/>
      <w:marTop w:val="0"/>
      <w:marBottom w:val="0"/>
      <w:divBdr>
        <w:top w:val="none" w:sz="0" w:space="0" w:color="auto"/>
        <w:left w:val="none" w:sz="0" w:space="0" w:color="auto"/>
        <w:bottom w:val="none" w:sz="0" w:space="0" w:color="auto"/>
        <w:right w:val="none" w:sz="0" w:space="0" w:color="auto"/>
      </w:divBdr>
    </w:div>
    <w:div w:id="285739613">
      <w:bodyDiv w:val="1"/>
      <w:marLeft w:val="0"/>
      <w:marRight w:val="0"/>
      <w:marTop w:val="0"/>
      <w:marBottom w:val="0"/>
      <w:divBdr>
        <w:top w:val="none" w:sz="0" w:space="0" w:color="auto"/>
        <w:left w:val="none" w:sz="0" w:space="0" w:color="auto"/>
        <w:bottom w:val="none" w:sz="0" w:space="0" w:color="auto"/>
        <w:right w:val="none" w:sz="0" w:space="0" w:color="auto"/>
      </w:divBdr>
    </w:div>
    <w:div w:id="295455315">
      <w:bodyDiv w:val="1"/>
      <w:marLeft w:val="0"/>
      <w:marRight w:val="0"/>
      <w:marTop w:val="0"/>
      <w:marBottom w:val="0"/>
      <w:divBdr>
        <w:top w:val="none" w:sz="0" w:space="0" w:color="auto"/>
        <w:left w:val="none" w:sz="0" w:space="0" w:color="auto"/>
        <w:bottom w:val="none" w:sz="0" w:space="0" w:color="auto"/>
        <w:right w:val="none" w:sz="0" w:space="0" w:color="auto"/>
      </w:divBdr>
    </w:div>
    <w:div w:id="302389561">
      <w:bodyDiv w:val="1"/>
      <w:marLeft w:val="0"/>
      <w:marRight w:val="0"/>
      <w:marTop w:val="0"/>
      <w:marBottom w:val="0"/>
      <w:divBdr>
        <w:top w:val="none" w:sz="0" w:space="0" w:color="auto"/>
        <w:left w:val="none" w:sz="0" w:space="0" w:color="auto"/>
        <w:bottom w:val="none" w:sz="0" w:space="0" w:color="auto"/>
        <w:right w:val="none" w:sz="0" w:space="0" w:color="auto"/>
      </w:divBdr>
    </w:div>
    <w:div w:id="328560054">
      <w:bodyDiv w:val="1"/>
      <w:marLeft w:val="0"/>
      <w:marRight w:val="0"/>
      <w:marTop w:val="0"/>
      <w:marBottom w:val="0"/>
      <w:divBdr>
        <w:top w:val="none" w:sz="0" w:space="0" w:color="auto"/>
        <w:left w:val="none" w:sz="0" w:space="0" w:color="auto"/>
        <w:bottom w:val="none" w:sz="0" w:space="0" w:color="auto"/>
        <w:right w:val="none" w:sz="0" w:space="0" w:color="auto"/>
      </w:divBdr>
    </w:div>
    <w:div w:id="379331118">
      <w:bodyDiv w:val="1"/>
      <w:marLeft w:val="0"/>
      <w:marRight w:val="0"/>
      <w:marTop w:val="0"/>
      <w:marBottom w:val="0"/>
      <w:divBdr>
        <w:top w:val="none" w:sz="0" w:space="0" w:color="auto"/>
        <w:left w:val="none" w:sz="0" w:space="0" w:color="auto"/>
        <w:bottom w:val="none" w:sz="0" w:space="0" w:color="auto"/>
        <w:right w:val="none" w:sz="0" w:space="0" w:color="auto"/>
      </w:divBdr>
    </w:div>
    <w:div w:id="381562960">
      <w:bodyDiv w:val="1"/>
      <w:marLeft w:val="0"/>
      <w:marRight w:val="0"/>
      <w:marTop w:val="0"/>
      <w:marBottom w:val="0"/>
      <w:divBdr>
        <w:top w:val="none" w:sz="0" w:space="0" w:color="auto"/>
        <w:left w:val="none" w:sz="0" w:space="0" w:color="auto"/>
        <w:bottom w:val="none" w:sz="0" w:space="0" w:color="auto"/>
        <w:right w:val="none" w:sz="0" w:space="0" w:color="auto"/>
      </w:divBdr>
    </w:div>
    <w:div w:id="405299352">
      <w:bodyDiv w:val="1"/>
      <w:marLeft w:val="0"/>
      <w:marRight w:val="0"/>
      <w:marTop w:val="0"/>
      <w:marBottom w:val="0"/>
      <w:divBdr>
        <w:top w:val="none" w:sz="0" w:space="0" w:color="auto"/>
        <w:left w:val="none" w:sz="0" w:space="0" w:color="auto"/>
        <w:bottom w:val="none" w:sz="0" w:space="0" w:color="auto"/>
        <w:right w:val="none" w:sz="0" w:space="0" w:color="auto"/>
      </w:divBdr>
    </w:div>
    <w:div w:id="435641469">
      <w:bodyDiv w:val="1"/>
      <w:marLeft w:val="0"/>
      <w:marRight w:val="0"/>
      <w:marTop w:val="0"/>
      <w:marBottom w:val="0"/>
      <w:divBdr>
        <w:top w:val="none" w:sz="0" w:space="0" w:color="auto"/>
        <w:left w:val="none" w:sz="0" w:space="0" w:color="auto"/>
        <w:bottom w:val="none" w:sz="0" w:space="0" w:color="auto"/>
        <w:right w:val="none" w:sz="0" w:space="0" w:color="auto"/>
      </w:divBdr>
    </w:div>
    <w:div w:id="438380540">
      <w:bodyDiv w:val="1"/>
      <w:marLeft w:val="0"/>
      <w:marRight w:val="0"/>
      <w:marTop w:val="0"/>
      <w:marBottom w:val="0"/>
      <w:divBdr>
        <w:top w:val="none" w:sz="0" w:space="0" w:color="auto"/>
        <w:left w:val="none" w:sz="0" w:space="0" w:color="auto"/>
        <w:bottom w:val="none" w:sz="0" w:space="0" w:color="auto"/>
        <w:right w:val="none" w:sz="0" w:space="0" w:color="auto"/>
      </w:divBdr>
    </w:div>
    <w:div w:id="442654489">
      <w:bodyDiv w:val="1"/>
      <w:marLeft w:val="0"/>
      <w:marRight w:val="0"/>
      <w:marTop w:val="0"/>
      <w:marBottom w:val="0"/>
      <w:divBdr>
        <w:top w:val="none" w:sz="0" w:space="0" w:color="auto"/>
        <w:left w:val="none" w:sz="0" w:space="0" w:color="auto"/>
        <w:bottom w:val="none" w:sz="0" w:space="0" w:color="auto"/>
        <w:right w:val="none" w:sz="0" w:space="0" w:color="auto"/>
      </w:divBdr>
    </w:div>
    <w:div w:id="572617352">
      <w:bodyDiv w:val="1"/>
      <w:marLeft w:val="0"/>
      <w:marRight w:val="0"/>
      <w:marTop w:val="0"/>
      <w:marBottom w:val="0"/>
      <w:divBdr>
        <w:top w:val="none" w:sz="0" w:space="0" w:color="auto"/>
        <w:left w:val="none" w:sz="0" w:space="0" w:color="auto"/>
        <w:bottom w:val="none" w:sz="0" w:space="0" w:color="auto"/>
        <w:right w:val="none" w:sz="0" w:space="0" w:color="auto"/>
      </w:divBdr>
    </w:div>
    <w:div w:id="595410309">
      <w:bodyDiv w:val="1"/>
      <w:marLeft w:val="0"/>
      <w:marRight w:val="0"/>
      <w:marTop w:val="0"/>
      <w:marBottom w:val="0"/>
      <w:divBdr>
        <w:top w:val="none" w:sz="0" w:space="0" w:color="auto"/>
        <w:left w:val="none" w:sz="0" w:space="0" w:color="auto"/>
        <w:bottom w:val="none" w:sz="0" w:space="0" w:color="auto"/>
        <w:right w:val="none" w:sz="0" w:space="0" w:color="auto"/>
      </w:divBdr>
    </w:div>
    <w:div w:id="630408051">
      <w:bodyDiv w:val="1"/>
      <w:marLeft w:val="0"/>
      <w:marRight w:val="0"/>
      <w:marTop w:val="0"/>
      <w:marBottom w:val="0"/>
      <w:divBdr>
        <w:top w:val="none" w:sz="0" w:space="0" w:color="auto"/>
        <w:left w:val="none" w:sz="0" w:space="0" w:color="auto"/>
        <w:bottom w:val="none" w:sz="0" w:space="0" w:color="auto"/>
        <w:right w:val="none" w:sz="0" w:space="0" w:color="auto"/>
      </w:divBdr>
    </w:div>
    <w:div w:id="634792907">
      <w:bodyDiv w:val="1"/>
      <w:marLeft w:val="0"/>
      <w:marRight w:val="0"/>
      <w:marTop w:val="0"/>
      <w:marBottom w:val="0"/>
      <w:divBdr>
        <w:top w:val="none" w:sz="0" w:space="0" w:color="auto"/>
        <w:left w:val="none" w:sz="0" w:space="0" w:color="auto"/>
        <w:bottom w:val="none" w:sz="0" w:space="0" w:color="auto"/>
        <w:right w:val="none" w:sz="0" w:space="0" w:color="auto"/>
      </w:divBdr>
    </w:div>
    <w:div w:id="641617837">
      <w:bodyDiv w:val="1"/>
      <w:marLeft w:val="0"/>
      <w:marRight w:val="0"/>
      <w:marTop w:val="0"/>
      <w:marBottom w:val="0"/>
      <w:divBdr>
        <w:top w:val="none" w:sz="0" w:space="0" w:color="auto"/>
        <w:left w:val="none" w:sz="0" w:space="0" w:color="auto"/>
        <w:bottom w:val="none" w:sz="0" w:space="0" w:color="auto"/>
        <w:right w:val="none" w:sz="0" w:space="0" w:color="auto"/>
      </w:divBdr>
    </w:div>
    <w:div w:id="658581121">
      <w:bodyDiv w:val="1"/>
      <w:marLeft w:val="0"/>
      <w:marRight w:val="0"/>
      <w:marTop w:val="0"/>
      <w:marBottom w:val="0"/>
      <w:divBdr>
        <w:top w:val="none" w:sz="0" w:space="0" w:color="auto"/>
        <w:left w:val="none" w:sz="0" w:space="0" w:color="auto"/>
        <w:bottom w:val="none" w:sz="0" w:space="0" w:color="auto"/>
        <w:right w:val="none" w:sz="0" w:space="0" w:color="auto"/>
      </w:divBdr>
    </w:div>
    <w:div w:id="730032597">
      <w:bodyDiv w:val="1"/>
      <w:marLeft w:val="0"/>
      <w:marRight w:val="0"/>
      <w:marTop w:val="0"/>
      <w:marBottom w:val="0"/>
      <w:divBdr>
        <w:top w:val="none" w:sz="0" w:space="0" w:color="auto"/>
        <w:left w:val="none" w:sz="0" w:space="0" w:color="auto"/>
        <w:bottom w:val="none" w:sz="0" w:space="0" w:color="auto"/>
        <w:right w:val="none" w:sz="0" w:space="0" w:color="auto"/>
      </w:divBdr>
    </w:div>
    <w:div w:id="752631056">
      <w:bodyDiv w:val="1"/>
      <w:marLeft w:val="0"/>
      <w:marRight w:val="0"/>
      <w:marTop w:val="0"/>
      <w:marBottom w:val="0"/>
      <w:divBdr>
        <w:top w:val="none" w:sz="0" w:space="0" w:color="auto"/>
        <w:left w:val="none" w:sz="0" w:space="0" w:color="auto"/>
        <w:bottom w:val="none" w:sz="0" w:space="0" w:color="auto"/>
        <w:right w:val="none" w:sz="0" w:space="0" w:color="auto"/>
      </w:divBdr>
    </w:div>
    <w:div w:id="791438128">
      <w:bodyDiv w:val="1"/>
      <w:marLeft w:val="0"/>
      <w:marRight w:val="0"/>
      <w:marTop w:val="0"/>
      <w:marBottom w:val="0"/>
      <w:divBdr>
        <w:top w:val="none" w:sz="0" w:space="0" w:color="auto"/>
        <w:left w:val="none" w:sz="0" w:space="0" w:color="auto"/>
        <w:bottom w:val="none" w:sz="0" w:space="0" w:color="auto"/>
        <w:right w:val="none" w:sz="0" w:space="0" w:color="auto"/>
      </w:divBdr>
    </w:div>
    <w:div w:id="794177067">
      <w:bodyDiv w:val="1"/>
      <w:marLeft w:val="0"/>
      <w:marRight w:val="0"/>
      <w:marTop w:val="0"/>
      <w:marBottom w:val="0"/>
      <w:divBdr>
        <w:top w:val="none" w:sz="0" w:space="0" w:color="auto"/>
        <w:left w:val="none" w:sz="0" w:space="0" w:color="auto"/>
        <w:bottom w:val="none" w:sz="0" w:space="0" w:color="auto"/>
        <w:right w:val="none" w:sz="0" w:space="0" w:color="auto"/>
      </w:divBdr>
    </w:div>
    <w:div w:id="800071952">
      <w:bodyDiv w:val="1"/>
      <w:marLeft w:val="0"/>
      <w:marRight w:val="0"/>
      <w:marTop w:val="0"/>
      <w:marBottom w:val="0"/>
      <w:divBdr>
        <w:top w:val="none" w:sz="0" w:space="0" w:color="auto"/>
        <w:left w:val="none" w:sz="0" w:space="0" w:color="auto"/>
        <w:bottom w:val="none" w:sz="0" w:space="0" w:color="auto"/>
        <w:right w:val="none" w:sz="0" w:space="0" w:color="auto"/>
      </w:divBdr>
    </w:div>
    <w:div w:id="804859831">
      <w:bodyDiv w:val="1"/>
      <w:marLeft w:val="0"/>
      <w:marRight w:val="0"/>
      <w:marTop w:val="0"/>
      <w:marBottom w:val="0"/>
      <w:divBdr>
        <w:top w:val="none" w:sz="0" w:space="0" w:color="auto"/>
        <w:left w:val="none" w:sz="0" w:space="0" w:color="auto"/>
        <w:bottom w:val="none" w:sz="0" w:space="0" w:color="auto"/>
        <w:right w:val="none" w:sz="0" w:space="0" w:color="auto"/>
      </w:divBdr>
    </w:div>
    <w:div w:id="812603370">
      <w:bodyDiv w:val="1"/>
      <w:marLeft w:val="0"/>
      <w:marRight w:val="0"/>
      <w:marTop w:val="0"/>
      <w:marBottom w:val="0"/>
      <w:divBdr>
        <w:top w:val="none" w:sz="0" w:space="0" w:color="auto"/>
        <w:left w:val="none" w:sz="0" w:space="0" w:color="auto"/>
        <w:bottom w:val="none" w:sz="0" w:space="0" w:color="auto"/>
        <w:right w:val="none" w:sz="0" w:space="0" w:color="auto"/>
      </w:divBdr>
    </w:div>
    <w:div w:id="838425495">
      <w:bodyDiv w:val="1"/>
      <w:marLeft w:val="0"/>
      <w:marRight w:val="0"/>
      <w:marTop w:val="0"/>
      <w:marBottom w:val="0"/>
      <w:divBdr>
        <w:top w:val="none" w:sz="0" w:space="0" w:color="auto"/>
        <w:left w:val="none" w:sz="0" w:space="0" w:color="auto"/>
        <w:bottom w:val="none" w:sz="0" w:space="0" w:color="auto"/>
        <w:right w:val="none" w:sz="0" w:space="0" w:color="auto"/>
      </w:divBdr>
    </w:div>
    <w:div w:id="840047184">
      <w:bodyDiv w:val="1"/>
      <w:marLeft w:val="0"/>
      <w:marRight w:val="0"/>
      <w:marTop w:val="0"/>
      <w:marBottom w:val="0"/>
      <w:divBdr>
        <w:top w:val="none" w:sz="0" w:space="0" w:color="auto"/>
        <w:left w:val="none" w:sz="0" w:space="0" w:color="auto"/>
        <w:bottom w:val="none" w:sz="0" w:space="0" w:color="auto"/>
        <w:right w:val="none" w:sz="0" w:space="0" w:color="auto"/>
      </w:divBdr>
    </w:div>
    <w:div w:id="884221566">
      <w:bodyDiv w:val="1"/>
      <w:marLeft w:val="0"/>
      <w:marRight w:val="0"/>
      <w:marTop w:val="0"/>
      <w:marBottom w:val="0"/>
      <w:divBdr>
        <w:top w:val="none" w:sz="0" w:space="0" w:color="auto"/>
        <w:left w:val="none" w:sz="0" w:space="0" w:color="auto"/>
        <w:bottom w:val="none" w:sz="0" w:space="0" w:color="auto"/>
        <w:right w:val="none" w:sz="0" w:space="0" w:color="auto"/>
      </w:divBdr>
    </w:div>
    <w:div w:id="912810414">
      <w:bodyDiv w:val="1"/>
      <w:marLeft w:val="0"/>
      <w:marRight w:val="0"/>
      <w:marTop w:val="0"/>
      <w:marBottom w:val="0"/>
      <w:divBdr>
        <w:top w:val="none" w:sz="0" w:space="0" w:color="auto"/>
        <w:left w:val="none" w:sz="0" w:space="0" w:color="auto"/>
        <w:bottom w:val="none" w:sz="0" w:space="0" w:color="auto"/>
        <w:right w:val="none" w:sz="0" w:space="0" w:color="auto"/>
      </w:divBdr>
    </w:div>
    <w:div w:id="918179616">
      <w:bodyDiv w:val="1"/>
      <w:marLeft w:val="0"/>
      <w:marRight w:val="0"/>
      <w:marTop w:val="0"/>
      <w:marBottom w:val="0"/>
      <w:divBdr>
        <w:top w:val="none" w:sz="0" w:space="0" w:color="auto"/>
        <w:left w:val="none" w:sz="0" w:space="0" w:color="auto"/>
        <w:bottom w:val="none" w:sz="0" w:space="0" w:color="auto"/>
        <w:right w:val="none" w:sz="0" w:space="0" w:color="auto"/>
      </w:divBdr>
      <w:divsChild>
        <w:div w:id="2108310833">
          <w:marLeft w:val="0"/>
          <w:marRight w:val="0"/>
          <w:marTop w:val="0"/>
          <w:marBottom w:val="0"/>
          <w:divBdr>
            <w:top w:val="none" w:sz="0" w:space="0" w:color="auto"/>
            <w:left w:val="none" w:sz="0" w:space="0" w:color="auto"/>
            <w:bottom w:val="none" w:sz="0" w:space="0" w:color="auto"/>
            <w:right w:val="none" w:sz="0" w:space="0" w:color="auto"/>
          </w:divBdr>
        </w:div>
        <w:div w:id="106043679">
          <w:marLeft w:val="0"/>
          <w:marRight w:val="0"/>
          <w:marTop w:val="0"/>
          <w:marBottom w:val="0"/>
          <w:divBdr>
            <w:top w:val="none" w:sz="0" w:space="0" w:color="auto"/>
            <w:left w:val="none" w:sz="0" w:space="0" w:color="auto"/>
            <w:bottom w:val="none" w:sz="0" w:space="0" w:color="auto"/>
            <w:right w:val="none" w:sz="0" w:space="0" w:color="auto"/>
          </w:divBdr>
        </w:div>
        <w:div w:id="1110316171">
          <w:marLeft w:val="0"/>
          <w:marRight w:val="0"/>
          <w:marTop w:val="0"/>
          <w:marBottom w:val="0"/>
          <w:divBdr>
            <w:top w:val="none" w:sz="0" w:space="0" w:color="auto"/>
            <w:left w:val="none" w:sz="0" w:space="0" w:color="auto"/>
            <w:bottom w:val="none" w:sz="0" w:space="0" w:color="auto"/>
            <w:right w:val="none" w:sz="0" w:space="0" w:color="auto"/>
          </w:divBdr>
        </w:div>
      </w:divsChild>
    </w:div>
    <w:div w:id="981353031">
      <w:bodyDiv w:val="1"/>
      <w:marLeft w:val="0"/>
      <w:marRight w:val="0"/>
      <w:marTop w:val="0"/>
      <w:marBottom w:val="0"/>
      <w:divBdr>
        <w:top w:val="none" w:sz="0" w:space="0" w:color="auto"/>
        <w:left w:val="none" w:sz="0" w:space="0" w:color="auto"/>
        <w:bottom w:val="none" w:sz="0" w:space="0" w:color="auto"/>
        <w:right w:val="none" w:sz="0" w:space="0" w:color="auto"/>
      </w:divBdr>
    </w:div>
    <w:div w:id="1005205765">
      <w:bodyDiv w:val="1"/>
      <w:marLeft w:val="0"/>
      <w:marRight w:val="0"/>
      <w:marTop w:val="0"/>
      <w:marBottom w:val="0"/>
      <w:divBdr>
        <w:top w:val="none" w:sz="0" w:space="0" w:color="auto"/>
        <w:left w:val="none" w:sz="0" w:space="0" w:color="auto"/>
        <w:bottom w:val="none" w:sz="0" w:space="0" w:color="auto"/>
        <w:right w:val="none" w:sz="0" w:space="0" w:color="auto"/>
      </w:divBdr>
    </w:div>
    <w:div w:id="1007170511">
      <w:bodyDiv w:val="1"/>
      <w:marLeft w:val="0"/>
      <w:marRight w:val="0"/>
      <w:marTop w:val="0"/>
      <w:marBottom w:val="0"/>
      <w:divBdr>
        <w:top w:val="none" w:sz="0" w:space="0" w:color="auto"/>
        <w:left w:val="none" w:sz="0" w:space="0" w:color="auto"/>
        <w:bottom w:val="none" w:sz="0" w:space="0" w:color="auto"/>
        <w:right w:val="none" w:sz="0" w:space="0" w:color="auto"/>
      </w:divBdr>
    </w:div>
    <w:div w:id="1061438400">
      <w:bodyDiv w:val="1"/>
      <w:marLeft w:val="0"/>
      <w:marRight w:val="0"/>
      <w:marTop w:val="0"/>
      <w:marBottom w:val="0"/>
      <w:divBdr>
        <w:top w:val="none" w:sz="0" w:space="0" w:color="auto"/>
        <w:left w:val="none" w:sz="0" w:space="0" w:color="auto"/>
        <w:bottom w:val="none" w:sz="0" w:space="0" w:color="auto"/>
        <w:right w:val="none" w:sz="0" w:space="0" w:color="auto"/>
      </w:divBdr>
    </w:div>
    <w:div w:id="1098520054">
      <w:bodyDiv w:val="1"/>
      <w:marLeft w:val="0"/>
      <w:marRight w:val="0"/>
      <w:marTop w:val="0"/>
      <w:marBottom w:val="0"/>
      <w:divBdr>
        <w:top w:val="none" w:sz="0" w:space="0" w:color="auto"/>
        <w:left w:val="none" w:sz="0" w:space="0" w:color="auto"/>
        <w:bottom w:val="none" w:sz="0" w:space="0" w:color="auto"/>
        <w:right w:val="none" w:sz="0" w:space="0" w:color="auto"/>
      </w:divBdr>
    </w:div>
    <w:div w:id="1113209675">
      <w:bodyDiv w:val="1"/>
      <w:marLeft w:val="0"/>
      <w:marRight w:val="0"/>
      <w:marTop w:val="0"/>
      <w:marBottom w:val="0"/>
      <w:divBdr>
        <w:top w:val="none" w:sz="0" w:space="0" w:color="auto"/>
        <w:left w:val="none" w:sz="0" w:space="0" w:color="auto"/>
        <w:bottom w:val="none" w:sz="0" w:space="0" w:color="auto"/>
        <w:right w:val="none" w:sz="0" w:space="0" w:color="auto"/>
      </w:divBdr>
    </w:div>
    <w:div w:id="1160659174">
      <w:bodyDiv w:val="1"/>
      <w:marLeft w:val="0"/>
      <w:marRight w:val="0"/>
      <w:marTop w:val="0"/>
      <w:marBottom w:val="0"/>
      <w:divBdr>
        <w:top w:val="none" w:sz="0" w:space="0" w:color="auto"/>
        <w:left w:val="none" w:sz="0" w:space="0" w:color="auto"/>
        <w:bottom w:val="none" w:sz="0" w:space="0" w:color="auto"/>
        <w:right w:val="none" w:sz="0" w:space="0" w:color="auto"/>
      </w:divBdr>
    </w:div>
    <w:div w:id="1184857898">
      <w:bodyDiv w:val="1"/>
      <w:marLeft w:val="0"/>
      <w:marRight w:val="0"/>
      <w:marTop w:val="0"/>
      <w:marBottom w:val="0"/>
      <w:divBdr>
        <w:top w:val="none" w:sz="0" w:space="0" w:color="auto"/>
        <w:left w:val="none" w:sz="0" w:space="0" w:color="auto"/>
        <w:bottom w:val="none" w:sz="0" w:space="0" w:color="auto"/>
        <w:right w:val="none" w:sz="0" w:space="0" w:color="auto"/>
      </w:divBdr>
    </w:div>
    <w:div w:id="1237593952">
      <w:bodyDiv w:val="1"/>
      <w:marLeft w:val="0"/>
      <w:marRight w:val="0"/>
      <w:marTop w:val="0"/>
      <w:marBottom w:val="0"/>
      <w:divBdr>
        <w:top w:val="none" w:sz="0" w:space="0" w:color="auto"/>
        <w:left w:val="none" w:sz="0" w:space="0" w:color="auto"/>
        <w:bottom w:val="none" w:sz="0" w:space="0" w:color="auto"/>
        <w:right w:val="none" w:sz="0" w:space="0" w:color="auto"/>
      </w:divBdr>
    </w:div>
    <w:div w:id="1260286751">
      <w:bodyDiv w:val="1"/>
      <w:marLeft w:val="0"/>
      <w:marRight w:val="0"/>
      <w:marTop w:val="0"/>
      <w:marBottom w:val="0"/>
      <w:divBdr>
        <w:top w:val="none" w:sz="0" w:space="0" w:color="auto"/>
        <w:left w:val="none" w:sz="0" w:space="0" w:color="auto"/>
        <w:bottom w:val="none" w:sz="0" w:space="0" w:color="auto"/>
        <w:right w:val="none" w:sz="0" w:space="0" w:color="auto"/>
      </w:divBdr>
    </w:div>
    <w:div w:id="1271864140">
      <w:bodyDiv w:val="1"/>
      <w:marLeft w:val="0"/>
      <w:marRight w:val="0"/>
      <w:marTop w:val="0"/>
      <w:marBottom w:val="0"/>
      <w:divBdr>
        <w:top w:val="none" w:sz="0" w:space="0" w:color="auto"/>
        <w:left w:val="none" w:sz="0" w:space="0" w:color="auto"/>
        <w:bottom w:val="none" w:sz="0" w:space="0" w:color="auto"/>
        <w:right w:val="none" w:sz="0" w:space="0" w:color="auto"/>
      </w:divBdr>
    </w:div>
    <w:div w:id="1282952116">
      <w:bodyDiv w:val="1"/>
      <w:marLeft w:val="0"/>
      <w:marRight w:val="0"/>
      <w:marTop w:val="0"/>
      <w:marBottom w:val="0"/>
      <w:divBdr>
        <w:top w:val="none" w:sz="0" w:space="0" w:color="auto"/>
        <w:left w:val="none" w:sz="0" w:space="0" w:color="auto"/>
        <w:bottom w:val="none" w:sz="0" w:space="0" w:color="auto"/>
        <w:right w:val="none" w:sz="0" w:space="0" w:color="auto"/>
      </w:divBdr>
    </w:div>
    <w:div w:id="1283880925">
      <w:bodyDiv w:val="1"/>
      <w:marLeft w:val="0"/>
      <w:marRight w:val="0"/>
      <w:marTop w:val="0"/>
      <w:marBottom w:val="0"/>
      <w:divBdr>
        <w:top w:val="none" w:sz="0" w:space="0" w:color="auto"/>
        <w:left w:val="none" w:sz="0" w:space="0" w:color="auto"/>
        <w:bottom w:val="none" w:sz="0" w:space="0" w:color="auto"/>
        <w:right w:val="none" w:sz="0" w:space="0" w:color="auto"/>
      </w:divBdr>
    </w:div>
    <w:div w:id="1342514839">
      <w:bodyDiv w:val="1"/>
      <w:marLeft w:val="0"/>
      <w:marRight w:val="0"/>
      <w:marTop w:val="0"/>
      <w:marBottom w:val="0"/>
      <w:divBdr>
        <w:top w:val="none" w:sz="0" w:space="0" w:color="auto"/>
        <w:left w:val="none" w:sz="0" w:space="0" w:color="auto"/>
        <w:bottom w:val="none" w:sz="0" w:space="0" w:color="auto"/>
        <w:right w:val="none" w:sz="0" w:space="0" w:color="auto"/>
      </w:divBdr>
    </w:div>
    <w:div w:id="1343898131">
      <w:bodyDiv w:val="1"/>
      <w:marLeft w:val="0"/>
      <w:marRight w:val="0"/>
      <w:marTop w:val="0"/>
      <w:marBottom w:val="0"/>
      <w:divBdr>
        <w:top w:val="none" w:sz="0" w:space="0" w:color="auto"/>
        <w:left w:val="none" w:sz="0" w:space="0" w:color="auto"/>
        <w:bottom w:val="none" w:sz="0" w:space="0" w:color="auto"/>
        <w:right w:val="none" w:sz="0" w:space="0" w:color="auto"/>
      </w:divBdr>
    </w:div>
    <w:div w:id="1388064744">
      <w:bodyDiv w:val="1"/>
      <w:marLeft w:val="0"/>
      <w:marRight w:val="0"/>
      <w:marTop w:val="0"/>
      <w:marBottom w:val="0"/>
      <w:divBdr>
        <w:top w:val="none" w:sz="0" w:space="0" w:color="auto"/>
        <w:left w:val="none" w:sz="0" w:space="0" w:color="auto"/>
        <w:bottom w:val="none" w:sz="0" w:space="0" w:color="auto"/>
        <w:right w:val="none" w:sz="0" w:space="0" w:color="auto"/>
      </w:divBdr>
    </w:div>
    <w:div w:id="1397900120">
      <w:bodyDiv w:val="1"/>
      <w:marLeft w:val="0"/>
      <w:marRight w:val="0"/>
      <w:marTop w:val="0"/>
      <w:marBottom w:val="0"/>
      <w:divBdr>
        <w:top w:val="none" w:sz="0" w:space="0" w:color="auto"/>
        <w:left w:val="none" w:sz="0" w:space="0" w:color="auto"/>
        <w:bottom w:val="none" w:sz="0" w:space="0" w:color="auto"/>
        <w:right w:val="none" w:sz="0" w:space="0" w:color="auto"/>
      </w:divBdr>
    </w:div>
    <w:div w:id="1464696536">
      <w:bodyDiv w:val="1"/>
      <w:marLeft w:val="0"/>
      <w:marRight w:val="0"/>
      <w:marTop w:val="0"/>
      <w:marBottom w:val="0"/>
      <w:divBdr>
        <w:top w:val="none" w:sz="0" w:space="0" w:color="auto"/>
        <w:left w:val="none" w:sz="0" w:space="0" w:color="auto"/>
        <w:bottom w:val="none" w:sz="0" w:space="0" w:color="auto"/>
        <w:right w:val="none" w:sz="0" w:space="0" w:color="auto"/>
      </w:divBdr>
    </w:div>
    <w:div w:id="1475873046">
      <w:bodyDiv w:val="1"/>
      <w:marLeft w:val="0"/>
      <w:marRight w:val="0"/>
      <w:marTop w:val="0"/>
      <w:marBottom w:val="0"/>
      <w:divBdr>
        <w:top w:val="none" w:sz="0" w:space="0" w:color="auto"/>
        <w:left w:val="none" w:sz="0" w:space="0" w:color="auto"/>
        <w:bottom w:val="none" w:sz="0" w:space="0" w:color="auto"/>
        <w:right w:val="none" w:sz="0" w:space="0" w:color="auto"/>
      </w:divBdr>
    </w:div>
    <w:div w:id="1515144779">
      <w:bodyDiv w:val="1"/>
      <w:marLeft w:val="0"/>
      <w:marRight w:val="0"/>
      <w:marTop w:val="0"/>
      <w:marBottom w:val="0"/>
      <w:divBdr>
        <w:top w:val="none" w:sz="0" w:space="0" w:color="auto"/>
        <w:left w:val="none" w:sz="0" w:space="0" w:color="auto"/>
        <w:bottom w:val="none" w:sz="0" w:space="0" w:color="auto"/>
        <w:right w:val="none" w:sz="0" w:space="0" w:color="auto"/>
      </w:divBdr>
    </w:div>
    <w:div w:id="1659843457">
      <w:bodyDiv w:val="1"/>
      <w:marLeft w:val="0"/>
      <w:marRight w:val="0"/>
      <w:marTop w:val="0"/>
      <w:marBottom w:val="0"/>
      <w:divBdr>
        <w:top w:val="none" w:sz="0" w:space="0" w:color="auto"/>
        <w:left w:val="none" w:sz="0" w:space="0" w:color="auto"/>
        <w:bottom w:val="none" w:sz="0" w:space="0" w:color="auto"/>
        <w:right w:val="none" w:sz="0" w:space="0" w:color="auto"/>
      </w:divBdr>
    </w:div>
    <w:div w:id="1670601384">
      <w:bodyDiv w:val="1"/>
      <w:marLeft w:val="0"/>
      <w:marRight w:val="0"/>
      <w:marTop w:val="0"/>
      <w:marBottom w:val="0"/>
      <w:divBdr>
        <w:top w:val="none" w:sz="0" w:space="0" w:color="auto"/>
        <w:left w:val="none" w:sz="0" w:space="0" w:color="auto"/>
        <w:bottom w:val="none" w:sz="0" w:space="0" w:color="auto"/>
        <w:right w:val="none" w:sz="0" w:space="0" w:color="auto"/>
      </w:divBdr>
    </w:div>
    <w:div w:id="1681346032">
      <w:bodyDiv w:val="1"/>
      <w:marLeft w:val="0"/>
      <w:marRight w:val="0"/>
      <w:marTop w:val="0"/>
      <w:marBottom w:val="0"/>
      <w:divBdr>
        <w:top w:val="none" w:sz="0" w:space="0" w:color="auto"/>
        <w:left w:val="none" w:sz="0" w:space="0" w:color="auto"/>
        <w:bottom w:val="none" w:sz="0" w:space="0" w:color="auto"/>
        <w:right w:val="none" w:sz="0" w:space="0" w:color="auto"/>
      </w:divBdr>
      <w:divsChild>
        <w:div w:id="1028918340">
          <w:marLeft w:val="0"/>
          <w:marRight w:val="0"/>
          <w:marTop w:val="0"/>
          <w:marBottom w:val="0"/>
          <w:divBdr>
            <w:top w:val="none" w:sz="0" w:space="0" w:color="auto"/>
            <w:left w:val="none" w:sz="0" w:space="0" w:color="auto"/>
            <w:bottom w:val="none" w:sz="0" w:space="0" w:color="auto"/>
            <w:right w:val="none" w:sz="0" w:space="0" w:color="auto"/>
          </w:divBdr>
        </w:div>
        <w:div w:id="504823867">
          <w:marLeft w:val="0"/>
          <w:marRight w:val="0"/>
          <w:marTop w:val="0"/>
          <w:marBottom w:val="0"/>
          <w:divBdr>
            <w:top w:val="none" w:sz="0" w:space="0" w:color="auto"/>
            <w:left w:val="none" w:sz="0" w:space="0" w:color="auto"/>
            <w:bottom w:val="none" w:sz="0" w:space="0" w:color="auto"/>
            <w:right w:val="none" w:sz="0" w:space="0" w:color="auto"/>
          </w:divBdr>
        </w:div>
        <w:div w:id="1533494026">
          <w:marLeft w:val="0"/>
          <w:marRight w:val="0"/>
          <w:marTop w:val="0"/>
          <w:marBottom w:val="0"/>
          <w:divBdr>
            <w:top w:val="none" w:sz="0" w:space="0" w:color="auto"/>
            <w:left w:val="none" w:sz="0" w:space="0" w:color="auto"/>
            <w:bottom w:val="none" w:sz="0" w:space="0" w:color="auto"/>
            <w:right w:val="none" w:sz="0" w:space="0" w:color="auto"/>
          </w:divBdr>
        </w:div>
      </w:divsChild>
    </w:div>
    <w:div w:id="1686439216">
      <w:bodyDiv w:val="1"/>
      <w:marLeft w:val="0"/>
      <w:marRight w:val="0"/>
      <w:marTop w:val="0"/>
      <w:marBottom w:val="0"/>
      <w:divBdr>
        <w:top w:val="none" w:sz="0" w:space="0" w:color="auto"/>
        <w:left w:val="none" w:sz="0" w:space="0" w:color="auto"/>
        <w:bottom w:val="none" w:sz="0" w:space="0" w:color="auto"/>
        <w:right w:val="none" w:sz="0" w:space="0" w:color="auto"/>
      </w:divBdr>
    </w:div>
    <w:div w:id="1729457550">
      <w:bodyDiv w:val="1"/>
      <w:marLeft w:val="0"/>
      <w:marRight w:val="0"/>
      <w:marTop w:val="0"/>
      <w:marBottom w:val="0"/>
      <w:divBdr>
        <w:top w:val="none" w:sz="0" w:space="0" w:color="auto"/>
        <w:left w:val="none" w:sz="0" w:space="0" w:color="auto"/>
        <w:bottom w:val="none" w:sz="0" w:space="0" w:color="auto"/>
        <w:right w:val="none" w:sz="0" w:space="0" w:color="auto"/>
      </w:divBdr>
    </w:div>
    <w:div w:id="1781534331">
      <w:bodyDiv w:val="1"/>
      <w:marLeft w:val="0"/>
      <w:marRight w:val="0"/>
      <w:marTop w:val="0"/>
      <w:marBottom w:val="0"/>
      <w:divBdr>
        <w:top w:val="none" w:sz="0" w:space="0" w:color="auto"/>
        <w:left w:val="none" w:sz="0" w:space="0" w:color="auto"/>
        <w:bottom w:val="none" w:sz="0" w:space="0" w:color="auto"/>
        <w:right w:val="none" w:sz="0" w:space="0" w:color="auto"/>
      </w:divBdr>
    </w:div>
    <w:div w:id="1790202778">
      <w:bodyDiv w:val="1"/>
      <w:marLeft w:val="0"/>
      <w:marRight w:val="0"/>
      <w:marTop w:val="0"/>
      <w:marBottom w:val="0"/>
      <w:divBdr>
        <w:top w:val="none" w:sz="0" w:space="0" w:color="auto"/>
        <w:left w:val="none" w:sz="0" w:space="0" w:color="auto"/>
        <w:bottom w:val="none" w:sz="0" w:space="0" w:color="auto"/>
        <w:right w:val="none" w:sz="0" w:space="0" w:color="auto"/>
      </w:divBdr>
    </w:div>
    <w:div w:id="1813793847">
      <w:bodyDiv w:val="1"/>
      <w:marLeft w:val="0"/>
      <w:marRight w:val="0"/>
      <w:marTop w:val="0"/>
      <w:marBottom w:val="0"/>
      <w:divBdr>
        <w:top w:val="none" w:sz="0" w:space="0" w:color="auto"/>
        <w:left w:val="none" w:sz="0" w:space="0" w:color="auto"/>
        <w:bottom w:val="none" w:sz="0" w:space="0" w:color="auto"/>
        <w:right w:val="none" w:sz="0" w:space="0" w:color="auto"/>
      </w:divBdr>
    </w:div>
    <w:div w:id="1860855250">
      <w:bodyDiv w:val="1"/>
      <w:marLeft w:val="0"/>
      <w:marRight w:val="0"/>
      <w:marTop w:val="0"/>
      <w:marBottom w:val="0"/>
      <w:divBdr>
        <w:top w:val="none" w:sz="0" w:space="0" w:color="auto"/>
        <w:left w:val="none" w:sz="0" w:space="0" w:color="auto"/>
        <w:bottom w:val="none" w:sz="0" w:space="0" w:color="auto"/>
        <w:right w:val="none" w:sz="0" w:space="0" w:color="auto"/>
      </w:divBdr>
    </w:div>
    <w:div w:id="1867326321">
      <w:bodyDiv w:val="1"/>
      <w:marLeft w:val="0"/>
      <w:marRight w:val="0"/>
      <w:marTop w:val="0"/>
      <w:marBottom w:val="0"/>
      <w:divBdr>
        <w:top w:val="none" w:sz="0" w:space="0" w:color="auto"/>
        <w:left w:val="none" w:sz="0" w:space="0" w:color="auto"/>
        <w:bottom w:val="none" w:sz="0" w:space="0" w:color="auto"/>
        <w:right w:val="none" w:sz="0" w:space="0" w:color="auto"/>
      </w:divBdr>
    </w:div>
    <w:div w:id="1941720263">
      <w:bodyDiv w:val="1"/>
      <w:marLeft w:val="0"/>
      <w:marRight w:val="0"/>
      <w:marTop w:val="0"/>
      <w:marBottom w:val="0"/>
      <w:divBdr>
        <w:top w:val="none" w:sz="0" w:space="0" w:color="auto"/>
        <w:left w:val="none" w:sz="0" w:space="0" w:color="auto"/>
        <w:bottom w:val="none" w:sz="0" w:space="0" w:color="auto"/>
        <w:right w:val="none" w:sz="0" w:space="0" w:color="auto"/>
      </w:divBdr>
    </w:div>
    <w:div w:id="1945459943">
      <w:bodyDiv w:val="1"/>
      <w:marLeft w:val="0"/>
      <w:marRight w:val="0"/>
      <w:marTop w:val="0"/>
      <w:marBottom w:val="0"/>
      <w:divBdr>
        <w:top w:val="none" w:sz="0" w:space="0" w:color="auto"/>
        <w:left w:val="none" w:sz="0" w:space="0" w:color="auto"/>
        <w:bottom w:val="none" w:sz="0" w:space="0" w:color="auto"/>
        <w:right w:val="none" w:sz="0" w:space="0" w:color="auto"/>
      </w:divBdr>
    </w:div>
    <w:div w:id="1955942022">
      <w:bodyDiv w:val="1"/>
      <w:marLeft w:val="0"/>
      <w:marRight w:val="0"/>
      <w:marTop w:val="0"/>
      <w:marBottom w:val="0"/>
      <w:divBdr>
        <w:top w:val="none" w:sz="0" w:space="0" w:color="auto"/>
        <w:left w:val="none" w:sz="0" w:space="0" w:color="auto"/>
        <w:bottom w:val="none" w:sz="0" w:space="0" w:color="auto"/>
        <w:right w:val="none" w:sz="0" w:space="0" w:color="auto"/>
      </w:divBdr>
    </w:div>
    <w:div w:id="1989674408">
      <w:bodyDiv w:val="1"/>
      <w:marLeft w:val="0"/>
      <w:marRight w:val="0"/>
      <w:marTop w:val="0"/>
      <w:marBottom w:val="0"/>
      <w:divBdr>
        <w:top w:val="none" w:sz="0" w:space="0" w:color="auto"/>
        <w:left w:val="none" w:sz="0" w:space="0" w:color="auto"/>
        <w:bottom w:val="none" w:sz="0" w:space="0" w:color="auto"/>
        <w:right w:val="none" w:sz="0" w:space="0" w:color="auto"/>
      </w:divBdr>
    </w:div>
    <w:div w:id="2021228021">
      <w:bodyDiv w:val="1"/>
      <w:marLeft w:val="0"/>
      <w:marRight w:val="0"/>
      <w:marTop w:val="0"/>
      <w:marBottom w:val="0"/>
      <w:divBdr>
        <w:top w:val="none" w:sz="0" w:space="0" w:color="auto"/>
        <w:left w:val="none" w:sz="0" w:space="0" w:color="auto"/>
        <w:bottom w:val="none" w:sz="0" w:space="0" w:color="auto"/>
        <w:right w:val="none" w:sz="0" w:space="0" w:color="auto"/>
      </w:divBdr>
    </w:div>
    <w:div w:id="2035229964">
      <w:bodyDiv w:val="1"/>
      <w:marLeft w:val="0"/>
      <w:marRight w:val="0"/>
      <w:marTop w:val="0"/>
      <w:marBottom w:val="0"/>
      <w:divBdr>
        <w:top w:val="none" w:sz="0" w:space="0" w:color="auto"/>
        <w:left w:val="none" w:sz="0" w:space="0" w:color="auto"/>
        <w:bottom w:val="none" w:sz="0" w:space="0" w:color="auto"/>
        <w:right w:val="none" w:sz="0" w:space="0" w:color="auto"/>
      </w:divBdr>
    </w:div>
    <w:div w:id="212600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380C2-1E8B-4D01-A16D-14D65817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23079</TotalTime>
  <Pages>40</Pages>
  <Words>9954</Words>
  <Characters>56743</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Generoli, Evan D</dc:creator>
  <cp:keywords/>
  <dc:description/>
  <cp:lastModifiedBy>Evan Generoli</cp:lastModifiedBy>
  <cp:revision>907</cp:revision>
  <cp:lastPrinted>2019-09-16T16:32:00Z</cp:lastPrinted>
  <dcterms:created xsi:type="dcterms:W3CDTF">2018-11-08T21:42:00Z</dcterms:created>
  <dcterms:modified xsi:type="dcterms:W3CDTF">2019-09-16T16:33:00Z</dcterms:modified>
</cp:coreProperties>
</file>