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80"/>
        <w:jc w:val="left"/>
      </w:pPr>
      <w:r>
        <w:rPr>
          <w:rFonts w:ascii="Arial" w:cs="Arial" w:eastAsia="Arial" w:hAnsi="Arial"/>
          <w:b/>
          <w:bCs/>
          <w:color w:val="4950BC"/>
          <w:spacing w:val="120"/>
          <w:sz w:val="18"/>
          <w:szCs w:val="18"/>
        </w:rPr>
        <w:t xml:space="preserve">XAVIER EMBA CAPSTONE  |  MAY 2026</w:t>
      </w:r>
    </w:p>
    <w:p>
      <w:pPr>
        <w:spacing w:after="40"/>
        <w:jc w:val="left"/>
      </w:pPr>
      <w:r>
        <w:rPr>
          <w:rFonts w:ascii="Georgia" w:cs="Georgia" w:eastAsia="Georgia" w:hAnsi="Georgia"/>
          <w:b/>
          <w:bCs/>
          <w:color w:val="1A1A2E"/>
          <w:sz w:val="52"/>
          <w:szCs w:val="52"/>
        </w:rPr>
        <w:t xml:space="preserve">External Strategic Analysis</w:t>
      </w:r>
    </w:p>
    <w:p>
      <w:pPr>
        <w:spacing w:after="200"/>
        <w:jc w:val="left"/>
      </w:pPr>
      <w:r>
        <w:rPr>
          <w:rFonts w:ascii="Georgia" w:cs="Georgia" w:eastAsia="Georgia" w:hAnsi="Georgia"/>
          <w:b/>
          <w:bCs/>
          <w:color w:val="4950BC"/>
          <w:sz w:val="52"/>
          <w:szCs w:val="52"/>
        </w:rPr>
        <w:t xml:space="preserve">Integrated Protection Services</w:t>
      </w:r>
    </w:p>
    <w:p>
      <w:pPr>
        <w:pBdr>
          <w:bottom w:val="single" w:color="4950BC" w:sz="6" w:space="8"/>
        </w:pBdr>
        <w:spacing w:after="200"/>
      </w:pPr>
      <w:r>
        <w:rPr>
          <w:rFonts w:ascii="Arial" w:cs="Arial" w:eastAsia="Arial" w:hAnsi="Arial"/>
          <w:color w:val="666666"/>
          <w:sz w:val="28"/>
          <w:szCs w:val="28"/>
        </w:rPr>
        <w:t xml:space="preserve">The Convergence Squeeze</w:t>
      </w:r>
    </w:p>
    <w:p>
      <w:pPr>
        <w:spacing w:after="120"/>
      </w:pPr>
      <w:r>
        <w:rPr>
          <w:rFonts w:ascii="Arial" w:cs="Arial" w:eastAsia="Arial" w:hAnsi="Arial"/>
          <w:color w:val="666666"/>
          <w:sz w:val="20"/>
          <w:szCs w:val="20"/>
        </w:rPr>
        <w:t xml:space="preserve">Choi  |  Eger  |  McKean  |  Peat  |  Tucker</w:t>
      </w:r>
    </w:p>
    <w:p>
      <w:pPr>
        <w:spacing w:after="400" w:before="400"/>
      </w:pPr>
    </w:p>
    <w:p>
      <w:pPr>
        <w:spacing w:after="60"/>
      </w:pPr>
      <w:r>
        <w:rPr>
          <w:rFonts w:ascii="Arial" w:cs="Arial" w:eastAsia="Arial" w:hAnsi="Arial"/>
          <w:b/>
          <w:bCs/>
          <w:color w:val="4950BC"/>
          <w:spacing w:val="100"/>
          <w:sz w:val="16"/>
          <w:szCs w:val="16"/>
        </w:rPr>
        <w:t xml:space="preserve">THESIS</w:t>
      </w:r>
    </w:p>
    <w:p>
      <w:pPr>
        <w:spacing w:after="0"/>
      </w:pPr>
      <w:r>
        <w:rPr>
          <w:rFonts w:ascii="Arial" w:cs="Arial" w:eastAsia="Arial" w:hAnsi="Arial"/>
          <w:color w:val="1A1A2E"/>
          <w:sz w:val="22"/>
          <w:szCs w:val="22"/>
        </w:rPr>
        <w:t xml:space="preserve">The fire and security industry is converging with IT, cybersecurity, and building automation into a single building intelligence industry. PE firms are assembling the pieces, and IPS has a 3–5 year window to position as the independent alternative.</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1A1A2E"/>
          <w:sz w:val="22"/>
          <w:szCs w:val="22"/>
        </w:rPr>
        <w:t xml:space="preserve">This document summarizes the external strategic analysis conducted for Integrated Protection Services (IPS), a $55M independent fire and security integrator headquartered in Cincinnati, Ohio. The analysis examines the forces reshaping the industry and their implications for IPS’s competitive position.</w:t>
      </w:r>
    </w:p>
    <w:p>
      <w:pPr>
        <w:spacing w:after="200"/>
      </w:pPr>
      <w:r>
        <w:rPr>
          <w:rFonts w:ascii="Arial" w:cs="Arial" w:eastAsia="Arial" w:hAnsi="Arial"/>
          <w:color w:val="1A1A2E"/>
          <w:sz w:val="22"/>
          <w:szCs w:val="22"/>
        </w:rPr>
        <w:t xml:space="preserve">The central finding is what we call </w:t>
      </w:r>
      <w:r>
        <w:rPr>
          <w:rFonts w:ascii="Arial" w:cs="Arial" w:eastAsia="Arial" w:hAnsi="Arial"/>
          <w:b/>
          <w:bCs/>
          <w:i/>
          <w:iCs/>
          <w:color w:val="4950BC"/>
          <w:sz w:val="22"/>
          <w:szCs w:val="22"/>
        </w:rPr>
        <w:t xml:space="preserve">The Convergence Squeeze</w:t>
      </w:r>
      <w:r>
        <w:rPr>
          <w:rFonts w:ascii="Arial" w:cs="Arial" w:eastAsia="Arial" w:hAnsi="Arial"/>
          <w:color w:val="1A1A2E"/>
          <w:sz w:val="22"/>
          <w:szCs w:val="22"/>
        </w:rPr>
        <w:t xml:space="preserve">: the fire protection and electronic security industries are merging with IT, cybersecurity, and building automation into a single “building intelligence” market. Private equity firms have deployed $9.6B assembling integrated platforms, and IPS has a 3–5 year window to act before the competitive landscape fundamentally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Addressable Market</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$256B+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Combined NAICS 561621 + 238210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PE Capital Deployed</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$9.6B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Platform debt across major PE firms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Cloud/XaaS Growth</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16–18%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CAGR vs. 4% base market growth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Fire Systems CAGR</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7.5%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Addressable fire alarm systems 2025–2035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IPS RMR Gap</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7–10%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vs. 25%+ industry benchmark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8"/>
                <w:szCs w:val="18"/>
              </w:rPr>
              <w:t xml:space="preserve">Window to Act</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4950BC"/>
                <w:sz w:val="20"/>
                <w:szCs w:val="20"/>
              </w:rPr>
              <w:t xml:space="preserve">3–5 years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8"/>
                <w:szCs w:val="18"/>
              </w:rPr>
              <w:t xml:space="preserve">Before fire alarm fully converges with IT/cyber</w:t>
            </w:r>
          </w:p>
        </w:tc>
      </w:tr>
    </w:tbl>
    <w:p>
      <w:pPr>
        <w:spacing w:after="120" w:before="120"/>
      </w:pPr>
    </w:p>
    <w:p>
      <w:pPr>
        <w:pStyle w:val="Heading1"/>
      </w:pPr>
      <w:r>
        <w:t xml:space="preserve">The Industry Landscape</w:t>
      </w:r>
    </w:p>
    <w:p>
      <w:pPr>
        <w:spacing w:after="120"/>
      </w:pPr>
      <w:r>
        <w:rPr>
          <w:color w:val="1A1A2E"/>
          <w:sz w:val="22"/>
          <w:szCs w:val="22"/>
        </w:rPr>
        <w:t xml:space="preserve">IPS operates at the intersection of two NAICS codes: </w:t>
      </w:r>
      <w:r>
        <w:rPr>
          <w:b/>
          <w:bCs/>
          <w:color w:val="1A1A2E"/>
          <w:sz w:val="22"/>
          <w:szCs w:val="22"/>
        </w:rPr>
        <w:t xml:space="preserve">238210</w:t>
      </w:r>
      <w:r>
        <w:rPr>
          <w:color w:val="1A1A2E"/>
          <w:sz w:val="22"/>
          <w:szCs w:val="22"/>
        </w:rPr>
        <w:t xml:space="preserve"> (Electrical Contractors, $223.6B) and </w:t>
      </w:r>
      <w:r>
        <w:rPr>
          <w:b/>
          <w:bCs/>
          <w:color w:val="1A1A2E"/>
          <w:sz w:val="22"/>
          <w:szCs w:val="22"/>
        </w:rPr>
        <w:t xml:space="preserve">561621</w:t>
      </w:r>
      <w:r>
        <w:rPr>
          <w:color w:val="1A1A2E"/>
          <w:sz w:val="22"/>
          <w:szCs w:val="22"/>
        </w:rPr>
        <w:t xml:space="preserve"> (Security Systems Services, $33.2B). The combined addressable market exceeds $256 billion. With 6,136 security firms nationally averaging $4.79M in revenue, IPS at $55M is firmly in the top tier—yet represents less than 0.02% of total addressable market.</w:t>
      </w:r>
    </w:p>
    <w:p>
      <w:pPr>
        <w:pStyle w:val="Heading2"/>
      </w:pPr>
      <w:r>
        <w:t xml:space="preserve">Fire Protection</w:t>
      </w:r>
    </w:p>
    <w:p>
      <w:pPr>
        <w:pStyle w:val="ListParagraph"/>
        <w:numPr>
          <w:ilvl w:val="0"/>
          <w:numId w:val="2"/>
        </w:numPr>
        <w:spacing w:after="60"/>
      </w:pPr>
      <w:r>
        <w:rPr>
          <w:rFonts w:ascii="Arial" w:cs="Arial" w:eastAsia="Arial" w:hAnsi="Arial"/>
          <w:color w:val="1A1A2E"/>
          <w:sz w:val="20"/>
          <w:szCs w:val="20"/>
        </w:rPr>
        <w:t xml:space="preserve">Fire Alarm Systems — detection, notification, control panels</w:t>
      </w:r>
    </w:p>
    <w:p>
      <w:pPr>
        <w:pStyle w:val="ListParagraph"/>
        <w:numPr>
          <w:ilvl w:val="0"/>
          <w:numId w:val="2"/>
        </w:numPr>
        <w:spacing w:after="60"/>
      </w:pPr>
      <w:r>
        <w:rPr>
          <w:rFonts w:ascii="Arial" w:cs="Arial" w:eastAsia="Arial" w:hAnsi="Arial"/>
          <w:color w:val="1A1A2E"/>
          <w:sz w:val="20"/>
          <w:szCs w:val="20"/>
        </w:rPr>
        <w:t xml:space="preserve">Fire Suppression — sprinkler, clean agent, foam systems</w:t>
      </w:r>
    </w:p>
    <w:p>
      <w:pPr>
        <w:pStyle w:val="ListParagraph"/>
        <w:numPr>
          <w:ilvl w:val="0"/>
          <w:numId w:val="2"/>
        </w:numPr>
        <w:spacing w:after="60"/>
      </w:pPr>
      <w:r>
        <w:rPr>
          <w:rFonts w:ascii="Arial" w:cs="Arial" w:eastAsia="Arial" w:hAnsi="Arial"/>
          <w:color w:val="1A1A2E"/>
          <w:sz w:val="20"/>
          <w:szCs w:val="20"/>
        </w:rPr>
        <w:t xml:space="preserve">Inspection &amp; Testing — code-mandated annual and semi-annual service</w:t>
      </w:r>
    </w:p>
    <w:p>
      <w:pPr>
        <w:pStyle w:val="ListParagraph"/>
        <w:numPr>
          <w:ilvl w:val="0"/>
          <w:numId w:val="2"/>
        </w:numPr>
        <w:spacing w:after="60"/>
      </w:pPr>
      <w:r>
        <w:rPr>
          <w:rFonts w:ascii="Arial" w:cs="Arial" w:eastAsia="Arial" w:hAnsi="Arial"/>
          <w:color w:val="1A1A2E"/>
          <w:sz w:val="20"/>
          <w:szCs w:val="20"/>
        </w:rPr>
        <w:t xml:space="preserve">Emergency Systems — exit lighting, mass notification, ERCES</w:t>
      </w:r>
    </w:p>
    <w:p>
      <w:pPr>
        <w:pStyle w:val="Heading2"/>
      </w:pPr>
      <w:r>
        <w:t xml:space="preserve">Electronic Security</w:t>
      </w:r>
    </w:p>
    <w:p>
      <w:pPr>
        <w:pStyle w:val="ListParagraph"/>
        <w:numPr>
          <w:ilvl w:val="0"/>
          <w:numId w:val="2"/>
        </w:numPr>
        <w:spacing w:after="60"/>
      </w:pPr>
      <w:r>
        <w:rPr>
          <w:rFonts w:ascii="Arial" w:cs="Arial" w:eastAsia="Arial" w:hAnsi="Arial"/>
          <w:color w:val="1A1A2E"/>
          <w:sz w:val="20"/>
          <w:szCs w:val="20"/>
        </w:rPr>
        <w:t xml:space="preserve">Access Control — card readers, credential management, ACaaS</w:t>
      </w:r>
    </w:p>
    <w:p>
      <w:pPr>
        <w:pStyle w:val="ListParagraph"/>
        <w:numPr>
          <w:ilvl w:val="0"/>
          <w:numId w:val="2"/>
        </w:numPr>
        <w:spacing w:after="60"/>
      </w:pPr>
      <w:r>
        <w:rPr>
          <w:rFonts w:ascii="Arial" w:cs="Arial" w:eastAsia="Arial" w:hAnsi="Arial"/>
          <w:color w:val="1A1A2E"/>
          <w:sz w:val="20"/>
          <w:szCs w:val="20"/>
        </w:rPr>
        <w:t xml:space="preserve">Video Surveillance — IP cameras, VMS, AI analytics, VSaaS</w:t>
      </w:r>
    </w:p>
    <w:p>
      <w:pPr>
        <w:pStyle w:val="ListParagraph"/>
        <w:numPr>
          <w:ilvl w:val="0"/>
          <w:numId w:val="2"/>
        </w:numPr>
        <w:spacing w:after="60"/>
      </w:pPr>
      <w:r>
        <w:rPr>
          <w:rFonts w:ascii="Arial" w:cs="Arial" w:eastAsia="Arial" w:hAnsi="Arial"/>
          <w:color w:val="1A1A2E"/>
          <w:sz w:val="20"/>
          <w:szCs w:val="20"/>
        </w:rPr>
        <w:t xml:space="preserve">Intrusion Detection — sensors, panels, monitoring services</w:t>
      </w:r>
    </w:p>
    <w:p>
      <w:pPr>
        <w:pStyle w:val="ListParagraph"/>
        <w:numPr>
          <w:ilvl w:val="0"/>
          <w:numId w:val="2"/>
        </w:numPr>
        <w:spacing w:after="60"/>
      </w:pPr>
      <w:r>
        <w:rPr>
          <w:rFonts w:ascii="Arial" w:cs="Arial" w:eastAsia="Arial" w:hAnsi="Arial"/>
          <w:color w:val="1A1A2E"/>
          <w:sz w:val="20"/>
          <w:szCs w:val="20"/>
        </w:rPr>
        <w:t xml:space="preserve">Managed Services — remote monitoring, health checks, helpdesk</w:t>
      </w:r>
    </w:p>
    <w:p>
      <w:pPr>
        <w:spacing w:after="120" w:before="120"/>
      </w:pPr>
    </w:p>
    <w:p>
      <w:pPr>
        <w:pStyle w:val="Heading1"/>
      </w:pPr>
      <w:r>
        <w:t xml:space="preserve">Macro Environment (PESTEL)</w:t>
      </w:r>
    </w:p>
    <w:p>
      <w:pPr>
        <w:spacing w:after="120"/>
      </w:pPr>
      <w:r>
        <w:rPr>
          <w:i/>
          <w:iCs/>
          <w:color w:val="1A1A2E"/>
          <w:sz w:val="22"/>
          <w:szCs w:val="22"/>
        </w:rPr>
        <w:t xml:space="preserve">Thirteen of seventeen macro trends are favorable for IPS. The demand environment is overwhelmingly positive. The constraint is labor.</w:t>
      </w:r>
    </w:p>
    <w:p>
      <w:pPr>
        <w:pStyle w:val="Heading3"/>
      </w:pPr>
      <w:r>
        <w:rPr>
          <w:color w:val="166534"/>
        </w:rPr>
        <w:t xml:space="preserve">Tailwinds</w:t>
      </w:r>
    </w:p>
    <w:p>
      <w:pPr>
        <w:pStyle w:val="ListParagraph"/>
        <w:numPr>
          <w:ilvl w:val="0"/>
          <w:numId w:val="2"/>
        </w:numPr>
        <w:spacing w:after="60"/>
      </w:pPr>
      <w:r>
        <w:rPr>
          <w:rFonts w:ascii="Arial" w:cs="Arial" w:eastAsia="Arial" w:hAnsi="Arial"/>
          <w:b/>
          <w:bCs/>
          <w:color w:val="1A1A2E"/>
          <w:sz w:val="20"/>
          <w:szCs w:val="20"/>
        </w:rPr>
        <w:t xml:space="preserve">Political: </w:t>
      </w:r>
      <w:r>
        <w:rPr>
          <w:rFonts w:ascii="Arial" w:cs="Arial" w:eastAsia="Arial" w:hAnsi="Arial"/>
          <w:color w:val="1A1A2E"/>
          <w:sz w:val="20"/>
          <w:szCs w:val="20"/>
        </w:rPr>
        <w:t xml:space="preserve">$1B+ in annual federal security grants (DHS/FEMA HSGP: $1.008B in FY2025)</w:t>
      </w:r>
    </w:p>
    <w:p>
      <w:pPr>
        <w:pStyle w:val="ListParagraph"/>
        <w:numPr>
          <w:ilvl w:val="0"/>
          <w:numId w:val="2"/>
        </w:numPr>
        <w:spacing w:after="60"/>
      </w:pPr>
      <w:r>
        <w:rPr>
          <w:rFonts w:ascii="Arial" w:cs="Arial" w:eastAsia="Arial" w:hAnsi="Arial"/>
          <w:b/>
          <w:bCs/>
          <w:color w:val="1A1A2E"/>
          <w:sz w:val="20"/>
          <w:szCs w:val="20"/>
        </w:rPr>
        <w:t xml:space="preserve">Economic: </w:t>
      </w:r>
      <w:r>
        <w:rPr>
          <w:rFonts w:ascii="Arial" w:cs="Arial" w:eastAsia="Arial" w:hAnsi="Arial"/>
          <w:color w:val="1A1A2E"/>
          <w:sz w:val="20"/>
          <w:szCs w:val="20"/>
        </w:rPr>
        <w:t xml:space="preserve">Columbus emerging as #3 U.S. data center market with 77 facilities and 2.4 GW planned by 2030; Nashville #2 metro for job growth (HCA HQ)</w:t>
      </w:r>
    </w:p>
    <w:p>
      <w:pPr>
        <w:pStyle w:val="ListParagraph"/>
        <w:numPr>
          <w:ilvl w:val="0"/>
          <w:numId w:val="2"/>
        </w:numPr>
        <w:spacing w:after="60"/>
      </w:pPr>
      <w:r>
        <w:rPr>
          <w:rFonts w:ascii="Arial" w:cs="Arial" w:eastAsia="Arial" w:hAnsi="Arial"/>
          <w:b/>
          <w:bCs/>
          <w:color w:val="1A1A2E"/>
          <w:sz w:val="20"/>
          <w:szCs w:val="20"/>
        </w:rPr>
        <w:t xml:space="preserve">Technological: </w:t>
      </w:r>
      <w:r>
        <w:rPr>
          <w:rFonts w:ascii="Arial" w:cs="Arial" w:eastAsia="Arial" w:hAnsi="Arial"/>
          <w:color w:val="1A1A2E"/>
          <w:sz w:val="20"/>
          <w:szCs w:val="20"/>
        </w:rPr>
        <w:t xml:space="preserve">Cloud migration accelerating at 17.9% ACaaS CAGR; 82% of organizations planning cloud access control; AI video analytics becoming standard</w:t>
      </w:r>
    </w:p>
    <w:p>
      <w:pPr>
        <w:pStyle w:val="ListParagraph"/>
        <w:numPr>
          <w:ilvl w:val="0"/>
          <w:numId w:val="2"/>
        </w:numPr>
        <w:spacing w:after="60"/>
      </w:pPr>
      <w:r>
        <w:rPr>
          <w:rFonts w:ascii="Arial" w:cs="Arial" w:eastAsia="Arial" w:hAnsi="Arial"/>
          <w:b/>
          <w:bCs/>
          <w:color w:val="1A1A2E"/>
          <w:sz w:val="20"/>
          <w:szCs w:val="20"/>
        </w:rPr>
        <w:t xml:space="preserve">Environmental: </w:t>
      </w:r>
      <w:r>
        <w:rPr>
          <w:rFonts w:ascii="Arial" w:cs="Arial" w:eastAsia="Arial" w:hAnsi="Arial"/>
          <w:color w:val="1A1A2E"/>
          <w:sz w:val="20"/>
          <w:szCs w:val="20"/>
        </w:rPr>
        <w:t xml:space="preserve">38% increase in FEMA disaster declarations driving fire and safety system demand; green building codes requiring integrated monitoring</w:t>
      </w:r>
    </w:p>
    <w:p>
      <w:pPr>
        <w:pStyle w:val="ListParagraph"/>
        <w:numPr>
          <w:ilvl w:val="0"/>
          <w:numId w:val="2"/>
        </w:numPr>
        <w:spacing w:after="60"/>
      </w:pPr>
      <w:r>
        <w:rPr>
          <w:rFonts w:ascii="Arial" w:cs="Arial" w:eastAsia="Arial" w:hAnsi="Arial"/>
          <w:b/>
          <w:bCs/>
          <w:color w:val="1A1A2E"/>
          <w:sz w:val="20"/>
          <w:szCs w:val="20"/>
        </w:rPr>
        <w:t xml:space="preserve">Legal: </w:t>
      </w:r>
      <w:r>
        <w:rPr>
          <w:rFonts w:ascii="Arial" w:cs="Arial" w:eastAsia="Arial" w:hAnsi="Arial"/>
          <w:color w:val="1A1A2E"/>
          <w:sz w:val="20"/>
          <w:szCs w:val="20"/>
        </w:rPr>
        <w:t xml:space="preserve">NFPA 72 (2025) mandates cybersecurity for networked fire systems; ERCES mandates expanding; state school security laws creating funded project pipelines</w:t>
      </w:r>
    </w:p>
    <w:p>
      <w:pPr>
        <w:pStyle w:val="Heading3"/>
      </w:pPr>
      <w:r>
        <w:rPr>
          <w:color w:val="92400E"/>
        </w:rPr>
        <w:t xml:space="preserve">Headwind</w:t>
      </w:r>
    </w:p>
    <w:p>
      <w:pPr>
        <w:pStyle w:val="ListParagraph"/>
        <w:numPr>
          <w:ilvl w:val="0"/>
          <w:numId w:val="2"/>
        </w:numPr>
        <w:spacing w:after="60"/>
      </w:pPr>
      <w:r>
        <w:rPr>
          <w:rFonts w:ascii="Arial" w:cs="Arial" w:eastAsia="Arial" w:hAnsi="Arial"/>
          <w:b/>
          <w:bCs/>
          <w:color w:val="1A1A2E"/>
          <w:sz w:val="20"/>
          <w:szCs w:val="20"/>
        </w:rPr>
        <w:t xml:space="preserve">Social/Labor: </w:t>
      </w:r>
      <w:r>
        <w:rPr>
          <w:rFonts w:ascii="Arial" w:cs="Arial" w:eastAsia="Arial" w:hAnsi="Arial"/>
          <w:color w:val="1A1A2E"/>
          <w:sz w:val="20"/>
          <w:szCs w:val="20"/>
        </w:rPr>
        <w:t xml:space="preserve">29% of fire protection workforce projected to retire by 2026; no industry-wide apprenticeship program exists; 50% of firms cite hiring difficulty. This caps growth capacity for every competitor—whoever solves it wins.</w:t>
      </w:r>
    </w:p>
    <w:p>
      <w:pPr>
        <w:spacing w:after="120" w:before="120"/>
      </w:pPr>
    </w:p>
    <w:p>
      <w:pPr>
        <w:pStyle w:val="Heading1"/>
      </w:pPr>
      <w:r>
        <w:t xml:space="preserve">The Industry Is Converging</w:t>
      </w:r>
    </w:p>
    <w:p>
      <w:pPr>
        <w:spacing w:after="120"/>
      </w:pPr>
      <w:r>
        <w:rPr>
          <w:color w:val="1A1A2E"/>
          <w:sz w:val="22"/>
          <w:szCs w:val="22"/>
        </w:rPr>
        <w:t xml:space="preserve">Fire protection ($33.2B, NAICS 238210) and electronic security ($33.2B+, NAICS 561621) are merging into a single “building intelligence” market. Cybersecurity, IT managed services, and building automation are entering from adjacent industries. NFPA 72 (2025) codifies this by mandating cybersecurity controls for networked fire alarm systems—making convergence not just a market trend but a regulatory reality.</w:t>
      </w:r>
    </w:p>
    <w:p>
      <w:pPr>
        <w:spacing w:after="200"/>
      </w:pPr>
      <w:r>
        <w:rPr>
          <w:color w:val="1A1A2E"/>
          <w:sz w:val="22"/>
          <w:szCs w:val="22"/>
        </w:rPr>
        <w:t xml:space="preserve">71% of organizations already operate converged building systems. Cloud/XaaS platforms are growing at 16–18% CAGR while the base market grows at 4%. The $256B addressable market is reorganizing around whoever can integrate all of it.</w:t>
      </w:r>
    </w:p>
    <w:p>
      <w:pPr>
        <w:pStyle w:val="Heading2"/>
      </w:pPr>
      <w:r>
        <w:t xml:space="preserve">Convergence Timeline: Three Waves</w:t>
      </w:r>
    </w:p>
    <w:p>
      <w:pPr>
        <w:pStyle w:val="ListParagraph"/>
        <w:numPr>
          <w:ilvl w:val="0"/>
          <w:numId w:val="2"/>
        </w:numPr>
        <w:spacing w:after="60"/>
      </w:pPr>
      <w:r>
        <w:rPr>
          <w:rFonts w:ascii="Arial" w:cs="Arial" w:eastAsia="Arial" w:hAnsi="Arial"/>
          <w:b/>
          <w:bCs/>
          <w:color w:val="1A1A2E"/>
          <w:sz w:val="20"/>
          <w:szCs w:val="20"/>
        </w:rPr>
        <w:t xml:space="preserve">Wave 1 (2024–2026) — Security + IT/Cyber [HAPPENING NOW]: </w:t>
      </w:r>
      <w:r>
        <w:rPr>
          <w:rFonts w:ascii="Arial" w:cs="Arial" w:eastAsia="Arial" w:hAnsi="Arial"/>
          <w:color w:val="1A1A2E"/>
          <w:sz w:val="20"/>
          <w:szCs w:val="20"/>
        </w:rPr>
        <w:t xml:space="preserve">IT departments becoming the primary security buyer; cloud platforms (Brivo, Verkada) blurring IT and security; Convergint adds cybersecurity via Deloitte partnership</w:t>
      </w:r>
    </w:p>
    <w:p>
      <w:pPr>
        <w:pStyle w:val="ListParagraph"/>
        <w:numPr>
          <w:ilvl w:val="0"/>
          <w:numId w:val="2"/>
        </w:numPr>
        <w:spacing w:after="60"/>
      </w:pPr>
      <w:r>
        <w:rPr>
          <w:rFonts w:ascii="Arial" w:cs="Arial" w:eastAsia="Arial" w:hAnsi="Arial"/>
          <w:b/>
          <w:bCs/>
          <w:color w:val="1A1A2E"/>
          <w:sz w:val="20"/>
          <w:szCs w:val="20"/>
        </w:rPr>
        <w:t xml:space="preserve">Wave 2 (2026–2028) — Security + Building Automation [COMING SOON]: </w:t>
      </w:r>
      <w:r>
        <w:rPr>
          <w:rFonts w:ascii="Arial" w:cs="Arial" w:eastAsia="Arial" w:hAnsi="Arial"/>
          <w:color w:val="1A1A2E"/>
          <w:sz w:val="20"/>
          <w:szCs w:val="20"/>
        </w:rPr>
        <w:t xml:space="preserve">IoT connecting fire, HVAC, access, and video into one network; 71% of organizations already operating unified systems; smart building platforms managing everything behind the walls</w:t>
      </w:r>
    </w:p>
    <w:p>
      <w:pPr>
        <w:pStyle w:val="ListParagraph"/>
        <w:numPr>
          <w:ilvl w:val="0"/>
          <w:numId w:val="2"/>
        </w:numPr>
        <w:spacing w:after="60"/>
      </w:pPr>
      <w:r>
        <w:rPr>
          <w:rFonts w:ascii="Arial" w:cs="Arial" w:eastAsia="Arial" w:hAnsi="Arial"/>
          <w:b/>
          <w:bCs/>
          <w:color w:val="1A1A2E"/>
          <w:sz w:val="20"/>
          <w:szCs w:val="20"/>
        </w:rPr>
        <w:t xml:space="preserve">Wave 3 (2028–2034) — Fire + Everything Else [SLOW BUT CERTAIN]: </w:t>
      </w:r>
      <w:r>
        <w:rPr>
          <w:rFonts w:ascii="Arial" w:cs="Arial" w:eastAsia="Arial" w:hAnsi="Arial"/>
          <w:color w:val="1A1A2E"/>
          <w:sz w:val="20"/>
          <w:szCs w:val="20"/>
        </w:rPr>
        <w:t xml:space="preserve">NFPA 72 cyber requirements enforced (Chapter 11); cloud-connected fire monitoring growing at 8.2% CAGR; addressable fire systems at 7.5% CAGR; fire panels become nodes on building intelligence networks</w:t>
      </w:r>
    </w:p>
    <w:p>
      <w:pPr>
        <w:pBdr>
          <w:left w:val="single" w:color="4950BC" w:sz="12" w:space="8"/>
        </w:pBdr>
        <w:spacing w:after="160" w:before="160"/>
        <w:ind w:left="200"/>
      </w:pPr>
      <w:r>
        <w:rPr>
          <w:i/>
          <w:iCs/>
          <w:color w:val="4950BC"/>
          <w:sz w:val="22"/>
          <w:szCs w:val="22"/>
        </w:rPr>
        <w:t xml:space="preserve">Fire is the last piece to converge—that’s IPS’s most valuable asset. But ‘last’ does not mean ‘never.’ The fire alarm moat buys 3–5 years. The partner buyout requires growing enterprise value in exactly that window.</w:t>
      </w:r>
    </w:p>
    <w:p>
      <w:pPr>
        <w:pStyle w:val="Heading1"/>
      </w:pPr>
      <w:r>
        <w:t xml:space="preserve">$9.6 Billion Is Pointed at Your Market</w:t>
      </w:r>
    </w:p>
    <w:p>
      <w:pPr>
        <w:spacing w:after="120"/>
      </w:pPr>
      <w:r>
        <w:rPr>
          <w:color w:val="1A1A2E"/>
          <w:sz w:val="22"/>
          <w:szCs w:val="22"/>
        </w:rPr>
        <w:t xml:space="preserve">Private equity firms are systematically assembling every layer of building intelligence—fire, security, cloud, cyber, monitoring—into integrated platforms. Combined PE platform debt exceeds $9.6B. Pye-Barker alone has $680M in undrawn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900"/>
        <w:gridCol w:w="900"/>
        <w:gridCol w:w="1100"/>
        <w:gridCol w:w="206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PE FIRM</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FIRE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SECURITY</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CLOUD</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CYBER</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SCALE</w:t>
            </w:r>
          </w:p>
        </w:tc>
        <w:tc>
          <w:tcPr>
            <w:tcW w:type="dxa" w:w="2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16"/>
                <w:szCs w:val="16"/>
              </w:rPr>
              <w:t xml:space="preserve">SIGNIFICANCE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7"/>
                <w:szCs w:val="17"/>
              </w:rPr>
              <w:t xml:space="preserve">Leonard Green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Pye-Barker $1B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Convergint $2.7B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Via Deloitte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$3.7B</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Controls #1 AND #2 PE platforms</w:t>
            </w:r>
          </w:p>
        </w:tc>
      </w:tr>
      <w:tr>
        <w:tc>
          <w:tcPr>
            <w:tcW w:type="dxa" w:w="15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1A1A2E"/>
                <w:sz w:val="17"/>
                <w:szCs w:val="17"/>
              </w:rPr>
              <w:t xml:space="preserve">Lone Star</w:t>
            </w:r>
          </w:p>
        </w:tc>
        <w:tc>
          <w:tcPr>
            <w:tcW w:type="dxa" w:w="13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Kidde/Edwards $3B</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None</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No</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No</w:t>
            </w:r>
          </w:p>
        </w:tc>
        <w:tc>
          <w:tcPr>
            <w:tcW w:type="dxa" w:w="11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$3B OEM</w:t>
            </w:r>
          </w:p>
        </w:tc>
        <w:tc>
          <w:tcPr>
            <w:tcW w:type="dxa" w:w="2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Controls IPS’s primary fire supplier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7"/>
                <w:szCs w:val="17"/>
              </w:rPr>
              <w:t xml:space="preserve">GTCR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Everon $782M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SimpliSafe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Limited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$782M+</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Columbus + Louisville overlap w/ IPS</w:t>
            </w:r>
          </w:p>
        </w:tc>
      </w:tr>
      <w:tr>
        <w:tc>
          <w:tcPr>
            <w:tcW w:type="dxa" w:w="15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1A1A2E"/>
                <w:sz w:val="17"/>
                <w:szCs w:val="17"/>
              </w:rPr>
              <w:t xml:space="preserve">Honeywell</w:t>
            </w:r>
          </w:p>
        </w:tc>
        <w:tc>
          <w:tcPr>
            <w:tcW w:type="dxa" w:w="13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LenelS2/Onity $4.95B</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YES</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YES</w:t>
            </w:r>
          </w:p>
        </w:tc>
        <w:tc>
          <w:tcPr>
            <w:tcW w:type="dxa" w:w="11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$4.95B+</w:t>
            </w:r>
          </w:p>
        </w:tc>
        <w:tc>
          <w:tcPr>
            <w:tcW w:type="dxa" w:w="2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Full stack: fire + security + BA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17"/>
                <w:szCs w:val="17"/>
              </w:rPr>
              <w:t xml:space="preserve">Wind Point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Via Pavion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Pavion $625M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No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$625M+</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7"/>
                <w:szCs w:val="17"/>
              </w:rPr>
              <w:t xml:space="preserve">15+ sister cos; regional rollup</w:t>
            </w:r>
          </w:p>
        </w:tc>
      </w:tr>
      <w:tr>
        <w:tc>
          <w:tcPr>
            <w:tcW w:type="dxa" w:w="15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bCs/>
                <w:color w:val="1A1A2E"/>
                <w:sz w:val="17"/>
                <w:szCs w:val="17"/>
              </w:rPr>
              <w:t xml:space="preserve">Carlyle</w:t>
            </w:r>
          </w:p>
        </w:tc>
        <w:tc>
          <w:tcPr>
            <w:tcW w:type="dxa" w:w="13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Sciens $390M+</w:t>
            </w:r>
          </w:p>
        </w:tc>
        <w:tc>
          <w:tcPr>
            <w:tcW w:type="dxa" w:w="16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YES</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No</w:t>
            </w:r>
          </w:p>
        </w:tc>
        <w:tc>
          <w:tcPr>
            <w:tcW w:type="dxa" w:w="9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No</w:t>
            </w:r>
          </w:p>
        </w:tc>
        <w:tc>
          <w:tcPr>
            <w:tcW w:type="dxa" w:w="11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$390M+</w:t>
            </w:r>
          </w:p>
        </w:tc>
        <w:tc>
          <w:tcPr>
            <w:tcW w:type="dxa" w:w="2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rFonts w:ascii="Arial" w:cs="Arial" w:eastAsia="Arial" w:hAnsi="Arial"/>
                <w:b w:val="false"/>
                <w:bCs w:val="false"/>
                <w:color w:val="1A1A2E"/>
                <w:sz w:val="17"/>
                <w:szCs w:val="17"/>
              </w:rPr>
              <w:t xml:space="preserve">Expanding east into IPS markets</w:t>
            </w:r>
          </w:p>
        </w:tc>
      </w:tr>
    </w:tbl>
    <w:p>
      <w:pPr>
        <w:spacing w:after="120" w:before="120"/>
      </w:pPr>
    </w:p>
    <w:p>
      <w:pPr>
        <w:pStyle w:val="Heading1"/>
      </w:pPr>
      <w:r>
        <w:t xml:space="preserve">The Convergence Squeeze</w:t>
      </w:r>
    </w:p>
    <w:p>
      <w:pPr>
        <w:spacing w:after="200"/>
      </w:pPr>
      <w:r>
        <w:rPr>
          <w:color w:val="1A1A2E"/>
          <w:sz w:val="22"/>
          <w:szCs w:val="22"/>
        </w:rPr>
        <w:t xml:space="preserve">IPS is being squeezed from two directions simultaneously:</w:t>
      </w:r>
    </w:p>
    <w:p>
      <w:pPr>
        <w:pStyle w:val="Heading3"/>
      </w:pPr>
      <w:r>
        <w:rPr>
          <w:color w:val="DC2626"/>
        </w:rPr>
        <w:t xml:space="preserve">From Above: PE-Backed Converged Platforms</w:t>
      </w:r>
    </w:p>
    <w:p>
      <w:pPr>
        <w:spacing w:after="120"/>
      </w:pPr>
      <w:r>
        <w:rPr>
          <w:color w:val="1A1A2E"/>
          <w:sz w:val="22"/>
          <w:szCs w:val="22"/>
        </w:rPr>
        <w:t xml:space="preserve">Convergint ($2.7B) + Deloitte cyber partnership, Pye-Barker ($1.0B) acquiring 57 companies per year, Allied Universal at $20B+. They offer everything IPS offers PLUS cybersecurity, IT managed services, national scale, and subscription platforms. Every IPS market now has at least one PE-backed competitor.</w:t>
      </w:r>
    </w:p>
    <w:p>
      <w:pPr>
        <w:pStyle w:val="Heading3"/>
      </w:pPr>
      <w:r>
        <w:rPr>
          <w:color w:val="666666"/>
        </w:rPr>
        <w:t xml:space="preserve">From Below: Cloud-Native Disruptors + IT/EC Entrants</w:t>
      </w:r>
    </w:p>
    <w:p>
      <w:pPr>
        <w:spacing w:after="120"/>
      </w:pPr>
      <w:r>
        <w:rPr>
          <w:color w:val="1A1A2E"/>
          <w:sz w:val="22"/>
          <w:szCs w:val="22"/>
        </w:rPr>
        <w:t xml:space="preserve">Verkada ($4.5B valuation, direct-to-customer), electrical contractors spinning up low-voltage divisions, IT/MSPs entering physical security. Cloud-first, subscription-first. 82% of organizations planning cloud access control. They can’t do fire—but they’re capturing the easier security work.</w:t>
      </w:r>
    </w:p>
    <w:p>
      <w:pPr>
        <w:pStyle w:val="Heading3"/>
      </w:pPr>
      <w:r>
        <w:rPr>
          <w:color w:val="4950BC"/>
        </w:rPr>
        <w:t xml:space="preserve">In the Middle: IPS ($55M)</w:t>
      </w:r>
    </w:p>
    <w:p>
      <w:pPr>
        <w:spacing w:after="120"/>
      </w:pPr>
      <w:r>
        <w:rPr>
          <w:color w:val="1A1A2E"/>
          <w:sz w:val="22"/>
          <w:szCs w:val="22"/>
        </w:rPr>
        <w:t xml:space="preserve">Full-service regional fire + security integrator with NICET IV in-house engineering, 20% organic growth, and a debt-free balance sheet. Strong today—but the addressable market narrows if IPS stays in the current position. </w:t>
      </w:r>
      <w:r>
        <w:rPr>
          <w:b/>
          <w:bCs/>
          <w:color w:val="4950BC"/>
          <w:sz w:val="22"/>
          <w:szCs w:val="22"/>
        </w:rPr>
        <w:t xml:space="preserve">Must fund a 42% partner buyout without PE—growth isn’t optional.</w:t>
      </w:r>
    </w:p>
    <w:p>
      <w:pPr>
        <w:pBdr>
          <w:left w:val="single" w:color="1A1A2E" w:sz="12" w:space="8"/>
        </w:pBdr>
        <w:spacing w:after="160" w:before="160"/>
        <w:ind w:left="200"/>
      </w:pPr>
      <w:r>
        <w:rPr>
          <w:i/>
          <w:iCs/>
          <w:color w:val="1A1A2E"/>
          <w:sz w:val="22"/>
          <w:szCs w:val="22"/>
        </w:rPr>
        <w:t xml:space="preserve">The partner buyout makes this existential: grow revenue and RMR fast enough to fund it internally, or the PE offer becomes the only path. The window is 3–5 years.</w:t>
      </w:r>
    </w:p>
    <w:p>
      <w:pPr>
        <w:spacing w:after="120" w:before="120"/>
      </w:pPr>
    </w:p>
    <w:p>
      <w:pPr>
        <w:pStyle w:val="Heading1"/>
      </w:pPr>
      <w:r>
        <w:t xml:space="preserve">Where IPS Stands: Competitive Scorecard</w:t>
      </w:r>
    </w:p>
    <w:p>
      <w:pPr>
        <w:spacing w:after="120"/>
      </w:pPr>
      <w:r>
        <w:rPr>
          <w:color w:val="1A1A2E"/>
          <w:sz w:val="22"/>
          <w:szCs w:val="22"/>
        </w:rPr>
        <w:t xml:space="preserve">Rated on 8 key success factors (1–5 scale), IPS scores 27/40—behind Convergint (33) and Everon (31) but ahead of regional peer Silco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1200"/>
        <w:gridCol w:w="1200"/>
        <w:gridCol w:w="10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b/>
                <w:bCs/>
                <w:color w:val="FFFFFF"/>
                <w:sz w:val="16"/>
                <w:szCs w:val="16"/>
              </w:rPr>
              <w:t xml:space="preserve">KEY SUCCESS FACTOR</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4950BC"/>
                <w:sz w:val="16"/>
                <w:szCs w:val="16"/>
              </w:rPr>
              <w:t xml:space="preserve">IPS</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b/>
                <w:bCs/>
                <w:color w:val="FFFFFF"/>
                <w:sz w:val="16"/>
                <w:szCs w:val="16"/>
              </w:rPr>
              <w:t xml:space="preserve">SILCO</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b/>
                <w:bCs/>
                <w:color w:val="FFFFFF"/>
                <w:sz w:val="16"/>
                <w:szCs w:val="16"/>
              </w:rPr>
              <w:t xml:space="preserve">CONVERGINT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b/>
                <w:bCs/>
                <w:color w:val="FFFFFF"/>
                <w:sz w:val="16"/>
                <w:szCs w:val="16"/>
              </w:rPr>
              <w:t xml:space="preserve">PYE-BARKER</w:t>
            </w:r>
          </w:p>
        </w:tc>
        <w:tc>
          <w:tcPr>
            <w:tcW w:type="dxa" w:w="1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b/>
                <w:bCs/>
                <w:color w:val="FFFFFF"/>
                <w:sz w:val="16"/>
                <w:szCs w:val="16"/>
              </w:rPr>
              <w:t xml:space="preserve">EVERON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1A1A2E"/>
                <w:sz w:val="17"/>
                <w:szCs w:val="17"/>
              </w:rPr>
              <w:t xml:space="preserve">Recurring Revenue / RMR %</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DC2626"/>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DC2626"/>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5</w:t>
            </w:r>
          </w:p>
        </w:tc>
      </w:tr>
      <w:tr>
        <w:tc>
          <w:tcPr>
            <w:tcW w:type="dxa" w:w="3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b/>
                <w:bCs/>
                <w:color w:val="1A1A2E"/>
                <w:sz w:val="17"/>
                <w:szCs w:val="17"/>
              </w:rPr>
              <w:t xml:space="preserve">NICET IV Certification</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166534"/>
                <w:sz w:val="18"/>
                <w:szCs w:val="18"/>
              </w:rPr>
              <w:t xml:space="preserve">5</w:t>
            </w:r>
          </w:p>
        </w:tc>
        <w:tc>
          <w:tcPr>
            <w:tcW w:type="dxa" w:w="1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1A1A2E"/>
                <w:sz w:val="17"/>
                <w:szCs w:val="17"/>
              </w:rPr>
              <w:t xml:space="preserve">Fire + Security Combined</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166534"/>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r>
      <w:tr>
        <w:tc>
          <w:tcPr>
            <w:tcW w:type="dxa" w:w="3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b/>
                <w:bCs/>
                <w:color w:val="1A1A2E"/>
                <w:sz w:val="17"/>
                <w:szCs w:val="17"/>
              </w:rPr>
              <w:t xml:space="preserve">Local Relationships / Density</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166534"/>
                <w:sz w:val="18"/>
                <w:szCs w:val="18"/>
              </w:rPr>
              <w:t xml:space="preserve">4</w:t>
            </w:r>
          </w:p>
        </w:tc>
        <w:tc>
          <w:tcPr>
            <w:tcW w:type="dxa" w:w="1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1A1A2E"/>
                <w:sz w:val="17"/>
                <w:szCs w:val="17"/>
              </w:rPr>
              <w:t xml:space="preserve">Scale &amp; Capital Access</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DC2626"/>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DC2626"/>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r>
      <w:tr>
        <w:tc>
          <w:tcPr>
            <w:tcW w:type="dxa" w:w="3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b/>
                <w:bCs/>
                <w:color w:val="1A1A2E"/>
                <w:sz w:val="17"/>
                <w:szCs w:val="17"/>
              </w:rPr>
              <w:t xml:space="preserve">Technology Partnership Breadth</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166534"/>
                <w:sz w:val="18"/>
                <w:szCs w:val="18"/>
              </w:rPr>
              <w:t xml:space="preserve">5</w:t>
            </w:r>
          </w:p>
        </w:tc>
        <w:tc>
          <w:tcPr>
            <w:tcW w:type="dxa" w:w="1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1A1A2E"/>
                <w:sz w:val="17"/>
                <w:szCs w:val="17"/>
              </w:rPr>
              <w:t xml:space="preserve">Workforce Dev Pipeline</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DC2626"/>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DC2626"/>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1A1A2E"/>
                <w:sz w:val="18"/>
                <w:szCs w:val="18"/>
              </w:rPr>
              <w:t xml:space="preserve">3</w:t>
            </w:r>
          </w:p>
        </w:tc>
      </w:tr>
      <w:tr>
        <w:tc>
          <w:tcPr>
            <w:tcW w:type="dxa" w:w="3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b/>
                <w:bCs/>
                <w:color w:val="1A1A2E"/>
                <w:sz w:val="17"/>
                <w:szCs w:val="17"/>
              </w:rPr>
              <w:t xml:space="preserve">Operational Process Maturity</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DC2626"/>
                <w:sz w:val="18"/>
                <w:szCs w:val="18"/>
              </w:rPr>
              <w:t xml:space="preserve">2</w:t>
            </w:r>
          </w:p>
        </w:tc>
        <w:tc>
          <w:tcPr>
            <w:tcW w:type="dxa" w:w="1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A1A2E"/>
                <w:sz w:val="18"/>
                <w:szCs w:val="18"/>
              </w:rPr>
              <w:t xml:space="preserve">3</w:t>
            </w:r>
          </w:p>
        </w:tc>
        <w:tc>
          <w:tcPr>
            <w:tcW w:type="dxa" w:w="1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val="false"/>
                <w:bCs w:val="false"/>
                <w:color w:val="166534"/>
                <w:sz w:val="18"/>
                <w:szCs w:val="18"/>
              </w:rPr>
              <w:t xml:space="preserve">4</w:t>
            </w:r>
          </w:p>
        </w:tc>
      </w:tr>
      <w:tr>
        <w:tc>
          <w:tcPr>
            <w:tcW w:type="dxa" w:w="3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r>
              <w:rPr>
                <w:b/>
                <w:bCs/>
                <w:color w:val="1A1A2E"/>
                <w:sz w:val="18"/>
                <w:szCs w:val="18"/>
              </w:rPr>
              <w:t xml:space="preserve">TOTAL</w:t>
            </w:r>
          </w:p>
        </w:tc>
        <w:tc>
          <w:tcPr>
            <w:tcW w:type="dxa" w:w="1100"/>
            <w:tcBorders>
              <w:top w:val="single" w:color="CCCCCC" w:sz="1"/>
              <w:left w:val="single" w:color="CCCCCC" w:sz="1"/>
              <w:bottom w:val="single" w:color="CCCCCC" w:sz="1"/>
              <w:right w:val="single" w:color="CCCCCC" w:sz="1"/>
            </w:tcBorders>
            <w:shd w:fill="E8E9F7" w:val="clear"/>
            <w:tcMar>
              <w:top w:type="dxa" w:w="60"/>
              <w:left w:type="dxa" w:w="100"/>
              <w:bottom w:type="dxa" w:w="60"/>
              <w:right w:type="dxa" w:w="100"/>
            </w:tcMar>
          </w:tcPr>
          <w:p>
            <w:pPr>
              <w:jc w:val="center"/>
            </w:pPr>
            <w:r>
              <w:rPr>
                <w:b/>
                <w:bCs/>
                <w:color w:val="4950BC"/>
                <w:sz w:val="20"/>
                <w:szCs w:val="20"/>
              </w:rPr>
              <w:t xml:space="preserve">27</w:t>
            </w:r>
          </w:p>
        </w:tc>
        <w:tc>
          <w:tcPr>
            <w:tcW w:type="dxa" w:w="10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bCs/>
                <w:color w:val="1A1A2E"/>
                <w:sz w:val="20"/>
                <w:szCs w:val="20"/>
              </w:rPr>
              <w:t xml:space="preserve">23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bCs/>
                <w:color w:val="1A1A2E"/>
                <w:sz w:val="20"/>
                <w:szCs w:val="20"/>
              </w:rPr>
              <w:t xml:space="preserve">33</w:t>
            </w:r>
          </w:p>
        </w:tc>
        <w:tc>
          <w:tcPr>
            <w:tcW w:type="dxa" w:w="120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bCs/>
                <w:color w:val="1A1A2E"/>
                <w:sz w:val="20"/>
                <w:szCs w:val="20"/>
              </w:rPr>
              <w:t xml:space="preserve">28</w:t>
            </w:r>
          </w:p>
        </w:tc>
        <w:tc>
          <w:tcPr>
            <w:tcW w:type="dxa" w:w="1060"/>
            <w:tcBorders>
              <w:top w:val="single" w:color="CCCCCC" w:sz="1"/>
              <w:left w:val="single" w:color="CCCCCC" w:sz="1"/>
              <w:bottom w:val="single" w:color="CCCCCC" w:sz="1"/>
              <w:right w:val="single" w:color="CCCCCC" w:sz="1"/>
            </w:tcBorders>
            <w:shd w:fill="F5F5F8" w:val="clear"/>
            <w:tcMar>
              <w:top w:type="dxa" w:w="60"/>
              <w:left w:type="dxa" w:w="100"/>
              <w:bottom w:type="dxa" w:w="60"/>
              <w:right w:type="dxa" w:w="100"/>
            </w:tcMar>
          </w:tcPr>
          <w:p>
            <w:pPr>
              <w:jc w:val="center"/>
            </w:pPr>
            <w:r>
              <w:rPr>
                <w:b/>
                <w:bCs/>
                <w:color w:val="1A1A2E"/>
                <w:sz w:val="20"/>
                <w:szCs w:val="20"/>
              </w:rPr>
              <w:t xml:space="preserve">31</w:t>
            </w:r>
          </w:p>
        </w:tc>
      </w:tr>
    </w:tbl>
    <w:p>
      <w:pPr>
        <w:pBdr>
          <w:left w:val="single" w:color="4950BC" w:sz="12" w:space="8"/>
        </w:pBdr>
        <w:spacing w:after="160" w:before="160"/>
        <w:ind w:left="200"/>
      </w:pPr>
      <w:r>
        <w:rPr>
          <w:b/>
          <w:bCs/>
          <w:color w:val="4950BC"/>
          <w:sz w:val="22"/>
          <w:szCs w:val="22"/>
        </w:rPr>
        <w:t xml:space="preserve">The Barbell: </w:t>
      </w:r>
      <w:r>
        <w:rPr>
          <w:color w:val="1A1A2E"/>
          <w:sz w:val="22"/>
          <w:szCs w:val="22"/>
        </w:rPr>
        <w:t xml:space="preserve">IPS is world-class at the technical craft—NICET IV, fire+security under one roof, 25+ vendor partnerships. But the business systems that scale from $55M to $150M—recurring revenue, workforce pipeline, documented processes—are the gaps.</w:t>
      </w:r>
    </w:p>
    <w:p>
      <w:r>
        <w:br w:type="page"/>
      </w:r>
    </w:p>
    <w:p>
      <w:pPr>
        <w:pStyle w:val="Heading1"/>
      </w:pPr>
      <w:r>
        <w:t xml:space="preserve">Four Things the External Environment Is Telling You</w:t>
      </w:r>
    </w:p>
    <w:p>
      <w:pPr>
        <w:spacing w:after="80" w:before="80"/>
      </w:pPr>
    </w:p>
    <w:p>
      <w:pPr>
        <w:pStyle w:val="ListParagraph"/>
        <w:numPr>
          <w:ilvl w:val="0"/>
          <w:numId w:val="3"/>
        </w:numPr>
        <w:spacing w:after="40"/>
      </w:pPr>
      <w:r>
        <w:rPr>
          <w:b/>
          <w:bCs/>
          <w:color w:val="4950BC"/>
          <w:sz w:val="24"/>
          <w:szCs w:val="24"/>
        </w:rPr>
        <w:t xml:space="preserve">Your industry is becoming one market.</w:t>
      </w:r>
    </w:p>
    <w:p>
      <w:pPr>
        <w:spacing w:after="200"/>
        <w:ind w:left="720"/>
      </w:pPr>
      <w:r>
        <w:rPr>
          <w:color w:val="1A1A2E"/>
          <w:sz w:val="22"/>
          <w:szCs w:val="22"/>
        </w:rPr>
        <w:t xml:space="preserve">Fire, security, IT, and cyber are merging into building intelligence. NFPA 72 (2025) makes this official: cybersecurity is now enforceable for fire systems. Cloud platforms grow 4× faster than base market. The $256B addressable market is reorganizing around whoever can integrate all of it.</w:t>
      </w:r>
    </w:p>
    <w:p>
      <w:pPr>
        <w:pStyle w:val="ListParagraph"/>
        <w:numPr>
          <w:ilvl w:val="0"/>
          <w:numId w:val="3"/>
        </w:numPr>
        <w:spacing w:after="40"/>
      </w:pPr>
      <w:r>
        <w:rPr>
          <w:b/>
          <w:bCs/>
          <w:color w:val="DC2626"/>
          <w:sz w:val="24"/>
          <w:szCs w:val="24"/>
        </w:rPr>
        <w:t xml:space="preserve">Someone else is building what you could be.</w:t>
      </w:r>
    </w:p>
    <w:p>
      <w:pPr>
        <w:spacing w:after="200"/>
        <w:ind w:left="720"/>
      </w:pPr>
      <w:r>
        <w:rPr>
          <w:color w:val="1A1A2E"/>
          <w:sz w:val="22"/>
          <w:szCs w:val="22"/>
        </w:rPr>
        <w:t xml:space="preserve">PE firms have deployed $9.6B assembling fire + security + cyber + cloud into integrated platforms. One firm controls $3.7B. Sovereign wealth funds validated the model at a $6.1B valuation. Every IPS market is now encircled. This is an industry reorganization, not just competition.</w:t>
      </w:r>
    </w:p>
    <w:p>
      <w:pPr>
        <w:pStyle w:val="ListParagraph"/>
        <w:numPr>
          <w:ilvl w:val="0"/>
          <w:numId w:val="3"/>
        </w:numPr>
        <w:spacing w:after="40"/>
      </w:pPr>
      <w:r>
        <w:rPr>
          <w:b/>
          <w:bCs/>
          <w:color w:val="D97706"/>
          <w:sz w:val="24"/>
          <w:szCs w:val="24"/>
        </w:rPr>
        <w:t xml:space="preserve">Fire is your most defensible asset.</w:t>
      </w:r>
    </w:p>
    <w:p>
      <w:pPr>
        <w:spacing w:after="200"/>
        <w:ind w:left="720"/>
      </w:pPr>
      <w:r>
        <w:rPr>
          <w:color w:val="1A1A2E"/>
          <w:sz w:val="22"/>
          <w:szCs w:val="22"/>
        </w:rPr>
        <w:t xml:space="preserve">Zero substitution threat. 10-year NICET IV moat. Code-mandated demand that doesn’t disappear in a downturn. Cloud and IT can’t touch it. Fire is the last piece to converge—that buys time. But Edwards exclusivity is eroding under new PE ownership, and the fire moat alone won’t fund a partner buyout.</w:t>
      </w:r>
    </w:p>
    <w:p>
      <w:pPr>
        <w:pStyle w:val="ListParagraph"/>
        <w:numPr>
          <w:ilvl w:val="0"/>
          <w:numId w:val="3"/>
        </w:numPr>
        <w:spacing w:after="40"/>
      </w:pPr>
      <w:r>
        <w:rPr>
          <w:b/>
          <w:bCs/>
          <w:color w:val="166534"/>
          <w:sz w:val="24"/>
          <w:szCs w:val="24"/>
        </w:rPr>
        <w:t xml:space="preserve">RMR is the answer to almost every question.</w:t>
      </w:r>
    </w:p>
    <w:p>
      <w:pPr>
        <w:spacing w:after="200"/>
        <w:ind w:left="720"/>
      </w:pPr>
      <w:r>
        <w:rPr>
          <w:color w:val="1A1A2E"/>
          <w:sz w:val="22"/>
          <w:szCs w:val="22"/>
        </w:rPr>
        <w:t xml:space="preserve">IPS’s true recurring revenue of 7–10% is the single largest gap. Service margins are 2.5× project margins. RMR drives enterprise value multiples—the metric that determines whether the partner buyout is feasible. The platforms are in place (Brivo, Genetec). The gap is go-to-market execution.</w:t>
      </w:r>
    </w:p>
    <w:p>
      <w:pPr>
        <w:spacing w:after="120" w:before="120"/>
      </w:pPr>
    </w:p>
    <w:p>
      <w:pPr>
        <w:pStyle w:val="Heading1"/>
      </w:pPr>
      <w:r>
        <w:t xml:space="preserve">What Comes Next</w:t>
      </w:r>
    </w:p>
    <w:p>
      <w:pPr>
        <w:shd w:fill="1A1A2E" w:val="clear"/>
        <w:spacing w:after="160" w:before="160"/>
        <w:ind w:left="0"/>
      </w:pPr>
      <w:r>
        <w:rPr>
          <w:sz w:val="22"/>
          <w:szCs w:val="22"/>
        </w:rPr>
        <w:t xml:space="preserve">  </w:t>
      </w:r>
    </w:p>
    <w:p>
      <w:pPr>
        <w:spacing w:after="200"/>
      </w:pPr>
      <w:r>
        <w:rPr>
          <w:color w:val="1A1A2E"/>
          <w:sz w:val="22"/>
          <w:szCs w:val="22"/>
        </w:rPr>
        <w:t xml:space="preserve">The external environment frames the challenge: a converging industry, PE reorganization, a 3–5 year window, and a partner buyout that makes growth existential. The internal analysis answers it—what does IPS have to work with, and what strategic paths does the converged industry create?</w:t>
      </w:r>
    </w:p>
    <w:p>
      <w:pPr>
        <w:spacing w:after="120" w:before="120"/>
      </w:pPr>
    </w:p>
    <w:p>
      <w:pPr>
        <w:pStyle w:val="Heading2"/>
      </w:pPr>
      <w:r>
        <w:t xml:space="preserve">Sources</w:t>
      </w:r>
    </w:p>
    <w:p>
      <w:pPr>
        <w:pStyle w:val="ListParagraph"/>
        <w:numPr>
          <w:ilvl w:val="0"/>
          <w:numId w:val="2"/>
        </w:numPr>
        <w:spacing w:after="60"/>
      </w:pPr>
      <w:r>
        <w:rPr>
          <w:rFonts w:ascii="Arial" w:cs="Arial" w:eastAsia="Arial" w:hAnsi="Arial"/>
          <w:color w:val="1A1A2E"/>
          <w:sz w:val="20"/>
          <w:szCs w:val="20"/>
        </w:rPr>
        <w:t xml:space="preserve">IPS Leadership Meeting (March 20, 2026)</w:t>
      </w:r>
    </w:p>
    <w:p>
      <w:pPr>
        <w:pStyle w:val="ListParagraph"/>
        <w:numPr>
          <w:ilvl w:val="0"/>
          <w:numId w:val="2"/>
        </w:numPr>
        <w:spacing w:after="60"/>
      </w:pPr>
      <w:r>
        <w:rPr>
          <w:rFonts w:ascii="Arial" w:cs="Arial" w:eastAsia="Arial" w:hAnsi="Arial"/>
          <w:color w:val="1A1A2E"/>
          <w:sz w:val="20"/>
          <w:szCs w:val="20"/>
        </w:rPr>
        <w:t xml:space="preserve">IPS Vision/Traction Organizer (VTO)</w:t>
      </w:r>
    </w:p>
    <w:p>
      <w:pPr>
        <w:pStyle w:val="ListParagraph"/>
        <w:numPr>
          <w:ilvl w:val="0"/>
          <w:numId w:val="2"/>
        </w:numPr>
        <w:spacing w:after="60"/>
      </w:pPr>
      <w:r>
        <w:rPr>
          <w:rFonts w:ascii="Arial" w:cs="Arial" w:eastAsia="Arial" w:hAnsi="Arial"/>
          <w:color w:val="1A1A2E"/>
          <w:sz w:val="20"/>
          <w:szCs w:val="20"/>
        </w:rPr>
        <w:t xml:space="preserve">Pete Keller Consultation (March 25, 2026)</w:t>
      </w:r>
    </w:p>
    <w:p>
      <w:pPr>
        <w:pStyle w:val="ListParagraph"/>
        <w:numPr>
          <w:ilvl w:val="0"/>
          <w:numId w:val="2"/>
        </w:numPr>
        <w:spacing w:after="60"/>
      </w:pPr>
      <w:r>
        <w:rPr>
          <w:rFonts w:ascii="Arial" w:cs="Arial" w:eastAsia="Arial" w:hAnsi="Arial"/>
          <w:color w:val="1A1A2E"/>
          <w:sz w:val="20"/>
          <w:szCs w:val="20"/>
        </w:rPr>
        <w:t xml:space="preserve">Plunkett Research via Xavier University/Gale (NAICS 561621, 238210)</w:t>
      </w:r>
    </w:p>
    <w:p>
      <w:pPr>
        <w:pStyle w:val="ListParagraph"/>
        <w:numPr>
          <w:ilvl w:val="0"/>
          <w:numId w:val="2"/>
        </w:numPr>
        <w:spacing w:after="60"/>
      </w:pPr>
      <w:r>
        <w:rPr>
          <w:rFonts w:ascii="Arial" w:cs="Arial" w:eastAsia="Arial" w:hAnsi="Arial"/>
          <w:color w:val="1A1A2E"/>
          <w:sz w:val="20"/>
          <w:szCs w:val="20"/>
        </w:rPr>
        <w:t xml:space="preserve">PitchBook Capital IQ (references 102–112)</w:t>
      </w:r>
    </w:p>
    <w:p>
      <w:pPr>
        <w:pStyle w:val="ListParagraph"/>
        <w:numPr>
          <w:ilvl w:val="0"/>
          <w:numId w:val="2"/>
        </w:numPr>
        <w:spacing w:after="60"/>
      </w:pPr>
      <w:r>
        <w:rPr>
          <w:rFonts w:ascii="Arial" w:cs="Arial" w:eastAsia="Arial" w:hAnsi="Arial"/>
          <w:color w:val="1A1A2E"/>
          <w:sz w:val="20"/>
          <w:szCs w:val="20"/>
        </w:rPr>
        <w:t xml:space="preserve">Capstone Partners: Fire &amp; Security Industry Update (February 2026)</w:t>
      </w:r>
    </w:p>
    <w:p>
      <w:pPr>
        <w:pStyle w:val="ListParagraph"/>
        <w:numPr>
          <w:ilvl w:val="0"/>
          <w:numId w:val="2"/>
        </w:numPr>
        <w:spacing w:after="60"/>
      </w:pPr>
      <w:r>
        <w:rPr>
          <w:rFonts w:ascii="Arial" w:cs="Arial" w:eastAsia="Arial" w:hAnsi="Arial"/>
          <w:color w:val="1A1A2E"/>
          <w:sz w:val="20"/>
          <w:szCs w:val="20"/>
        </w:rPr>
        <w:t xml:space="preserve">SDM Magazine Top 100 Systems Integrators (2024)</w:t>
      </w:r>
    </w:p>
    <w:p>
      <w:pPr>
        <w:pStyle w:val="ListParagraph"/>
        <w:numPr>
          <w:ilvl w:val="0"/>
          <w:numId w:val="2"/>
        </w:numPr>
        <w:spacing w:after="60"/>
      </w:pPr>
      <w:r>
        <w:rPr>
          <w:rFonts w:ascii="Arial" w:cs="Arial" w:eastAsia="Arial" w:hAnsi="Arial"/>
          <w:color w:val="1A1A2E"/>
          <w:sz w:val="20"/>
          <w:szCs w:val="20"/>
        </w:rPr>
        <w:t xml:space="preserve">NFPA 72: National Fire Alarm and Signaling Code (2025 Edition)</w:t>
      </w:r>
    </w:p>
    <w:p>
      <w:pPr>
        <w:pStyle w:val="ListParagraph"/>
        <w:numPr>
          <w:ilvl w:val="0"/>
          <w:numId w:val="2"/>
        </w:numPr>
        <w:spacing w:after="60"/>
      </w:pPr>
      <w:r>
        <w:rPr>
          <w:rFonts w:ascii="Arial" w:cs="Arial" w:eastAsia="Arial" w:hAnsi="Arial"/>
          <w:color w:val="1A1A2E"/>
          <w:sz w:val="20"/>
          <w:szCs w:val="20"/>
        </w:rPr>
        <w:t xml:space="preserve">FEMA.gov: Homeland Security Grant Program FY2025</w:t>
      </w:r>
    </w:p>
    <w:p>
      <w:pPr>
        <w:pStyle w:val="ListParagraph"/>
        <w:numPr>
          <w:ilvl w:val="0"/>
          <w:numId w:val="2"/>
        </w:numPr>
        <w:spacing w:after="60"/>
      </w:pPr>
      <w:r>
        <w:rPr>
          <w:rFonts w:ascii="Arial" w:cs="Arial" w:eastAsia="Arial" w:hAnsi="Arial"/>
          <w:color w:val="1A1A2E"/>
          <w:sz w:val="20"/>
          <w:szCs w:val="20"/>
        </w:rPr>
        <w:t xml:space="preserve">MarketsandMarkets: Access Control as a Service Market Report</w:t>
      </w:r>
    </w:p>
    <w:p>
      <w:pPr>
        <w:pStyle w:val="ListParagraph"/>
        <w:numPr>
          <w:ilvl w:val="0"/>
          <w:numId w:val="2"/>
        </w:numPr>
        <w:spacing w:after="60"/>
      </w:pPr>
      <w:r>
        <w:rPr>
          <w:rFonts w:ascii="Arial" w:cs="Arial" w:eastAsia="Arial" w:hAnsi="Arial"/>
          <w:color w:val="1A1A2E"/>
          <w:sz w:val="20"/>
          <w:szCs w:val="20"/>
        </w:rPr>
        <w:t xml:space="preserve">Grand View Research: Video Surveillance Market Analysis</w:t>
      </w:r>
    </w:p>
    <w:p>
      <w:pPr>
        <w:pStyle w:val="ListParagraph"/>
        <w:numPr>
          <w:ilvl w:val="0"/>
          <w:numId w:val="2"/>
        </w:numPr>
        <w:spacing w:after="60"/>
      </w:pPr>
      <w:r>
        <w:rPr>
          <w:rFonts w:ascii="Arial" w:cs="Arial" w:eastAsia="Arial" w:hAnsi="Arial"/>
          <w:color w:val="1A1A2E"/>
          <w:sz w:val="20"/>
          <w:szCs w:val="20"/>
        </w:rPr>
        <w:t xml:space="preserve">IBISWorld Industry Reports</w:t>
      </w:r>
    </w:p>
    <w:p>
      <w:pPr>
        <w:pStyle w:val="ListParagraph"/>
        <w:numPr>
          <w:ilvl w:val="0"/>
          <w:numId w:val="2"/>
        </w:numPr>
        <w:spacing w:after="60"/>
      </w:pPr>
      <w:r>
        <w:rPr>
          <w:rFonts w:ascii="Arial" w:cs="Arial" w:eastAsia="Arial" w:hAnsi="Arial"/>
          <w:color w:val="1A1A2E"/>
          <w:sz w:val="20"/>
          <w:szCs w:val="20"/>
        </w:rPr>
        <w:t xml:space="preserve">BLS: Bureau of Labor Statistics Occupational Outlook</w:t>
      </w:r>
    </w:p>
    <w:p>
      <w:pPr>
        <w:pStyle w:val="ListParagraph"/>
        <w:numPr>
          <w:ilvl w:val="0"/>
          <w:numId w:val="2"/>
        </w:numPr>
        <w:spacing w:after="60"/>
      </w:pPr>
      <w:r>
        <w:rPr>
          <w:rFonts w:ascii="Arial" w:cs="Arial" w:eastAsia="Arial" w:hAnsi="Arial"/>
          <w:color w:val="1A1A2E"/>
          <w:sz w:val="20"/>
          <w:szCs w:val="20"/>
        </w:rPr>
        <w:t xml:space="preserve">ConstructConnect: U.S. Construction Starts Data</w:t>
      </w:r>
    </w:p>
    <w:p>
      <w:pPr>
        <w:pStyle w:val="ListParagraph"/>
        <w:numPr>
          <w:ilvl w:val="0"/>
          <w:numId w:val="2"/>
        </w:numPr>
        <w:spacing w:after="60"/>
      </w:pPr>
      <w:r>
        <w:rPr>
          <w:rFonts w:ascii="Arial" w:cs="Arial" w:eastAsia="Arial" w:hAnsi="Arial"/>
          <w:color w:val="1A1A2E"/>
          <w:sz w:val="20"/>
          <w:szCs w:val="20"/>
        </w:rPr>
        <w:t xml:space="preserve">Team PESTEL Workbook (March 2026)</w:t>
      </w:r>
    </w:p>
    <w:p>
      <w:pPr>
        <w:spacing w:after="120" w:before="120"/>
      </w:pPr>
    </w:p>
    <w:p>
      <w:pPr>
        <w:spacing w:before="400"/>
        <w:jc w:val="center"/>
      </w:pPr>
      <w:r>
        <w:rPr>
          <w:i/>
          <w:iCs/>
          <w:color w:val="666666"/>
          <w:sz w:val="18"/>
          <w:szCs w:val="18"/>
        </w:rPr>
        <w:t xml:space="preserve">Prepared by the Xavier EMBA Capstone Team  |  May 2026</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950BC" w:sz="2" w:space="4"/>
      </w:pBdr>
    </w:pPr>
    <w:r>
      <w:rPr>
        <w:rFonts w:ascii="Arial" w:cs="Arial" w:eastAsia="Arial" w:hAnsi="Arial"/>
        <w:color w:val="666666"/>
        <w:sz w:val="16"/>
        <w:szCs w:val="16"/>
      </w:rPr>
      <w:t xml:space="preserve">IPS External Strategic Analysis  |  Xavier EMBA Capstone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4950B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2026-03-28T02:19:14.904Z</dcterms:created>
  <dcterms:modified xsi:type="dcterms:W3CDTF">2026-03-28T02:19:14.905Z</dcterms:modified>
</cp:coreProperties>
</file>

<file path=docProps/custom.xml><?xml version="1.0" encoding="utf-8"?>
<Properties xmlns="http://schemas.openxmlformats.org/officeDocument/2006/custom-properties" xmlns:vt="http://schemas.openxmlformats.org/officeDocument/2006/docPropsVTypes"/>
</file>