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7A00"/>
          <w:sz w:val="48"/>
          <w:szCs w:val="48"/>
        </w:rPr>
        <w:t xml:space="preserve">MIA</w:t>
      </w:r>
    </w:p>
    <w:p>
      <w:pPr>
        <w:spacing w:after="120"/>
      </w:pPr>
      <w:r>
        <w:rPr>
          <w:b/>
          <w:bCs/>
          <w:sz w:val="26"/>
          <w:szCs w:val="26"/>
        </w:rPr>
        <w:t xml:space="preserve">Modüler Paketleme &amp; Fiyat Stratejisi</w:t>
      </w:r>
    </w:p>
    <w:p>
      <w:pPr>
        <w:spacing w:after="240"/>
      </w:pPr>
      <w:r>
        <w:rPr>
          <w:color w:val="666666"/>
        </w:rPr>
        <w:t xml:space="preserve">Sprint 6 — Sahaya göre kademeli paketler  •  Haziran 2026</w:t>
      </w:r>
    </w:p>
    <w:p>
      <w:pPr>
        <w:pStyle w:val="Heading1"/>
      </w:pPr>
      <w:r>
        <w:t xml:space="preserve">1. Strateji</w:t>
      </w:r>
    </w:p>
    <w:p>
      <w:pPr>
        <w:spacing w:after="120"/>
      </w:pPr>
      <w:r>
        <w:t xml:space="preserve">Mostar feedback'i MIA'yı tek bir çözüm yerine sahaya göre paketlenebilen modüler bir ürün ailesine taşıdı. Müşteri her noktaya kamera koymak yerine, sahanın ihtiyacına ve bütçesine göre katman seçer. Bu hem büyük projelere düşük maliyetli giriş sağlar (QR pasif takip) hem de üst segmentte premium gelir yaratır (Pro füzyon, Kurumsal + termal).</w:t>
      </w:r>
    </w:p>
    <w:p>
      <w:pPr>
        <w:pStyle w:val="Heading1"/>
      </w:pPr>
      <w:r>
        <w:t xml:space="preserve">2. Paketler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1500"/>
        <w:gridCol w:w="2330"/>
      </w:tblGrid>
      <w:tr>
        <w:tc>
          <w:tcPr>
            <w:tcW w:type="dxa" w:w="1700"/>
            <w:tcBorders>
              <w:top w:val="single" w:color="CCCCCC" w:sz="1"/>
              <w:left w:val="single" w:color="CCCCCC" w:sz="1"/>
              <w:bottom w:val="single" w:color="CCCCCC" w:sz="1"/>
              <w:right w:val="single" w:color="CCCCCC" w:sz="1"/>
            </w:tcBorders>
            <w:shd w:fill="262626" w:val="clear"/>
            <w:tcMar>
              <w:top w:type="dxa" w:w="70"/>
              <w:left w:type="dxa" w:w="110"/>
              <w:bottom w:type="dxa" w:w="70"/>
              <w:right w:type="dxa" w:w="110"/>
            </w:tcMar>
          </w:tcPr>
          <w:p>
            <w:r>
              <w:rPr>
                <w:b/>
                <w:bCs/>
                <w:color w:val="FFFFFF"/>
                <w:sz w:val="20"/>
                <w:szCs w:val="20"/>
              </w:rPr>
              <w:t xml:space="preserve">Paket</w:t>
            </w:r>
          </w:p>
        </w:tc>
        <w:tc>
          <w:tcPr>
            <w:tcW w:type="dxa" w:w="3830"/>
            <w:tcBorders>
              <w:top w:val="single" w:color="CCCCCC" w:sz="1"/>
              <w:left w:val="single" w:color="CCCCCC" w:sz="1"/>
              <w:bottom w:val="single" w:color="CCCCCC" w:sz="1"/>
              <w:right w:val="single" w:color="CCCCCC" w:sz="1"/>
            </w:tcBorders>
            <w:shd w:fill="262626" w:val="clear"/>
            <w:tcMar>
              <w:top w:type="dxa" w:w="70"/>
              <w:left w:type="dxa" w:w="110"/>
              <w:bottom w:type="dxa" w:w="70"/>
              <w:right w:type="dxa" w:w="110"/>
            </w:tcMar>
          </w:tcPr>
          <w:p>
            <w:r>
              <w:rPr>
                <w:b/>
                <w:bCs/>
                <w:color w:val="FFFFFF"/>
                <w:sz w:val="20"/>
                <w:szCs w:val="20"/>
              </w:rPr>
              <w:t xml:space="preserve">Kapsam</w:t>
            </w:r>
          </w:p>
        </w:tc>
        <w:tc>
          <w:tcPr>
            <w:tcW w:type="dxa" w:w="1500"/>
            <w:tcBorders>
              <w:top w:val="single" w:color="CCCCCC" w:sz="1"/>
              <w:left w:val="single" w:color="CCCCCC" w:sz="1"/>
              <w:bottom w:val="single" w:color="CCCCCC" w:sz="1"/>
              <w:right w:val="single" w:color="CCCCCC" w:sz="1"/>
            </w:tcBorders>
            <w:shd w:fill="262626" w:val="clear"/>
            <w:tcMar>
              <w:top w:type="dxa" w:w="70"/>
              <w:left w:type="dxa" w:w="110"/>
              <w:bottom w:type="dxa" w:w="70"/>
              <w:right w:type="dxa" w:w="110"/>
            </w:tcMar>
          </w:tcPr>
          <w:p>
            <w:r>
              <w:rPr>
                <w:b/>
                <w:bCs/>
                <w:color w:val="FFFFFF"/>
                <w:sz w:val="20"/>
                <w:szCs w:val="20"/>
              </w:rPr>
              <w:t xml:space="preserve">Fiyat (₺/ay)*</w:t>
            </w:r>
          </w:p>
        </w:tc>
        <w:tc>
          <w:tcPr>
            <w:tcW w:type="dxa" w:w="2330"/>
            <w:tcBorders>
              <w:top w:val="single" w:color="CCCCCC" w:sz="1"/>
              <w:left w:val="single" w:color="CCCCCC" w:sz="1"/>
              <w:bottom w:val="single" w:color="CCCCCC" w:sz="1"/>
              <w:right w:val="single" w:color="CCCCCC" w:sz="1"/>
            </w:tcBorders>
            <w:shd w:fill="262626" w:val="clear"/>
            <w:tcMar>
              <w:top w:type="dxa" w:w="70"/>
              <w:left w:type="dxa" w:w="110"/>
              <w:bottom w:type="dxa" w:w="70"/>
              <w:right w:type="dxa" w:w="110"/>
            </w:tcMar>
          </w:tcPr>
          <w:p>
            <w:r>
              <w:rPr>
                <w:b/>
                <w:bCs/>
                <w:color w:val="FFFFFF"/>
                <w:sz w:val="20"/>
                <w:szCs w:val="20"/>
              </w:rPr>
              <w:t xml:space="preserve">Hedef senaryo</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Giriş — QR Pasif Takip</w:t>
            </w:r>
          </w:p>
        </w:tc>
        <w:tc>
          <w:tcPr>
            <w:tcW w:type="dxa" w:w="383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Geçiş noktası QR/RFID, baret+yelek eşleştirme, temel uyumluluk raporu, e-posta</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4.000</w:t>
            </w:r>
          </w:p>
        </w:tc>
        <w:tc>
          <w:tcPr>
            <w:tcW w:type="dxa" w:w="233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Yüksek katlı konut, her kata kamera maliyetli sahalar</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Kamera AI</w:t>
            </w:r>
          </w:p>
        </w:tc>
        <w:tc>
          <w:tcPr>
            <w:tcW w:type="dxa" w:w="383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Geçiş noktalarında AI PPE tespiti, canlı panel + ihlal raporu, anlık alarm, ≤10 kamera</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12.000</w:t>
            </w:r>
          </w:p>
        </w:tc>
        <w:tc>
          <w:tcPr>
            <w:tcW w:type="dxa" w:w="233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Saha girişi, koğuş, yemekhane gibi yoğun geçiş noktaları</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Pro Füzyon</w:t>
            </w:r>
          </w:p>
        </w:tc>
        <w:tc>
          <w:tcPr>
            <w:tcW w:type="dxa" w:w="383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Kamera + QR/RFID birleşik panel, gelişmiş analitik &amp; PDF/CSV, 7/24 destek, ≤30 kamera</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25.000</w:t>
            </w:r>
          </w:p>
        </w:tc>
        <w:tc>
          <w:tcPr>
            <w:tcW w:type="dxa" w:w="233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Hem geçiş noktası hem kapsamlı saha izleme isteyen büyük projeler</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Kurumsal</w:t>
            </w:r>
          </w:p>
        </w:tc>
        <w:tc>
          <w:tcPr>
            <w:tcW w:type="dxa" w:w="383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Sınırsız kamera + çoklu saha, termal katman (opsiyonel), özel entegrasyon &amp; SLA, dedike destek</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Özel Teklif</w:t>
            </w:r>
          </w:p>
        </w:tc>
        <w:tc>
          <w:tcPr>
            <w:tcW w:type="dxa" w:w="233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Çoklu şantiyeli müteahhitler, gece/kritik tesisler</w:t>
            </w:r>
          </w:p>
        </w:tc>
      </w:tr>
    </w:tbl>
    <w:p>
      <w:pPr>
        <w:spacing w:after="160" w:before="80"/>
      </w:pPr>
      <w:r>
        <w:rPr>
          <w:i/>
          <w:iCs/>
          <w:color w:val="888888"/>
          <w:sz w:val="18"/>
          <w:szCs w:val="18"/>
        </w:rPr>
        <w:t xml:space="preserve">*Fiyatlar başlangıç önerisidir; pilot geri bildirimi ve maliyet analizine göre güncellenmeli.</w:t>
      </w:r>
    </w:p>
    <w:p>
      <w:pPr>
        <w:pStyle w:val="Heading1"/>
      </w:pPr>
      <w:r>
        <w:t xml:space="preserve">3. Sahaya göre öneri matrisi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62626" w:val="clear"/>
            <w:tcMar>
              <w:top w:type="dxa" w:w="70"/>
              <w:left w:type="dxa" w:w="110"/>
              <w:bottom w:type="dxa" w:w="70"/>
              <w:right w:type="dxa" w:w="110"/>
            </w:tcMar>
          </w:tcPr>
          <w:p>
            <w:r>
              <w:rPr>
                <w:b/>
                <w:bCs/>
                <w:color w:val="FFFFFF"/>
                <w:sz w:val="20"/>
                <w:szCs w:val="20"/>
              </w:rPr>
              <w:t xml:space="preserve">Saha tipi</w:t>
            </w:r>
          </w:p>
        </w:tc>
        <w:tc>
          <w:tcPr>
            <w:tcW w:type="dxa" w:w="3200"/>
            <w:tcBorders>
              <w:top w:val="single" w:color="CCCCCC" w:sz="1"/>
              <w:left w:val="single" w:color="CCCCCC" w:sz="1"/>
              <w:bottom w:val="single" w:color="CCCCCC" w:sz="1"/>
              <w:right w:val="single" w:color="CCCCCC" w:sz="1"/>
            </w:tcBorders>
            <w:shd w:fill="262626" w:val="clear"/>
            <w:tcMar>
              <w:top w:type="dxa" w:w="70"/>
              <w:left w:type="dxa" w:w="110"/>
              <w:bottom w:type="dxa" w:w="70"/>
              <w:right w:type="dxa" w:w="110"/>
            </w:tcMar>
          </w:tcPr>
          <w:p>
            <w:r>
              <w:rPr>
                <w:b/>
                <w:bCs/>
                <w:color w:val="FFFFFF"/>
                <w:sz w:val="20"/>
                <w:szCs w:val="20"/>
              </w:rPr>
              <w:t xml:space="preserve">Önerilen paket</w:t>
            </w:r>
          </w:p>
        </w:tc>
        <w:tc>
          <w:tcPr>
            <w:tcW w:type="dxa" w:w="2960"/>
            <w:tcBorders>
              <w:top w:val="single" w:color="CCCCCC" w:sz="1"/>
              <w:left w:val="single" w:color="CCCCCC" w:sz="1"/>
              <w:bottom w:val="single" w:color="CCCCCC" w:sz="1"/>
              <w:right w:val="single" w:color="CCCCCC" w:sz="1"/>
            </w:tcBorders>
            <w:shd w:fill="262626" w:val="clear"/>
            <w:tcMar>
              <w:top w:type="dxa" w:w="70"/>
              <w:left w:type="dxa" w:w="110"/>
              <w:bottom w:type="dxa" w:w="70"/>
              <w:right w:type="dxa" w:w="110"/>
            </w:tcMar>
          </w:tcPr>
          <w:p>
            <w:r>
              <w:rPr>
                <w:b/>
                <w:bCs/>
                <w:color w:val="FFFFFF"/>
                <w:sz w:val="20"/>
                <w:szCs w:val="20"/>
              </w:rPr>
              <w:t xml:space="preserve">Neden</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Yüksek katlı konut (her oda/kat)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Giriş — QR Pasif Takip</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Her noktaya kamera pahalı; QR/RFID ile düşük maliyetli ekipman takibi</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Yoğun geçiş noktaları</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Kamera AI</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Tek noktada gerçek giyim doğrulaması en yüksek değeri burada verir</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Karma büyük saha</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Pro Füzyon</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Kamera + QR/RFID tek panelde; hem doğrulama hem geniş kapsama</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Çoklu şantiye / gece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Kurumsal</w:t>
            </w:r>
          </w:p>
        </w:tc>
        <w:tc>
          <w:tcPr>
            <w:tcW w:type="dxa" w:w="2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20"/>
                <w:szCs w:val="20"/>
              </w:rPr>
              <w:t xml:space="preserve">Çoklu saha yönetimi + termal ile gece insan/varlık katmanı</w:t>
            </w:r>
          </w:p>
        </w:tc>
      </w:tr>
    </w:tbl>
    <w:p>
      <w:pPr>
        <w:spacing w:before="120"/>
      </w:pPr>
    </w:p>
    <w:p>
      <w:pPr>
        <w:pStyle w:val="Heading1"/>
      </w:pPr>
      <w:r>
        <w:t xml:space="preserve">4. Fiyat segmentasyon mantığı</w:t>
      </w:r>
    </w:p>
    <w:p>
      <w:pPr>
        <w:pStyle w:val="ListParagraph"/>
        <w:numPr>
          <w:ilvl w:val="0"/>
          <w:numId w:val="2"/>
        </w:numPr>
        <w:spacing w:after="50"/>
      </w:pPr>
      <w:r>
        <w:rPr>
          <w:b/>
          <w:bCs/>
        </w:rPr>
        <w:t xml:space="preserve">Değer bazlı kademe: </w:t>
      </w:r>
      <w:r>
        <w:t xml:space="preserve">QR sadece 'ekipman var mı' der; kamera gerçek giyim doğrulaması yapar → fiyat farkı bu değer farkını yansıtır.</w:t>
      </w:r>
    </w:p>
    <w:p>
      <w:pPr>
        <w:pStyle w:val="ListParagraph"/>
        <w:numPr>
          <w:ilvl w:val="0"/>
          <w:numId w:val="2"/>
        </w:numPr>
        <w:spacing w:after="50"/>
      </w:pPr>
      <w:r>
        <w:rPr>
          <w:b/>
          <w:bCs/>
        </w:rPr>
        <w:t xml:space="preserve">Giriş bariyeri düşük: </w:t>
      </w:r>
      <w:r>
        <w:t xml:space="preserve">QR paketi ucuz tutulur ki büyük projeler düşük riskle başlasın, sonra üst kademeye geçsin (land-and-expand).</w:t>
      </w:r>
    </w:p>
    <w:p>
      <w:pPr>
        <w:pStyle w:val="ListParagraph"/>
        <w:numPr>
          <w:ilvl w:val="0"/>
          <w:numId w:val="2"/>
        </w:numPr>
        <w:spacing w:after="50"/>
      </w:pPr>
      <w:r>
        <w:rPr>
          <w:b/>
          <w:bCs/>
        </w:rPr>
        <w:t xml:space="preserve">Kamera sayısı tavanı: </w:t>
      </w:r>
      <w:r>
        <w:t xml:space="preserve">Kademeler arası geçişi kamera adediyle tetikle (10 → 30 → sınırsız).</w:t>
      </w:r>
    </w:p>
    <w:p>
      <w:pPr>
        <w:pStyle w:val="ListParagraph"/>
        <w:numPr>
          <w:ilvl w:val="0"/>
          <w:numId w:val="2"/>
        </w:numPr>
        <w:spacing w:after="50"/>
      </w:pPr>
      <w:r>
        <w:rPr>
          <w:b/>
          <w:bCs/>
        </w:rPr>
        <w:t xml:space="preserve">Termal yalnızca Kurumsal: </w:t>
      </w:r>
      <w:r>
        <w:t xml:space="preserve">PoC olumlu çıkarsa premium ek; olumsuzsa pakettan sessizce çıkarılır — taahhüt yok.</w:t>
      </w:r>
    </w:p>
    <w:p>
      <w:pPr>
        <w:pStyle w:val="Heading1"/>
      </w:pPr>
      <w:r>
        <w:t xml:space="preserve">5. Satış konuşma noktaları</w:t>
      </w:r>
    </w:p>
    <w:p>
      <w:pPr>
        <w:pStyle w:val="ListParagraph"/>
        <w:numPr>
          <w:ilvl w:val="0"/>
          <w:numId w:val="2"/>
        </w:numPr>
        <w:spacing w:after="50"/>
      </w:pPr>
      <w:r>
        <w:t xml:space="preserve">"Her yere kamera" değil; sahaya göre doğru katman → müşteri bütçesini korur.</w:t>
      </w:r>
    </w:p>
    <w:p>
      <w:pPr>
        <w:pStyle w:val="ListParagraph"/>
        <w:numPr>
          <w:ilvl w:val="0"/>
          <w:numId w:val="2"/>
        </w:numPr>
        <w:spacing w:after="50"/>
      </w:pPr>
      <w:r>
        <w:t xml:space="preserve">QR ile bugün başla, kamera AI'a istediğin zaman yükselt — tek panelde birleşir.</w:t>
      </w:r>
    </w:p>
    <w:p>
      <w:pPr>
        <w:pStyle w:val="ListParagraph"/>
        <w:numPr>
          <w:ilvl w:val="0"/>
          <w:numId w:val="2"/>
        </w:numPr>
        <w:spacing w:after="50"/>
      </w:pPr>
      <w:r>
        <w:t xml:space="preserve">Geçiş noktası odağı (Mostar içgörüsü): en yüksek ROI yoğun giriş-çıkışta.</w:t>
      </w:r>
    </w:p>
    <w:p>
      <w:pPr>
        <w:pStyle w:val="ListParagraph"/>
        <w:numPr>
          <w:ilvl w:val="0"/>
          <w:numId w:val="2"/>
        </w:numPr>
        <w:spacing w:after="50"/>
      </w:pPr>
      <w:r>
        <w:t xml:space="preserve">Tek panelde kamera + QR/RFID birleşik uyumluluk → yöneticiye tek ekran.</w:t>
      </w:r>
    </w:p>
    <w:p>
      <w:pPr>
        <w:pStyle w:val="Heading1"/>
      </w:pPr>
      <w:r>
        <w:t xml:space="preserve">6. Riskler &amp; notlar</w:t>
      </w:r>
    </w:p>
    <w:p>
      <w:pPr>
        <w:pStyle w:val="ListParagraph"/>
        <w:numPr>
          <w:ilvl w:val="0"/>
          <w:numId w:val="2"/>
        </w:numPr>
        <w:spacing w:after="50"/>
      </w:pPr>
      <w:r>
        <w:rPr>
          <w:b/>
          <w:bCs/>
        </w:rPr>
        <w:t xml:space="preserve">Beklenti yönetimi: </w:t>
      </w:r>
      <w:r>
        <w:t xml:space="preserve">QR/RFID'in giyim doğrulaması yapamadığı satışta net anlatılmalı; aksi halde Kamera AI'ın değeri anlaşılmaz.</w:t>
      </w:r>
    </w:p>
    <w:p>
      <w:pPr>
        <w:pStyle w:val="ListParagraph"/>
        <w:numPr>
          <w:ilvl w:val="0"/>
          <w:numId w:val="2"/>
        </w:numPr>
        <w:spacing w:after="50"/>
      </w:pPr>
      <w:r>
        <w:rPr>
          <w:b/>
          <w:bCs/>
        </w:rPr>
        <w:t xml:space="preserve">Termal belirsiz: </w:t>
      </w:r>
      <w:r>
        <w:t xml:space="preserve">Kurumsal pakette 'opsiyonel' kalmalı; S5 PoC kararına bağlı.</w:t>
      </w:r>
    </w:p>
    <w:p>
      <w:pPr>
        <w:pStyle w:val="ListParagraph"/>
        <w:numPr>
          <w:ilvl w:val="0"/>
          <w:numId w:val="2"/>
        </w:numPr>
        <w:spacing w:after="50"/>
      </w:pPr>
      <w:r>
        <w:rPr>
          <w:b/>
          <w:bCs/>
        </w:rPr>
        <w:t xml:space="preserve">Fiyat doğrulama: </w:t>
      </w:r>
      <w:r>
        <w:t xml:space="preserve">Rakamlar pilot maliyeti + rakip analizi ile teyit edilmeli.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MIA — Modüler Paketleme &amp; Fiyat Stratejisi  •  Sayfa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B07A00"/>
      <w:sz w:val="30"/>
      <w:szCs w:val="30"/>
    </w:rPr>
  </w:style>
  <w:style w:type="paragraph" w:styleId="Heading2">
    <w:name w:val="Heading 2"/>
    <w:basedOn w:val="Normal"/>
    <w:next w:val="Normal"/>
    <w:qFormat/>
    <w:pPr>
      <w:spacing w:after="9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2026-06-03T10:26:52.345Z</dcterms:created>
  <dcterms:modified xsi:type="dcterms:W3CDTF">2026-06-03T10:26:52.345Z</dcterms:modified>
</cp:coreProperties>
</file>

<file path=docProps/custom.xml><?xml version="1.0" encoding="utf-8"?>
<Properties xmlns="http://schemas.openxmlformats.org/officeDocument/2006/custom-properties" xmlns:vt="http://schemas.openxmlformats.org/officeDocument/2006/docPropsVTypes"/>
</file>