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460" w:rsidRPr="0076626C" w:rsidRDefault="00E452FF" w:rsidP="00824460">
      <w:pPr>
        <w:pStyle w:val="Projecttitle"/>
      </w:pPr>
      <w:r>
        <w:t>Mode</w:t>
      </w:r>
      <w:r w:rsidRPr="0076626C">
        <w:t xml:space="preserve">ling </w:t>
      </w:r>
      <w:r w:rsidR="00824460">
        <w:t>Stem Cell Differentiation into</w:t>
      </w:r>
      <w:r>
        <w:t xml:space="preserve"> Dendritic Cell</w:t>
      </w:r>
      <w:r w:rsidR="00824460">
        <w:t>s by</w:t>
      </w:r>
    </w:p>
    <w:p w:rsidR="00E452FF" w:rsidRPr="004E1A9B" w:rsidRDefault="00824460" w:rsidP="00824460">
      <w:pPr>
        <w:pStyle w:val="Projecttitle"/>
        <w:rPr>
          <w:sz w:val="36"/>
        </w:rPr>
      </w:pPr>
      <w:r>
        <w:t xml:space="preserve"> Systems</w:t>
      </w:r>
      <w:r w:rsidR="00E452FF" w:rsidRPr="0076626C">
        <w:t xml:space="preserve"> Biology</w:t>
      </w:r>
    </w:p>
    <w:p w:rsidR="00E452FF" w:rsidRPr="004E1A9B" w:rsidRDefault="00E452FF" w:rsidP="004E1A9B">
      <w:pPr>
        <w:pStyle w:val="Heading1"/>
        <w:jc w:val="left"/>
        <w:outlineLvl w:val="0"/>
      </w:pPr>
      <w:r w:rsidRPr="004E1A9B">
        <w:t>Project Partners and Principle Investigators</w:t>
      </w:r>
      <w:r w:rsidR="004E1A9B" w:rsidRPr="004E1A9B">
        <w:t>, Research Topics and Expertise</w:t>
      </w:r>
    </w:p>
    <w:p w:rsidR="00E452FF" w:rsidRPr="00F779B6" w:rsidRDefault="00E452FF" w:rsidP="00D244D7">
      <w:pPr>
        <w:pStyle w:val="Partners"/>
      </w:pPr>
      <w:r w:rsidRPr="00F779B6">
        <w:t>Dr. Kristin Seré</w:t>
      </w:r>
      <w:r w:rsidR="00193DD4">
        <w:t xml:space="preserve"> (KS)</w:t>
      </w:r>
    </w:p>
    <w:p w:rsidR="00824460" w:rsidRPr="004E1A9B" w:rsidRDefault="00E452FF" w:rsidP="00D244D7">
      <w:pPr>
        <w:spacing w:after="0" w:line="280" w:lineRule="exact"/>
      </w:pPr>
      <w:r w:rsidRPr="004E1A9B">
        <w:t xml:space="preserve">Institute </w:t>
      </w:r>
      <w:r w:rsidR="00824460" w:rsidRPr="004E1A9B">
        <w:t>for Biomedical Technology</w:t>
      </w:r>
      <w:r w:rsidRPr="004E1A9B">
        <w:t xml:space="preserve"> – Cell biology</w:t>
      </w:r>
      <w:r w:rsidR="00D77485">
        <w:t>, Medical Faculty (Faculty 10)</w:t>
      </w:r>
    </w:p>
    <w:p w:rsidR="00E452FF" w:rsidRPr="00FC5F8D" w:rsidRDefault="00824460" w:rsidP="00D244D7">
      <w:pPr>
        <w:spacing w:after="0" w:line="280" w:lineRule="exact"/>
        <w:rPr>
          <w:lang w:val="de-DE"/>
        </w:rPr>
      </w:pPr>
      <w:r w:rsidRPr="00FC5F8D">
        <w:rPr>
          <w:lang w:val="de-DE"/>
        </w:rPr>
        <w:t>Pauwelsstrasse 30, 52074 Aachen</w:t>
      </w:r>
    </w:p>
    <w:p w:rsidR="00D244D7" w:rsidRDefault="00E452FF" w:rsidP="00D244D7">
      <w:pPr>
        <w:spacing w:after="0" w:line="280" w:lineRule="exact"/>
        <w:rPr>
          <w:lang w:val="de-DE"/>
        </w:rPr>
      </w:pPr>
      <w:r w:rsidRPr="00FC5F8D">
        <w:rPr>
          <w:lang w:val="de-DE"/>
        </w:rPr>
        <w:t>kristin.sere@rwth-aachen.de; 241-8080336</w:t>
      </w:r>
    </w:p>
    <w:p w:rsidR="00E452FF" w:rsidRPr="00FC5F8D" w:rsidRDefault="00E452FF" w:rsidP="00D244D7">
      <w:pPr>
        <w:spacing w:after="0" w:line="280" w:lineRule="exact"/>
        <w:rPr>
          <w:lang w:val="de-DE"/>
        </w:rPr>
      </w:pPr>
    </w:p>
    <w:p w:rsidR="00E452FF" w:rsidRPr="004E1A9B" w:rsidRDefault="00D244D7" w:rsidP="00824460">
      <w:pPr>
        <w:pStyle w:val="references"/>
        <w:rPr>
          <w:sz w:val="22"/>
        </w:rPr>
      </w:pPr>
      <w:r w:rsidRPr="00D244D7">
        <w:rPr>
          <w:sz w:val="22"/>
          <w:u w:val="single"/>
          <w:lang w:val="de-DE"/>
        </w:rPr>
        <w:t>Seré, K.</w:t>
      </w:r>
      <w:r w:rsidRPr="00D244D7">
        <w:rPr>
          <w:sz w:val="22"/>
          <w:lang w:val="de-DE"/>
        </w:rPr>
        <w:t xml:space="preserve">, Baek, J.H., Ober-Blobaum, J., Muller-Newen, G., Tacke, F., Yokota, Y., Zenke, M., and Hieronymus, T. (2012). Two distinct types of Langerhans cells populate the skin during steady state and inflammation. </w:t>
      </w:r>
      <w:r w:rsidRPr="00D244D7">
        <w:rPr>
          <w:b/>
          <w:sz w:val="22"/>
          <w:lang w:val="de-DE"/>
        </w:rPr>
        <w:t>Immunity</w:t>
      </w:r>
      <w:r w:rsidRPr="00D244D7">
        <w:rPr>
          <w:sz w:val="22"/>
          <w:lang w:val="de-DE"/>
        </w:rPr>
        <w:t xml:space="preserve"> 37, 905-916.</w:t>
      </w:r>
      <w:r w:rsidR="00E452FF" w:rsidRPr="004E1A9B">
        <w:rPr>
          <w:sz w:val="22"/>
        </w:rPr>
        <w:t xml:space="preserve"> (IF </w:t>
      </w:r>
      <w:r w:rsidR="00E452FF" w:rsidRPr="004E1A9B">
        <w:rPr>
          <w:b/>
          <w:sz w:val="22"/>
        </w:rPr>
        <w:t>21.637</w:t>
      </w:r>
      <w:r w:rsidR="00E452FF" w:rsidRPr="004E1A9B">
        <w:rPr>
          <w:sz w:val="22"/>
        </w:rPr>
        <w:t>)</w:t>
      </w:r>
    </w:p>
    <w:p w:rsidR="00E452FF" w:rsidRPr="004E1A9B" w:rsidRDefault="00D244D7" w:rsidP="00824460">
      <w:pPr>
        <w:pStyle w:val="references"/>
        <w:rPr>
          <w:sz w:val="22"/>
        </w:rPr>
      </w:pPr>
      <w:r>
        <w:rPr>
          <w:sz w:val="22"/>
        </w:rPr>
        <w:t xml:space="preserve">Felker, P., </w:t>
      </w:r>
      <w:r w:rsidRPr="00D244D7">
        <w:rPr>
          <w:sz w:val="22"/>
          <w:u w:val="single"/>
        </w:rPr>
        <w:t>Seré, K.</w:t>
      </w:r>
      <w:r w:rsidRPr="00D244D7">
        <w:rPr>
          <w:sz w:val="22"/>
        </w:rPr>
        <w:t xml:space="preserve">, Lin, Q., Becker, C., Hristov, M., Hieronymus, T., and Zenke, M. (2010). TGF-beta1 accelerates dendritic cell differentiation from common dendritic cell progenitors and directs subset specification toward conventional dendritic cells. </w:t>
      </w:r>
      <w:r w:rsidRPr="00D244D7">
        <w:rPr>
          <w:b/>
          <w:sz w:val="22"/>
        </w:rPr>
        <w:t>J Immunol</w:t>
      </w:r>
      <w:r w:rsidRPr="00D244D7">
        <w:rPr>
          <w:sz w:val="22"/>
        </w:rPr>
        <w:t xml:space="preserve"> 185, 5326-5335. </w:t>
      </w:r>
      <w:r w:rsidR="00E452FF" w:rsidRPr="004E1A9B">
        <w:rPr>
          <w:sz w:val="22"/>
        </w:rPr>
        <w:t xml:space="preserve">(IF </w:t>
      </w:r>
      <w:r w:rsidR="00E452FF" w:rsidRPr="004E1A9B">
        <w:rPr>
          <w:b/>
          <w:sz w:val="22"/>
        </w:rPr>
        <w:t>5.788</w:t>
      </w:r>
      <w:r w:rsidR="00E452FF" w:rsidRPr="004E1A9B">
        <w:rPr>
          <w:sz w:val="22"/>
        </w:rPr>
        <w:t>)</w:t>
      </w:r>
    </w:p>
    <w:p w:rsidR="00D244D7" w:rsidRDefault="00D244D7" w:rsidP="00824460">
      <w:pPr>
        <w:pStyle w:val="references"/>
        <w:rPr>
          <w:sz w:val="22"/>
        </w:rPr>
      </w:pPr>
      <w:r w:rsidRPr="00D244D7">
        <w:rPr>
          <w:sz w:val="22"/>
        </w:rPr>
        <w:t xml:space="preserve">Ju, X.S., Ruau, D., Jantti, P., </w:t>
      </w:r>
      <w:r w:rsidRPr="00D244D7">
        <w:rPr>
          <w:sz w:val="22"/>
          <w:u w:val="single"/>
        </w:rPr>
        <w:t>Ser</w:t>
      </w:r>
      <w:r>
        <w:rPr>
          <w:sz w:val="22"/>
          <w:u w:val="single"/>
        </w:rPr>
        <w:t>é</w:t>
      </w:r>
      <w:r w:rsidRPr="00D244D7">
        <w:rPr>
          <w:sz w:val="22"/>
          <w:u w:val="single"/>
        </w:rPr>
        <w:t>, K.</w:t>
      </w:r>
      <w:r w:rsidRPr="00D244D7">
        <w:rPr>
          <w:sz w:val="22"/>
        </w:rPr>
        <w:t xml:space="preserve">, Becker, C., Wiercinska, E., Bartz, C., Erdmann, B., Dooley, S., and Zenke, M. (2007). Transforming growth factor beta1 up-regulates interferon regulatory factor 8 during dendritic cell development. </w:t>
      </w:r>
      <w:r w:rsidRPr="00D244D7">
        <w:rPr>
          <w:b/>
          <w:sz w:val="22"/>
        </w:rPr>
        <w:t>Eur J Immunol</w:t>
      </w:r>
      <w:r w:rsidRPr="00D244D7">
        <w:rPr>
          <w:sz w:val="22"/>
        </w:rPr>
        <w:t xml:space="preserve"> 37, 1174-1183.</w:t>
      </w:r>
      <w:r w:rsidR="00E452FF" w:rsidRPr="004E1A9B">
        <w:rPr>
          <w:sz w:val="22"/>
        </w:rPr>
        <w:t xml:space="preserve"> (IF </w:t>
      </w:r>
      <w:r w:rsidR="00E452FF" w:rsidRPr="004E1A9B">
        <w:rPr>
          <w:b/>
          <w:sz w:val="22"/>
        </w:rPr>
        <w:t>5.103</w:t>
      </w:r>
      <w:r w:rsidR="00E452FF" w:rsidRPr="004E1A9B">
        <w:rPr>
          <w:sz w:val="22"/>
        </w:rPr>
        <w:t>)</w:t>
      </w:r>
    </w:p>
    <w:p w:rsidR="00E452FF" w:rsidRPr="004E1A9B" w:rsidRDefault="00E452FF" w:rsidP="00824460">
      <w:pPr>
        <w:pStyle w:val="references"/>
        <w:rPr>
          <w:sz w:val="22"/>
        </w:rPr>
      </w:pPr>
    </w:p>
    <w:p w:rsidR="00E452FF" w:rsidRPr="00F779B6" w:rsidRDefault="00E452FF" w:rsidP="00D244D7">
      <w:pPr>
        <w:pStyle w:val="Partners"/>
      </w:pPr>
      <w:r w:rsidRPr="00F779B6">
        <w:t xml:space="preserve">Dr. Ivan </w:t>
      </w:r>
      <w:r w:rsidR="00824460">
        <w:t xml:space="preserve">G. </w:t>
      </w:r>
      <w:r w:rsidRPr="00F779B6">
        <w:t>Costa</w:t>
      </w:r>
      <w:r w:rsidR="00193DD4">
        <w:t xml:space="preserve"> (IGC)</w:t>
      </w:r>
    </w:p>
    <w:p w:rsidR="00824460" w:rsidRDefault="00E452FF" w:rsidP="00D244D7">
      <w:pPr>
        <w:spacing w:after="0" w:line="280" w:lineRule="exact"/>
      </w:pPr>
      <w:r w:rsidRPr="009A0E85">
        <w:t>IZKF Computational Biology Research Group</w:t>
      </w:r>
      <w:r w:rsidR="00D77485">
        <w:t>, Medical Faculty (Faculty 10)</w:t>
      </w:r>
    </w:p>
    <w:p w:rsidR="00E452FF" w:rsidRPr="00FC5F8D" w:rsidRDefault="00824460" w:rsidP="00D244D7">
      <w:pPr>
        <w:spacing w:after="0" w:line="280" w:lineRule="exact"/>
        <w:rPr>
          <w:lang w:val="de-DE"/>
        </w:rPr>
      </w:pPr>
      <w:r w:rsidRPr="00FC5F8D">
        <w:rPr>
          <w:lang w:val="de-DE"/>
        </w:rPr>
        <w:t>MTZ, Pauwelsstrasse 19, 52074 Aachen</w:t>
      </w:r>
    </w:p>
    <w:p w:rsidR="00D244D7" w:rsidRDefault="00E452FF" w:rsidP="00D244D7">
      <w:pPr>
        <w:spacing w:after="0" w:line="280" w:lineRule="exact"/>
        <w:rPr>
          <w:lang w:val="de-DE"/>
        </w:rPr>
      </w:pPr>
      <w:r w:rsidRPr="00FC5F8D">
        <w:rPr>
          <w:lang w:val="de-DE"/>
        </w:rPr>
        <w:t>ivan.costa@rwth-aachen.de; 241-8080270</w:t>
      </w:r>
    </w:p>
    <w:p w:rsidR="00E452FF" w:rsidRPr="00FC5F8D" w:rsidRDefault="00E452FF" w:rsidP="00D244D7">
      <w:pPr>
        <w:spacing w:after="0" w:line="280" w:lineRule="exact"/>
        <w:rPr>
          <w:lang w:val="de-DE"/>
        </w:rPr>
      </w:pPr>
    </w:p>
    <w:p w:rsidR="00E452FF" w:rsidRPr="004E1A9B" w:rsidRDefault="00D244D7" w:rsidP="00824460">
      <w:pPr>
        <w:pStyle w:val="references"/>
        <w:rPr>
          <w:sz w:val="22"/>
        </w:rPr>
      </w:pPr>
      <w:r w:rsidRPr="00D244D7">
        <w:rPr>
          <w:sz w:val="22"/>
        </w:rPr>
        <w:t xml:space="preserve">do Rego, T.G., Roider, H.G., de Carvalho, F.A.T., and </w:t>
      </w:r>
      <w:r w:rsidRPr="00D244D7">
        <w:rPr>
          <w:sz w:val="22"/>
          <w:u w:val="single"/>
        </w:rPr>
        <w:t>Costa, I.G.</w:t>
      </w:r>
      <w:r w:rsidRPr="00D244D7">
        <w:rPr>
          <w:sz w:val="22"/>
        </w:rPr>
        <w:t xml:space="preserve"> (2012). Inferring epigenetic and transcriptional regulation during blood cell development with a mixture of sparse linear models. </w:t>
      </w:r>
      <w:r w:rsidRPr="00D244D7">
        <w:rPr>
          <w:b/>
          <w:sz w:val="22"/>
        </w:rPr>
        <w:t>Bioinformatics</w:t>
      </w:r>
      <w:r w:rsidRPr="00D244D7">
        <w:rPr>
          <w:sz w:val="22"/>
        </w:rPr>
        <w:t xml:space="preserve"> 28, 2297-2303. </w:t>
      </w:r>
      <w:r w:rsidR="00E452FF" w:rsidRPr="004E1A9B">
        <w:rPr>
          <w:sz w:val="22"/>
        </w:rPr>
        <w:t xml:space="preserve">(IF </w:t>
      </w:r>
      <w:r w:rsidR="00E452FF" w:rsidRPr="004E1A9B">
        <w:rPr>
          <w:b/>
          <w:sz w:val="22"/>
        </w:rPr>
        <w:t>5.468</w:t>
      </w:r>
      <w:r w:rsidR="001121F0">
        <w:rPr>
          <w:sz w:val="22"/>
        </w:rPr>
        <w:t>)</w:t>
      </w:r>
    </w:p>
    <w:p w:rsidR="00E452FF" w:rsidRPr="004E1A9B" w:rsidRDefault="001121F0" w:rsidP="00824460">
      <w:pPr>
        <w:pStyle w:val="references"/>
        <w:rPr>
          <w:sz w:val="22"/>
        </w:rPr>
      </w:pPr>
      <w:r w:rsidRPr="001121F0">
        <w:rPr>
          <w:sz w:val="22"/>
          <w:u w:val="single"/>
        </w:rPr>
        <w:t>Costa, I.G.</w:t>
      </w:r>
      <w:r w:rsidRPr="001121F0">
        <w:rPr>
          <w:sz w:val="22"/>
        </w:rPr>
        <w:t xml:space="preserve">, Roider, H.G., do Rego, T.G., and de Carvalho, F.d.A.T. (2011). Predicting gene expression in T cell differentiation from histone modifications and transcription factor binding affinities by linear mixture models. </w:t>
      </w:r>
      <w:r w:rsidRPr="001121F0">
        <w:rPr>
          <w:b/>
          <w:sz w:val="22"/>
        </w:rPr>
        <w:t>BMC bioinformatics</w:t>
      </w:r>
      <w:r w:rsidRPr="001121F0">
        <w:rPr>
          <w:sz w:val="22"/>
        </w:rPr>
        <w:t xml:space="preserve"> 12 Suppl 1, S29. </w:t>
      </w:r>
      <w:r w:rsidR="00E452FF" w:rsidRPr="004E1A9B">
        <w:rPr>
          <w:sz w:val="22"/>
        </w:rPr>
        <w:t xml:space="preserve">(IF </w:t>
      </w:r>
      <w:r w:rsidR="00E452FF" w:rsidRPr="004E1A9B">
        <w:rPr>
          <w:b/>
          <w:sz w:val="22"/>
        </w:rPr>
        <w:t>2.75</w:t>
      </w:r>
      <w:r>
        <w:rPr>
          <w:sz w:val="22"/>
        </w:rPr>
        <w:t>)</w:t>
      </w:r>
    </w:p>
    <w:p w:rsidR="00D244D7" w:rsidRDefault="001121F0" w:rsidP="00824460">
      <w:pPr>
        <w:pStyle w:val="references"/>
        <w:rPr>
          <w:sz w:val="22"/>
        </w:rPr>
      </w:pPr>
      <w:r w:rsidRPr="001121F0">
        <w:rPr>
          <w:sz w:val="22"/>
          <w:u w:val="single"/>
        </w:rPr>
        <w:t>Costa, I.G.</w:t>
      </w:r>
      <w:r w:rsidRPr="001121F0">
        <w:rPr>
          <w:sz w:val="22"/>
        </w:rPr>
        <w:t xml:space="preserve">, Roepcke, S., Hafemeister, C., and Schliep, A. (2008). Inferring differentiation pathways from gene expression. </w:t>
      </w:r>
      <w:r w:rsidRPr="001121F0">
        <w:rPr>
          <w:b/>
          <w:sz w:val="22"/>
        </w:rPr>
        <w:t>Bioinformatics</w:t>
      </w:r>
      <w:r w:rsidRPr="001121F0">
        <w:rPr>
          <w:sz w:val="22"/>
        </w:rPr>
        <w:t xml:space="preserve"> 24, i156--i164.</w:t>
      </w:r>
      <w:r w:rsidR="00E452FF" w:rsidRPr="004E1A9B">
        <w:rPr>
          <w:sz w:val="22"/>
        </w:rPr>
        <w:t xml:space="preserve"> (IF </w:t>
      </w:r>
      <w:r w:rsidR="00E452FF" w:rsidRPr="004E1A9B">
        <w:rPr>
          <w:b/>
          <w:sz w:val="22"/>
        </w:rPr>
        <w:t>5.468</w:t>
      </w:r>
      <w:r>
        <w:rPr>
          <w:sz w:val="22"/>
        </w:rPr>
        <w:t>)</w:t>
      </w:r>
    </w:p>
    <w:p w:rsidR="00E452FF" w:rsidRPr="004E1A9B" w:rsidRDefault="00E452FF" w:rsidP="00824460">
      <w:pPr>
        <w:pStyle w:val="references"/>
        <w:rPr>
          <w:sz w:val="22"/>
        </w:rPr>
      </w:pPr>
    </w:p>
    <w:p w:rsidR="00E452FF" w:rsidRPr="00F779B6" w:rsidRDefault="00E452FF" w:rsidP="00D244D7">
      <w:pPr>
        <w:pStyle w:val="Partners"/>
      </w:pPr>
      <w:r w:rsidRPr="00F779B6">
        <w:t>Prof. Dr. Andreas Schuppert</w:t>
      </w:r>
      <w:r w:rsidR="00193DD4">
        <w:t xml:space="preserve"> (AS)</w:t>
      </w:r>
    </w:p>
    <w:p w:rsidR="00824460" w:rsidRDefault="00E452FF" w:rsidP="00D244D7">
      <w:pPr>
        <w:spacing w:after="0" w:line="280" w:lineRule="exact"/>
      </w:pPr>
      <w:r>
        <w:t xml:space="preserve">Aachen Institute for advanced Study in Computational Engineering Sciences </w:t>
      </w:r>
      <w:r w:rsidRPr="00BB5BAF">
        <w:t>(AICES)</w:t>
      </w:r>
      <w:r w:rsidR="00D77485">
        <w:t>, Faculty of Mechanical Engineering (Faculty 4)</w:t>
      </w:r>
    </w:p>
    <w:p w:rsidR="00E452FF" w:rsidRPr="00FC5F8D" w:rsidRDefault="00824460" w:rsidP="00D244D7">
      <w:pPr>
        <w:spacing w:after="0" w:line="280" w:lineRule="exact"/>
        <w:rPr>
          <w:lang w:val="de-DE"/>
        </w:rPr>
      </w:pPr>
      <w:r w:rsidRPr="00FC5F8D">
        <w:rPr>
          <w:lang w:val="de-DE"/>
        </w:rPr>
        <w:t>Schinkelstrasse 2, 52062 Aachen</w:t>
      </w:r>
    </w:p>
    <w:p w:rsidR="00D244D7" w:rsidRDefault="00E452FF" w:rsidP="00D244D7">
      <w:pPr>
        <w:spacing w:after="0" w:line="280" w:lineRule="exact"/>
        <w:rPr>
          <w:lang w:val="de-DE"/>
        </w:rPr>
      </w:pPr>
      <w:r w:rsidRPr="00FC5F8D">
        <w:rPr>
          <w:lang w:val="de-DE"/>
        </w:rPr>
        <w:t xml:space="preserve">schuppert@aices.rwth-aachen.de; </w:t>
      </w:r>
      <w:r w:rsidR="00824460" w:rsidRPr="00FC5F8D">
        <w:rPr>
          <w:lang w:val="de-DE"/>
        </w:rPr>
        <w:t>241-8099144</w:t>
      </w:r>
    </w:p>
    <w:p w:rsidR="00E452FF" w:rsidRPr="00FC5F8D" w:rsidRDefault="00E452FF" w:rsidP="00D244D7">
      <w:pPr>
        <w:spacing w:after="0" w:line="280" w:lineRule="exact"/>
        <w:rPr>
          <w:lang w:val="de-DE"/>
        </w:rPr>
      </w:pPr>
    </w:p>
    <w:p w:rsidR="00E452FF" w:rsidRPr="004E1A9B" w:rsidRDefault="001121F0" w:rsidP="00824460">
      <w:pPr>
        <w:pStyle w:val="references"/>
        <w:rPr>
          <w:sz w:val="22"/>
        </w:rPr>
      </w:pPr>
      <w:r>
        <w:rPr>
          <w:sz w:val="22"/>
        </w:rPr>
        <w:t>Mü</w:t>
      </w:r>
      <w:r w:rsidRPr="001121F0">
        <w:rPr>
          <w:sz w:val="22"/>
        </w:rPr>
        <w:t xml:space="preserve">ller, F.J., and </w:t>
      </w:r>
      <w:r w:rsidRPr="001121F0">
        <w:rPr>
          <w:sz w:val="22"/>
          <w:u w:val="single"/>
        </w:rPr>
        <w:t>Schuppert, A.</w:t>
      </w:r>
      <w:r w:rsidRPr="001121F0">
        <w:rPr>
          <w:sz w:val="22"/>
        </w:rPr>
        <w:t xml:space="preserve"> (2011). Few inputs can reprogram biological networks. </w:t>
      </w:r>
      <w:r w:rsidRPr="001121F0">
        <w:rPr>
          <w:b/>
          <w:sz w:val="22"/>
        </w:rPr>
        <w:t>Nature</w:t>
      </w:r>
      <w:r w:rsidRPr="001121F0">
        <w:rPr>
          <w:sz w:val="22"/>
        </w:rPr>
        <w:t xml:space="preserve"> 478, E4; discussion E4-5. </w:t>
      </w:r>
      <w:r w:rsidR="00E452FF" w:rsidRPr="004E1A9B">
        <w:rPr>
          <w:sz w:val="22"/>
        </w:rPr>
        <w:t xml:space="preserve">(IF </w:t>
      </w:r>
      <w:r w:rsidR="00E452FF" w:rsidRPr="004E1A9B">
        <w:rPr>
          <w:b/>
          <w:sz w:val="22"/>
        </w:rPr>
        <w:t>36.280</w:t>
      </w:r>
      <w:r w:rsidR="00E452FF" w:rsidRPr="004E1A9B">
        <w:rPr>
          <w:sz w:val="22"/>
        </w:rPr>
        <w:t>)</w:t>
      </w:r>
    </w:p>
    <w:p w:rsidR="00E452FF" w:rsidRPr="004E1A9B" w:rsidRDefault="001121F0" w:rsidP="00824460">
      <w:pPr>
        <w:pStyle w:val="references"/>
        <w:rPr>
          <w:sz w:val="22"/>
        </w:rPr>
      </w:pPr>
      <w:r w:rsidRPr="001121F0">
        <w:rPr>
          <w:sz w:val="22"/>
        </w:rPr>
        <w:t xml:space="preserve">MacArthur, </w:t>
      </w:r>
      <w:r>
        <w:rPr>
          <w:sz w:val="22"/>
        </w:rPr>
        <w:t>B.D., Sevilla, A., Lenz, M., Mü</w:t>
      </w:r>
      <w:r w:rsidRPr="001121F0">
        <w:rPr>
          <w:sz w:val="22"/>
        </w:rPr>
        <w:t xml:space="preserve">ller, F.-J., Schuldt, B.M., </w:t>
      </w:r>
      <w:r w:rsidRPr="001121F0">
        <w:rPr>
          <w:sz w:val="22"/>
          <w:u w:val="single"/>
        </w:rPr>
        <w:t>Schuppert, A.A.</w:t>
      </w:r>
      <w:r w:rsidRPr="001121F0">
        <w:rPr>
          <w:sz w:val="22"/>
        </w:rPr>
        <w:t>, Ridden, S.J., Stumpf, P.S., Fidalgo, M., Ma</w:t>
      </w:r>
      <w:r w:rsidR="00DA2F5A">
        <w:rPr>
          <w:sz w:val="22"/>
        </w:rPr>
        <w:t>’</w:t>
      </w:r>
      <w:r w:rsidRPr="001121F0">
        <w:rPr>
          <w:sz w:val="22"/>
        </w:rPr>
        <w:t xml:space="preserve">ayan, A., et al. (2012). Nanog-dependent feedback loops regulate murine embryonic stem cell heterogeneity. </w:t>
      </w:r>
      <w:r w:rsidRPr="00DA2F5A">
        <w:rPr>
          <w:b/>
          <w:sz w:val="22"/>
        </w:rPr>
        <w:t>Nat Cell Biol</w:t>
      </w:r>
      <w:r w:rsidRPr="001121F0">
        <w:rPr>
          <w:sz w:val="22"/>
        </w:rPr>
        <w:t xml:space="preserve"> 14, 1139-1147. </w:t>
      </w:r>
      <w:r w:rsidR="00E452FF" w:rsidRPr="004E1A9B">
        <w:rPr>
          <w:sz w:val="22"/>
        </w:rPr>
        <w:t xml:space="preserve">(IF </w:t>
      </w:r>
      <w:r w:rsidR="00E452FF" w:rsidRPr="004E1A9B">
        <w:rPr>
          <w:b/>
          <w:sz w:val="22"/>
        </w:rPr>
        <w:t>19.488</w:t>
      </w:r>
      <w:r w:rsidR="00E452FF" w:rsidRPr="004E1A9B">
        <w:rPr>
          <w:sz w:val="22"/>
        </w:rPr>
        <w:t>)</w:t>
      </w:r>
    </w:p>
    <w:p w:rsidR="00E452FF" w:rsidRPr="004E1A9B" w:rsidRDefault="00DA2F5A" w:rsidP="00824460">
      <w:pPr>
        <w:pStyle w:val="references"/>
        <w:rPr>
          <w:sz w:val="22"/>
        </w:rPr>
      </w:pPr>
      <w:r>
        <w:rPr>
          <w:sz w:val="22"/>
        </w:rPr>
        <w:t>Mü</w:t>
      </w:r>
      <w:r w:rsidRPr="00DA2F5A">
        <w:rPr>
          <w:sz w:val="22"/>
        </w:rPr>
        <w:t xml:space="preserve">ller, F.J., Schuldt, B.M., Williams, R., Mason, D., Altun, G., Papapetrou, E.P., Danner, S., Goldmann, J.E., Herbst, A., Schmidt, N.O., et al. (2011). A bioinformatic assay for pluripotency in human cells. </w:t>
      </w:r>
      <w:r w:rsidRPr="00DA2F5A">
        <w:rPr>
          <w:b/>
          <w:sz w:val="22"/>
        </w:rPr>
        <w:t>Nat Methods</w:t>
      </w:r>
      <w:r w:rsidRPr="00DA2F5A">
        <w:rPr>
          <w:sz w:val="22"/>
        </w:rPr>
        <w:t xml:space="preserve"> 8, 315-317. </w:t>
      </w:r>
      <w:r w:rsidR="00E452FF" w:rsidRPr="004E1A9B">
        <w:rPr>
          <w:sz w:val="22"/>
        </w:rPr>
        <w:t xml:space="preserve">(IF </w:t>
      </w:r>
      <w:r w:rsidR="00E452FF" w:rsidRPr="004E1A9B">
        <w:rPr>
          <w:b/>
          <w:sz w:val="22"/>
        </w:rPr>
        <w:t>19.276</w:t>
      </w:r>
      <w:r w:rsidR="00E452FF" w:rsidRPr="004E1A9B">
        <w:rPr>
          <w:sz w:val="22"/>
        </w:rPr>
        <w:t>)</w:t>
      </w:r>
    </w:p>
    <w:p w:rsidR="00E452FF" w:rsidRPr="004E1A9B" w:rsidRDefault="00DA2F5A" w:rsidP="00824460">
      <w:pPr>
        <w:pStyle w:val="references"/>
        <w:rPr>
          <w:sz w:val="22"/>
        </w:rPr>
      </w:pPr>
      <w:r w:rsidRPr="00DA2F5A">
        <w:rPr>
          <w:sz w:val="22"/>
        </w:rPr>
        <w:t xml:space="preserve">Schneckener, S., Arden, N.S., and </w:t>
      </w:r>
      <w:r w:rsidRPr="00DA2F5A">
        <w:rPr>
          <w:sz w:val="22"/>
          <w:u w:val="single"/>
        </w:rPr>
        <w:t>Schuppert, A.</w:t>
      </w:r>
      <w:r w:rsidRPr="00DA2F5A">
        <w:rPr>
          <w:sz w:val="22"/>
        </w:rPr>
        <w:t xml:space="preserve"> (2011). Quantifying stability in gene list ranking across microarray derived clinical biomarkers. </w:t>
      </w:r>
      <w:r w:rsidRPr="00DA2F5A">
        <w:rPr>
          <w:b/>
          <w:sz w:val="22"/>
        </w:rPr>
        <w:t>BMC Med Genomics</w:t>
      </w:r>
      <w:r w:rsidRPr="00DA2F5A">
        <w:rPr>
          <w:sz w:val="22"/>
        </w:rPr>
        <w:t xml:space="preserve"> 4, 73.</w:t>
      </w:r>
      <w:r w:rsidR="00E452FF" w:rsidRPr="004E1A9B">
        <w:rPr>
          <w:sz w:val="22"/>
        </w:rPr>
        <w:t xml:space="preserve"> (IF </w:t>
      </w:r>
      <w:r w:rsidR="00E452FF" w:rsidRPr="004E1A9B">
        <w:rPr>
          <w:b/>
          <w:sz w:val="22"/>
        </w:rPr>
        <w:t>3.69</w:t>
      </w:r>
      <w:r w:rsidR="00E452FF" w:rsidRPr="004E1A9B">
        <w:rPr>
          <w:sz w:val="22"/>
        </w:rPr>
        <w:t>)</w:t>
      </w:r>
    </w:p>
    <w:p w:rsidR="00E452FF" w:rsidRDefault="00E452FF" w:rsidP="00824460">
      <w:pPr>
        <w:pStyle w:val="Heading1"/>
      </w:pPr>
      <w:r>
        <w:br w:type="page"/>
      </w:r>
      <w:r w:rsidRPr="004B77B8">
        <w:t>Su</w:t>
      </w:r>
      <w:r>
        <w:t>mmary</w:t>
      </w:r>
    </w:p>
    <w:p w:rsidR="00824460" w:rsidRDefault="002E4608" w:rsidP="00824460">
      <w:r>
        <w:t>T</w:t>
      </w:r>
      <w:r w:rsidR="00824460">
        <w:t>his project proposal</w:t>
      </w:r>
      <w:r>
        <w:t xml:space="preserve"> intends to </w:t>
      </w:r>
      <w:r w:rsidR="00824460">
        <w:t xml:space="preserve">meet challenges from different scientific disciplines: </w:t>
      </w:r>
      <w:r w:rsidR="00824460" w:rsidRPr="00391480">
        <w:t>Biol</w:t>
      </w:r>
      <w:r w:rsidR="004E1A9B">
        <w:t>ogy, Computer Science and Model</w:t>
      </w:r>
      <w:r w:rsidR="00824460" w:rsidRPr="00391480">
        <w:t>ing</w:t>
      </w:r>
      <w:r w:rsidR="004E1A9B">
        <w:t xml:space="preserve"> </w:t>
      </w:r>
      <w:r w:rsidR="00824460" w:rsidRPr="00391480">
        <w:t>&amp;</w:t>
      </w:r>
      <w:r w:rsidR="004E1A9B">
        <w:t xml:space="preserve"> </w:t>
      </w:r>
      <w:r w:rsidR="00824460" w:rsidRPr="00391480">
        <w:t>Simulation Sciences</w:t>
      </w:r>
      <w:r>
        <w:t>.</w:t>
      </w:r>
    </w:p>
    <w:p w:rsidR="00824460" w:rsidRDefault="00824460" w:rsidP="00824460">
      <w:r>
        <w:t>The biological challenge is to identify the m</w:t>
      </w:r>
      <w:r w:rsidR="00AA6416">
        <w:t>aster regulato</w:t>
      </w:r>
      <w:r w:rsidR="002E4608">
        <w:t xml:space="preserve">rs </w:t>
      </w:r>
      <w:r>
        <w:t>an</w:t>
      </w:r>
      <w:r w:rsidR="002E4608">
        <w:t>d their network,</w:t>
      </w:r>
      <w:r>
        <w:t xml:space="preserve"> </w:t>
      </w:r>
      <w:r w:rsidR="002E4608">
        <w:t>which</w:t>
      </w:r>
      <w:r>
        <w:t xml:space="preserve"> drive cell fate decisions </w:t>
      </w:r>
      <w:r w:rsidR="002E4608">
        <w:t>in blood stem</w:t>
      </w:r>
      <w:r>
        <w:t xml:space="preserve"> cells towards </w:t>
      </w:r>
      <w:r w:rsidR="002E4608">
        <w:t>highly specialized immune cells (</w:t>
      </w:r>
      <w:r>
        <w:t>dendritic cell</w:t>
      </w:r>
      <w:r w:rsidR="002E4608">
        <w:t xml:space="preserve">s, </w:t>
      </w:r>
      <w:r>
        <w:t xml:space="preserve">DC). </w:t>
      </w:r>
    </w:p>
    <w:p w:rsidR="00824460" w:rsidRDefault="00824460" w:rsidP="00824460">
      <w:r>
        <w:t xml:space="preserve">The </w:t>
      </w:r>
      <w:r w:rsidR="002E4608">
        <w:t xml:space="preserve">challenge in computation, </w:t>
      </w:r>
      <w:r>
        <w:t>modeling and simulation is to generate a network-based model</w:t>
      </w:r>
      <w:r w:rsidR="004E1A9B">
        <w:t>,</w:t>
      </w:r>
      <w:r>
        <w:t xml:space="preserve"> which allows simulation and prediction of the process of cell fate decisions. The unique challenge he</w:t>
      </w:r>
      <w:r w:rsidR="002E4608">
        <w:t xml:space="preserve">re is to combine the short-term (hours) </w:t>
      </w:r>
      <w:r>
        <w:t>and long-term processes</w:t>
      </w:r>
      <w:r w:rsidR="002E4608">
        <w:t xml:space="preserve"> (days to 2-3 weeks) </w:t>
      </w:r>
      <w:r>
        <w:t>during this transition.</w:t>
      </w:r>
    </w:p>
    <w:p w:rsidR="00193DD4" w:rsidRDefault="00824460" w:rsidP="00824460">
      <w:r>
        <w:t xml:space="preserve">The project will provide a win-win situation, since the </w:t>
      </w:r>
      <w:r w:rsidR="002E4608">
        <w:t>stem cell-</w:t>
      </w:r>
      <w:r w:rsidR="00AA6416">
        <w:t>DC system will be used as model</w:t>
      </w:r>
      <w:r>
        <w:t xml:space="preserve"> system for the</w:t>
      </w:r>
      <w:r w:rsidR="00FC5F8D">
        <w:t xml:space="preserve"> mathematical </w:t>
      </w:r>
      <w:r w:rsidR="00AA6416">
        <w:t>pre</w:t>
      </w:r>
      <w:r>
        <w:t>diction</w:t>
      </w:r>
      <w:r w:rsidR="00FC5F8D">
        <w:t xml:space="preserve"> of generic cell fate decision processes</w:t>
      </w:r>
      <w:r>
        <w:t xml:space="preserve">. Biology </w:t>
      </w:r>
      <w:r w:rsidR="002E4608">
        <w:t>will obtain the information on master regulators and how they work in the network of stem cell differentiation</w:t>
      </w:r>
      <w:r w:rsidR="00035196">
        <w:t>.</w:t>
      </w:r>
      <w:r w:rsidR="002E4608">
        <w:t xml:space="preserve"> C</w:t>
      </w:r>
      <w:r>
        <w:t xml:space="preserve">omputational </w:t>
      </w:r>
      <w:r w:rsidR="002E4608">
        <w:t xml:space="preserve">and </w:t>
      </w:r>
      <w:r w:rsidR="008148F7">
        <w:t xml:space="preserve">modeling sciences will develop </w:t>
      </w:r>
      <w:r w:rsidR="00FC5F8D">
        <w:t>a</w:t>
      </w:r>
      <w:r w:rsidR="008148F7">
        <w:t xml:space="preserve"> framework </w:t>
      </w:r>
      <w:r w:rsidR="00FC5F8D">
        <w:t>to link</w:t>
      </w:r>
      <w:r w:rsidR="00257286">
        <w:t xml:space="preserve"> molecular and cellular dynamics</w:t>
      </w:r>
      <w:r w:rsidR="008148F7">
        <w:t>. Such framework</w:t>
      </w:r>
      <w:r w:rsidR="00FC5F8D">
        <w:t xml:space="preserve"> will close the gap</w:t>
      </w:r>
      <w:r w:rsidR="00725008">
        <w:t xml:space="preserve"> between </w:t>
      </w:r>
      <w:r w:rsidR="00035196">
        <w:t>the short-term</w:t>
      </w:r>
      <w:r w:rsidR="00725008">
        <w:t xml:space="preserve"> and </w:t>
      </w:r>
      <w:r w:rsidR="00035196">
        <w:t>long-term</w:t>
      </w:r>
      <w:r w:rsidR="00725008">
        <w:t xml:space="preserve"> dynamics that </w:t>
      </w:r>
      <w:r w:rsidR="00257286">
        <w:t>exists</w:t>
      </w:r>
      <w:r w:rsidR="00FC5F8D">
        <w:t xml:space="preserve"> in </w:t>
      </w:r>
      <w:r w:rsidR="00257286">
        <w:t>s</w:t>
      </w:r>
      <w:r w:rsidR="00FC5F8D">
        <w:t xml:space="preserve">ystems </w:t>
      </w:r>
      <w:r w:rsidR="00257286">
        <w:t>b</w:t>
      </w:r>
      <w:r w:rsidR="00FC5F8D">
        <w:t>iology</w:t>
      </w:r>
      <w:r w:rsidR="00257286">
        <w:t xml:space="preserve"> </w:t>
      </w:r>
      <w:r w:rsidR="00725008">
        <w:t xml:space="preserve">and thereby </w:t>
      </w:r>
      <w:r w:rsidR="00035196">
        <w:t xml:space="preserve">will </w:t>
      </w:r>
      <w:r w:rsidR="00725008">
        <w:t>open</w:t>
      </w:r>
      <w:r w:rsidR="00FC5F8D">
        <w:t xml:space="preserve"> a broad range of future biomedical applications.</w:t>
      </w:r>
    </w:p>
    <w:p w:rsidR="00824460" w:rsidRDefault="00193DD4" w:rsidP="00824460">
      <w:r>
        <w:t>The project combines the expertise of junior (KS and IGC) and senior investigators (AS).</w:t>
      </w:r>
    </w:p>
    <w:p w:rsidR="00E452FF" w:rsidRDefault="00E452FF" w:rsidP="00824460">
      <w:pPr>
        <w:pStyle w:val="Heading1"/>
        <w:outlineLvl w:val="0"/>
      </w:pPr>
      <w:r>
        <w:t>Introduction: sketch of the biological system</w:t>
      </w:r>
    </w:p>
    <w:p w:rsidR="00E452FF" w:rsidRDefault="00E452FF" w:rsidP="00824460">
      <w:r>
        <w:t>Stem cells are unique biological entities, as they combine the capacity to self-renew with the ability to differentiate into various specialized cell types. This makes them very attractive research objects. Indeed, understanding the mechanisms that control either stem cell maintenance or stem cell differentiation, allows guiding and controlling these two important biological processes. Historically, the hematopoietic ‘organ’ is used as a model system to study stem cell biology and behavior</w:t>
      </w:r>
      <w:r w:rsidRPr="00404EC6">
        <w:rPr>
          <w:noProof/>
          <w:vertAlign w:val="superscript"/>
        </w:rPr>
        <w:t>1</w:t>
      </w:r>
      <w:r>
        <w:t xml:space="preserve">. The hematopoietic system consists of all cellular components found in blood. It thus includes platelets, red blood cells and white blood cells, which are important in hemostasis, oxygen transport and immunity, respectively, and which all develop from hematopoietic stem cells (HSC). Adult HSC are capable of maintaining the hematopoietic system life-long, a characteristic that forms the basis of, for example, stem cell transplantation as treatment of leukemic diseases. </w:t>
      </w:r>
    </w:p>
    <w:p w:rsidR="00E452FF" w:rsidRDefault="00E452FF" w:rsidP="00824460">
      <w:r>
        <w:t>Dendritic cells (DC) constitute a small, but very powerful population of white blood cells</w:t>
      </w:r>
      <w:r w:rsidR="00257286" w:rsidRPr="00404EC6">
        <w:rPr>
          <w:noProof/>
          <w:vertAlign w:val="superscript"/>
        </w:rPr>
        <w:t>2</w:t>
      </w:r>
      <w:r>
        <w:t xml:space="preserve">. DC are the professional antigen presenting cells of our immune system. As such they take center stage in the immune response to self and non-self antigens and the subsequent induction of tolerance or immunity (Nobel prize medicine, 2011). DC are found in all organs, moreover, many types of DC exist, each with a specialized function, to protect our body optimally against the wide variety of invading pathogens. Deregulation of DC development or function is associated with many pathological conditions, ranging from autoimmune diseases, like psoriasis or rheumatoid arthritis, to allergies and immune deficiencies. </w:t>
      </w:r>
    </w:p>
    <w:p w:rsidR="00E452FF" w:rsidRPr="004B77B8" w:rsidRDefault="00E452FF" w:rsidP="00824460">
      <w:pPr>
        <w:pStyle w:val="Heading1"/>
        <w:outlineLvl w:val="0"/>
      </w:pPr>
      <w:r w:rsidRPr="004B77B8">
        <w:t>Cur</w:t>
      </w:r>
      <w:r>
        <w:t>rent State-of-the-Art</w:t>
      </w:r>
    </w:p>
    <w:p w:rsidR="00E452FF" w:rsidRDefault="00E452FF" w:rsidP="00824460">
      <w:r>
        <w:t>(1) Biology</w:t>
      </w:r>
      <w:r w:rsidR="00193DD4">
        <w:t xml:space="preserve"> (KS)</w:t>
      </w:r>
    </w:p>
    <w:p w:rsidR="00465090" w:rsidRDefault="00435E25" w:rsidP="00465090">
      <w:pPr>
        <w:spacing w:after="0"/>
      </w:pPr>
      <w:r>
        <w:t xml:space="preserve"> </w:t>
      </w:r>
      <w:r w:rsidR="00E452FF">
        <w:t>Development of HSC into terminally differentiated cells is a multi-step process (Figure 1). First, HSC loose their stemness as they progress into multipotent progenitor cells (MPP), an intermediate, which still can generate all cells of the hematopoietic system</w:t>
      </w:r>
      <w:r w:rsidR="00E452FF" w:rsidRPr="00404EC6">
        <w:rPr>
          <w:noProof/>
          <w:vertAlign w:val="superscript"/>
        </w:rPr>
        <w:t>1</w:t>
      </w:r>
      <w:r w:rsidR="00E452FF">
        <w:t xml:space="preserve">. Next, MPP restrict their potential and give rise to only one specific cell type, a process </w:t>
      </w:r>
      <w:r w:rsidR="00824460">
        <w:t>referred to as</w:t>
      </w:r>
      <w:r w:rsidR="00E452FF">
        <w:t xml:space="preserve"> lineage restriction or commitment. When MPP commit to DC lineage, they progress into common dendritic progenitors (CDP) (Figure 1), which </w:t>
      </w:r>
      <w:r w:rsidR="00824460">
        <w:t>then</w:t>
      </w:r>
      <w:r w:rsidR="00E452FF">
        <w:t xml:space="preserve"> differentiate further into various DC types, like classical and plasmacytoid DC (cDC and pDC, respectively)</w:t>
      </w:r>
      <w:r w:rsidR="00E452FF" w:rsidRPr="00404EC6">
        <w:rPr>
          <w:noProof/>
          <w:vertAlign w:val="superscript"/>
        </w:rPr>
        <w:t>3</w:t>
      </w:r>
      <w:r w:rsidR="00E452FF">
        <w:t>.</w:t>
      </w:r>
    </w:p>
    <w:tbl>
      <w:tblPr>
        <w:tblStyle w:val="TableGrid"/>
        <w:tblpPr w:leftFromText="180" w:rightFromText="180" w:vertAnchor="text" w:horzAnchor="page" w:tblpX="1101" w:tblpY="80"/>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9889"/>
      </w:tblGrid>
      <w:tr w:rsidR="00465090" w:rsidTr="006747AD">
        <w:trPr>
          <w:trHeight w:val="6669"/>
        </w:trPr>
        <w:tc>
          <w:tcPr>
            <w:tcW w:w="9889" w:type="dxa"/>
          </w:tcPr>
          <w:p w:rsidR="00465090" w:rsidRDefault="00C8376D" w:rsidP="006747AD">
            <w:pPr>
              <w:spacing w:line="240" w:lineRule="auto"/>
            </w:pPr>
            <w:r>
              <w:rPr>
                <w:noProof/>
              </w:rPr>
              <w:t xml:space="preserve">        </w:t>
            </w:r>
            <w:r>
              <w:rPr>
                <w:noProof/>
              </w:rPr>
              <w:drawing>
                <wp:inline distT="0" distB="0" distL="0" distR="0">
                  <wp:extent cx="5441950" cy="4171950"/>
                  <wp:effectExtent l="25400" t="0" r="0" b="0"/>
                  <wp:docPr id="7" name="Picture 2" descr=":Figures:Figure1 ERS:Figure1new_13032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Figure1 ERS:Figure1new_130322.pdf"/>
                          <pic:cNvPicPr>
                            <a:picLocks noChangeAspect="1" noChangeArrowheads="1"/>
                          </pic:cNvPicPr>
                        </pic:nvPicPr>
                        <ve:AlternateContent>
                          <ve:Choice xmlns:ma="http://schemas.microsoft.com/office/mac/drawingml/2008/main" Requires="ma">
                            <pic:blipFill>
                              <a:blip r:embed="rId7"/>
                              <a:srcRect l="6980" t="1297" r="5630" b="3987"/>
                              <a:stretch>
                                <a:fillRect/>
                              </a:stretch>
                            </pic:blipFill>
                          </ve:Choice>
                          <ve:Fallback>
                            <pic:blipFill>
                              <a:blip r:embed="rId8"/>
                              <a:srcRect l="6980" t="1297" r="5630" b="3987"/>
                              <a:stretch>
                                <a:fillRect/>
                              </a:stretch>
                            </pic:blipFill>
                          </ve:Fallback>
                        </ve:AlternateContent>
                        <pic:spPr bwMode="auto">
                          <a:xfrm>
                            <a:off x="0" y="0"/>
                            <a:ext cx="5441950" cy="4171950"/>
                          </a:xfrm>
                          <a:prstGeom prst="rect">
                            <a:avLst/>
                          </a:prstGeom>
                          <a:noFill/>
                          <a:ln w="9525">
                            <a:noFill/>
                            <a:miter lim="800000"/>
                            <a:headEnd/>
                            <a:tailEnd/>
                          </a:ln>
                        </pic:spPr>
                      </pic:pic>
                    </a:graphicData>
                  </a:graphic>
                </wp:inline>
              </w:drawing>
            </w:r>
          </w:p>
        </w:tc>
      </w:tr>
      <w:tr w:rsidR="00465090" w:rsidTr="006747AD">
        <w:tc>
          <w:tcPr>
            <w:tcW w:w="9889" w:type="dxa"/>
          </w:tcPr>
          <w:p w:rsidR="0062024C" w:rsidRDefault="00465090" w:rsidP="006747AD">
            <w:pPr>
              <w:rPr>
                <w:b/>
                <w:sz w:val="18"/>
              </w:rPr>
            </w:pPr>
            <w:r w:rsidRPr="000A5401">
              <w:rPr>
                <w:b/>
                <w:sz w:val="18"/>
              </w:rPr>
              <w:t xml:space="preserve">Figure 1: </w:t>
            </w:r>
            <w:r>
              <w:rPr>
                <w:b/>
                <w:sz w:val="18"/>
              </w:rPr>
              <w:t>Hypothetical m</w:t>
            </w:r>
            <w:r w:rsidRPr="000A5401">
              <w:rPr>
                <w:b/>
                <w:sz w:val="18"/>
              </w:rPr>
              <w:t xml:space="preserve">olecular network of transcription factors and their target genes in </w:t>
            </w:r>
            <w:r>
              <w:rPr>
                <w:b/>
                <w:sz w:val="18"/>
              </w:rPr>
              <w:t>multipotent progenitors (</w:t>
            </w:r>
            <w:r w:rsidRPr="000A5401">
              <w:rPr>
                <w:b/>
                <w:sz w:val="18"/>
              </w:rPr>
              <w:t>MPP</w:t>
            </w:r>
            <w:r>
              <w:rPr>
                <w:b/>
                <w:sz w:val="18"/>
              </w:rPr>
              <w:t>)</w:t>
            </w:r>
            <w:r w:rsidRPr="000A5401">
              <w:rPr>
                <w:b/>
                <w:sz w:val="18"/>
              </w:rPr>
              <w:t xml:space="preserve"> and </w:t>
            </w:r>
            <w:r>
              <w:rPr>
                <w:b/>
                <w:sz w:val="18"/>
              </w:rPr>
              <w:t>common dendritic progenitors (</w:t>
            </w:r>
            <w:r w:rsidRPr="000A5401">
              <w:rPr>
                <w:b/>
                <w:sz w:val="18"/>
              </w:rPr>
              <w:t>CDP</w:t>
            </w:r>
            <w:r>
              <w:rPr>
                <w:b/>
                <w:sz w:val="18"/>
              </w:rPr>
              <w:t>). Plasmacytoid DC, pDC; classical DC, cDC. Please note different molecular interactions in MPP and CDP, left and right panel, respectively.</w:t>
            </w:r>
          </w:p>
          <w:p w:rsidR="00465090" w:rsidRPr="000A5401" w:rsidRDefault="00465090" w:rsidP="006747AD">
            <w:pPr>
              <w:spacing w:after="0" w:line="240" w:lineRule="auto"/>
              <w:rPr>
                <w:b/>
                <w:sz w:val="18"/>
              </w:rPr>
            </w:pPr>
          </w:p>
        </w:tc>
      </w:tr>
    </w:tbl>
    <w:p w:rsidR="00E452FF" w:rsidRDefault="00E452FF" w:rsidP="00824460">
      <w:r>
        <w:t>The identity of each of these cell states is determined by the sum of all genes that are expressed</w:t>
      </w:r>
      <w:r w:rsidR="00193DD4">
        <w:t xml:space="preserve"> in that specific cell</w:t>
      </w:r>
      <w:r>
        <w:t xml:space="preserve">. Thus, with every transition from one cell state to the next, e.g. with transition from MPP to CDP, a conversion of gene expression occurs, ‘erasing’ the old identity (MPP) and imprinting the new one (CDP). Such transitions or cell fate decisions are directed by extracellular and intracellular components. Extracellular components are soluble factors present in the cell’s environment, like growth factors and cytokines. Intracellular components </w:t>
      </w:r>
      <w:r w:rsidRPr="0091782D">
        <w:t xml:space="preserve">that guide </w:t>
      </w:r>
      <w:r>
        <w:t>lineage commi</w:t>
      </w:r>
      <w:r w:rsidR="00BA0735">
        <w:t>tment are transcription factors</w:t>
      </w:r>
      <w:r>
        <w:t xml:space="preserve"> that bind to gene-regulatory elements (enhancers and promoters) to directly steer gene expression. </w:t>
      </w:r>
    </w:p>
    <w:p w:rsidR="00E452FF" w:rsidRDefault="00E452FF" w:rsidP="00824460">
      <w:r>
        <w:t xml:space="preserve">Work with gene knockout mice has identified a panel of transcription factors </w:t>
      </w:r>
      <w:r w:rsidRPr="00D8333E">
        <w:t xml:space="preserve">that </w:t>
      </w:r>
      <w:r>
        <w:t>impact o</w:t>
      </w:r>
      <w:r w:rsidRPr="00EB15D3">
        <w:t>n various stages of</w:t>
      </w:r>
      <w:r>
        <w:t xml:space="preserve"> hematopoiesis (Figure 1), for example some are critical for stem cells (e.g. Runx1, Tal1 and Gfi1), while others, like E2A, are specific for lymphocytes</w:t>
      </w:r>
      <w:r w:rsidRPr="00404EC6">
        <w:rPr>
          <w:noProof/>
          <w:vertAlign w:val="superscript"/>
        </w:rPr>
        <w:t>1</w:t>
      </w:r>
      <w:r>
        <w:t xml:space="preserve">. </w:t>
      </w:r>
      <w:r w:rsidRPr="00EB15D3">
        <w:t xml:space="preserve">Similarly, </w:t>
      </w:r>
      <w:r>
        <w:t xml:space="preserve">factors were discovered that affect </w:t>
      </w:r>
      <w:r w:rsidRPr="00EB15D3">
        <w:t>DC</w:t>
      </w:r>
      <w:r>
        <w:t xml:space="preserve"> development, such as Pu.1, Id2, IRF8, SpiB, E2-2, Stat3 and Ikaros</w:t>
      </w:r>
      <w:r w:rsidRPr="00404EC6">
        <w:rPr>
          <w:noProof/>
          <w:vertAlign w:val="superscript"/>
        </w:rPr>
        <w:t>4</w:t>
      </w:r>
      <w:r>
        <w:t>. Via single gene analysis, many interactions (activating or inhibitory) and feedback loops have been identified. With increasing number of factors and interactions, complicated gene networks arise (Figure 1). The expression of cell type specific factors within such network will determine the cell’s gene expression repertoire. Since MPP are multipotent, they express factors of all hematopoietic lineages, as well as of stem cells</w:t>
      </w:r>
      <w:r w:rsidR="000F1786">
        <w:t xml:space="preserve"> (Figure 1, left</w:t>
      </w:r>
      <w:r w:rsidR="006747AD">
        <w:t xml:space="preserve"> box</w:t>
      </w:r>
      <w:r w:rsidR="000F1786">
        <w:t>)</w:t>
      </w:r>
      <w:r>
        <w:t>. When MPP progress to CDP and undergo DC-lineage commitment, expression of DC-associated transcription factors, such as Stat3, Id2 and IRF8, will increase</w:t>
      </w:r>
      <w:r w:rsidR="000F1786">
        <w:t xml:space="preserve"> (Figure 1, right</w:t>
      </w:r>
      <w:r w:rsidR="006747AD">
        <w:t xml:space="preserve"> box</w:t>
      </w:r>
      <w:r w:rsidR="000F1786">
        <w:t>)</w:t>
      </w:r>
      <w:r>
        <w:t xml:space="preserve">, which causes activation of </w:t>
      </w:r>
      <w:r w:rsidR="000F1786">
        <w:t>the DC gene expression repertoir</w:t>
      </w:r>
      <w:r>
        <w:t>e and inactivation of factors related to other blood cell lineages.</w:t>
      </w:r>
    </w:p>
    <w:p w:rsidR="00E452FF" w:rsidRPr="00674B78" w:rsidRDefault="00E452FF" w:rsidP="00824460">
      <w:r>
        <w:t>Recent evidence suggests that to establish a specific cell state and stably maintain it, only a few transcription factors – the master regulators – are needed</w:t>
      </w:r>
      <w:r w:rsidRPr="00404EC6">
        <w:rPr>
          <w:noProof/>
          <w:vertAlign w:val="superscript"/>
        </w:rPr>
        <w:t>5</w:t>
      </w:r>
      <w:r>
        <w:t>. Master regulators are at the center of the network, driving their own (autoregulatory) and each other’s expression, and regulating expression of the other genes of the network. There</w:t>
      </w:r>
      <w:r w:rsidR="00497091">
        <w:t xml:space="preserve"> are indications that Pu.1 is an important </w:t>
      </w:r>
      <w:r>
        <w:t>regulator for all hematopoietic cells</w:t>
      </w:r>
      <w:r w:rsidRPr="001619BD">
        <w:rPr>
          <w:noProof/>
          <w:vertAlign w:val="superscript"/>
        </w:rPr>
        <w:t>6</w:t>
      </w:r>
      <w:r>
        <w:t xml:space="preserve">. Pu.1 induces cell fate decisions by engaging lineage-determining factors (E2A for B cells or C/EBPa for phagocytic cells) to collaboratively occupy lineage-specific binding sites. Pu.1 binding </w:t>
      </w:r>
      <w:r w:rsidR="00E90F47">
        <w:t>then</w:t>
      </w:r>
      <w:r>
        <w:t xml:space="preserve"> induces nucleosome/epigenetic remodeling (deposition of activating marks on</w:t>
      </w:r>
      <w:r w:rsidRPr="00F311FE">
        <w:t xml:space="preserve"> </w:t>
      </w:r>
      <w:r>
        <w:t xml:space="preserve">histones), leading to expression of lineage-specific genes. Thus, Pu.1 </w:t>
      </w:r>
      <w:r w:rsidR="00465090">
        <w:t>might</w:t>
      </w:r>
      <w:r>
        <w:t xml:space="preserve"> </w:t>
      </w:r>
      <w:r w:rsidR="00465090">
        <w:t>be</w:t>
      </w:r>
      <w:r>
        <w:t xml:space="preserve"> central in the CDP network, as it induces expression of Flt3, a key growth factor receptor for DC development</w:t>
      </w:r>
      <w:r w:rsidRPr="001619BD">
        <w:rPr>
          <w:noProof/>
          <w:vertAlign w:val="superscript"/>
        </w:rPr>
        <w:t>7</w:t>
      </w:r>
      <w:r>
        <w:t xml:space="preserve">. </w:t>
      </w:r>
      <w:r w:rsidR="00E90F47">
        <w:t>However</w:t>
      </w:r>
      <w:r w:rsidR="00465090">
        <w:t>, t</w:t>
      </w:r>
      <w:r>
        <w:t xml:space="preserve">he </w:t>
      </w:r>
      <w:r w:rsidR="00465090">
        <w:t xml:space="preserve">DC lineage specifying factors </w:t>
      </w:r>
      <w:r w:rsidR="00E90F47">
        <w:t>are</w:t>
      </w:r>
      <w:r>
        <w:t xml:space="preserve"> not </w:t>
      </w:r>
      <w:r w:rsidR="00465090">
        <w:t>identified</w:t>
      </w:r>
      <w:r w:rsidR="00E90F47">
        <w:t xml:space="preserve"> yet.</w:t>
      </w:r>
    </w:p>
    <w:p w:rsidR="00E452FF" w:rsidRPr="00391480" w:rsidRDefault="00E452FF" w:rsidP="00824460">
      <w:r>
        <w:t>Thanks to technological advances in the last decade, biology has passed the stage of single gene analysis. The use of microarrays, to monitor global gene expression analysis, is now</w:t>
      </w:r>
      <w:r w:rsidR="00497091">
        <w:t xml:space="preserve"> further</w:t>
      </w:r>
      <w:r>
        <w:t xml:space="preserve"> substantiated by genome-wide methodologies</w:t>
      </w:r>
      <w:r w:rsidR="00824460">
        <w:t>,</w:t>
      </w:r>
      <w:r>
        <w:t xml:space="preserve"> like chromatin immunoprecipitation </w:t>
      </w:r>
      <w:r w:rsidR="00497091">
        <w:t xml:space="preserve">(ChIP) </w:t>
      </w:r>
      <w:r>
        <w:t>followed by high-t</w:t>
      </w:r>
      <w:r w:rsidR="00497091">
        <w:t>hroughput sequencing (ChIP-Seq).</w:t>
      </w:r>
      <w:r>
        <w:t xml:space="preserve"> ChIP-Seq allows to elucidate the regulatory mechanisms of gene expression, via analysis of (i) transcription factor binding to gene-regulatory elements and (ii) the epigenetic status (= accessibility) of chromatin, defined by presence of e.g. activating or repressing histone marks. The use of genome-wide methods, however, has introduced another dimension of complexity. This complexity poses a limitation for biologists, as they can no longer interpret the vast amount of data </w:t>
      </w:r>
      <w:r w:rsidRPr="00391480">
        <w:t xml:space="preserve">and gain insight into biological processes, without the use of </w:t>
      </w:r>
      <w:r w:rsidR="00824460">
        <w:t>advanced</w:t>
      </w:r>
      <w:r w:rsidRPr="00391480">
        <w:t xml:space="preserve"> computational tools. </w:t>
      </w:r>
    </w:p>
    <w:p w:rsidR="00E452FF" w:rsidRPr="00391480" w:rsidRDefault="00E452FF" w:rsidP="00824460">
      <w:r w:rsidRPr="00391480">
        <w:t xml:space="preserve">Thus, </w:t>
      </w:r>
      <w:r>
        <w:t>the</w:t>
      </w:r>
      <w:r w:rsidRPr="00391480">
        <w:t xml:space="preserve"> challenge in biology today is to take full advantage </w:t>
      </w:r>
      <w:r w:rsidR="00497091">
        <w:t>of the wealth of data generated (data files of 10 GB per sample, which mount to data sets of several hundred GB per experiment).</w:t>
      </w:r>
      <w:r w:rsidRPr="00391480">
        <w:t xml:space="preserve"> </w:t>
      </w:r>
      <w:r w:rsidR="00497091">
        <w:t>This requires</w:t>
      </w:r>
      <w:r w:rsidRPr="00391480">
        <w:t xml:space="preserve"> implementing integrated approaches to identify and model interactions of the biological entities </w:t>
      </w:r>
      <w:r>
        <w:t xml:space="preserve">that are </w:t>
      </w:r>
      <w:r w:rsidRPr="00391480">
        <w:t>involved in the process</w:t>
      </w:r>
      <w:r>
        <w:t>es of interest</w:t>
      </w:r>
      <w:r w:rsidRPr="00391480">
        <w:t xml:space="preserve">. This interdisciplinary challenge </w:t>
      </w:r>
      <w:r>
        <w:t xml:space="preserve">critically depends on </w:t>
      </w:r>
      <w:r w:rsidRPr="00391480">
        <w:t>establish</w:t>
      </w:r>
      <w:r>
        <w:t>ment of</w:t>
      </w:r>
      <w:r w:rsidRPr="00391480">
        <w:t xml:space="preserve"> close interconnections between Biol</w:t>
      </w:r>
      <w:r w:rsidR="00497091">
        <w:t>ogy, Computer Science and Model</w:t>
      </w:r>
      <w:r w:rsidRPr="00391480">
        <w:t>ing</w:t>
      </w:r>
      <w:r w:rsidR="00497091">
        <w:t xml:space="preserve"> </w:t>
      </w:r>
      <w:r w:rsidRPr="00391480">
        <w:t>&amp;</w:t>
      </w:r>
      <w:r w:rsidR="00497091">
        <w:t xml:space="preserve"> </w:t>
      </w:r>
      <w:r w:rsidRPr="00391480">
        <w:t xml:space="preserve">Simulation Sciences. </w:t>
      </w:r>
    </w:p>
    <w:p w:rsidR="00E452FF" w:rsidRDefault="00E452FF" w:rsidP="00824460">
      <w:r>
        <w:t>(2) Computational Regulatory Genomics</w:t>
      </w:r>
      <w:r w:rsidR="00193DD4">
        <w:t xml:space="preserve"> (IGC)</w:t>
      </w:r>
    </w:p>
    <w:p w:rsidR="00E452FF" w:rsidRDefault="00E452FF" w:rsidP="00824460">
      <w:r>
        <w:t>The computational analysis of ChIP-Seq data is the current state of art for unraveling the molecular networks of transcription factors and their target genes on a genome-wide level. For example, ChIP-Seq data from 9 stem cell factors were used to uncover the regulatory networks of ES cells</w:t>
      </w:r>
      <w:r w:rsidRPr="001619BD">
        <w:rPr>
          <w:noProof/>
          <w:vertAlign w:val="superscript"/>
        </w:rPr>
        <w:t>8</w:t>
      </w:r>
      <w:r>
        <w:t xml:space="preserve">. However, success of ChIP-Seq assays depends on the existence of a good antibody against the protein of interest and </w:t>
      </w:r>
      <w:r w:rsidR="00E90F47">
        <w:t>on</w:t>
      </w:r>
      <w:r>
        <w:t xml:space="preserve"> availability of large numbers of cells, two conditions not always met. Therefore, ChIP-Seq-based studies are restricted to analysis of a few factors and few cell types</w:t>
      </w:r>
      <w:r w:rsidRPr="001619BD">
        <w:rPr>
          <w:noProof/>
          <w:vertAlign w:val="superscript"/>
        </w:rPr>
        <w:t>8-10</w:t>
      </w:r>
      <w:r>
        <w:t xml:space="preserve">. </w:t>
      </w:r>
    </w:p>
    <w:p w:rsidR="00E452FF" w:rsidRDefault="00E452FF" w:rsidP="00824460">
      <w:r>
        <w:t xml:space="preserve">An alternative </w:t>
      </w:r>
      <w:r w:rsidR="0018398F">
        <w:t xml:space="preserve">to overcome these limitations </w:t>
      </w:r>
      <w:r>
        <w:t xml:space="preserve">is the use of traditional, sequence-based bioinformatics methods, which search over the genome for motifs representing the DNA binding sequence of a transcription factor. However, motifs are generally small and with low binding specificity, </w:t>
      </w:r>
      <w:r w:rsidR="0018398F">
        <w:t xml:space="preserve">and </w:t>
      </w:r>
      <w:r>
        <w:t>moreover, the presence of a motif does not imply actual transcription factor binding in that particular cell. As a result, motif-based methods return hundred thousands of putative binding sites, of which only a small fraction is actually active in a particular cell type. Recent studies explored the fact that an open chromatin structure is crucial and pre-requisite to the binding of a transcription factor to a particular DNA sequence</w:t>
      </w:r>
      <w:r w:rsidRPr="000E22D0">
        <w:rPr>
          <w:noProof/>
          <w:vertAlign w:val="superscript"/>
        </w:rPr>
        <w:t>11</w:t>
      </w:r>
      <w:r>
        <w:t>. Open chromatin state can be measured directly on a genome wide scale with DNase I sequencing (DNase-Seq) experiments</w:t>
      </w:r>
      <w:r w:rsidRPr="000E22D0">
        <w:rPr>
          <w:noProof/>
          <w:vertAlign w:val="superscript"/>
        </w:rPr>
        <w:t>12</w:t>
      </w:r>
      <w:r>
        <w:t>. Alternatively, it can be inferred from the presence of activating histone modifications, measured by ChIP-Seq, such as H3k4me3, H3k4me1 and H3k27ac</w:t>
      </w:r>
      <w:r w:rsidRPr="000E22D0">
        <w:rPr>
          <w:noProof/>
          <w:vertAlign w:val="superscript"/>
        </w:rPr>
        <w:t>11</w:t>
      </w:r>
      <w:r>
        <w:t xml:space="preserve"> or from the vicinity of binding sites for master regulators</w:t>
      </w:r>
      <w:r w:rsidRPr="000E22D0">
        <w:rPr>
          <w:noProof/>
          <w:vertAlign w:val="superscript"/>
        </w:rPr>
        <w:t>13</w:t>
      </w:r>
      <w:r>
        <w:t>. Recent bioinformatics research showed that DNase-Seq</w:t>
      </w:r>
      <w:r w:rsidRPr="000E22D0">
        <w:rPr>
          <w:noProof/>
          <w:vertAlign w:val="superscript"/>
        </w:rPr>
        <w:t>12</w:t>
      </w:r>
      <w:r>
        <w:t xml:space="preserve"> and the combination of DNase-Seq and histone modifications</w:t>
      </w:r>
      <w:r w:rsidRPr="000E22D0">
        <w:rPr>
          <w:noProof/>
          <w:vertAlign w:val="superscript"/>
        </w:rPr>
        <w:t>14</w:t>
      </w:r>
      <w:r>
        <w:t xml:space="preserve"> can greatly improve the accuracy of motif search methods. Furthermore, it allows detection of cell specific and combinatorial binding sites. </w:t>
      </w:r>
    </w:p>
    <w:p w:rsidR="00E452FF" w:rsidRPr="009729F7" w:rsidRDefault="00E452FF" w:rsidP="00824460">
      <w:r>
        <w:t xml:space="preserve">Such approaches open up </w:t>
      </w:r>
      <w:r w:rsidR="0018398F">
        <w:t>new possibilities</w:t>
      </w:r>
      <w:r>
        <w:t xml:space="preserve"> to detect cell-specific binding sites for all factors with known motifs, starting from only a small number of ChIP-Seq experiments per cell of interest. So far, most studies using open chromatin information to improve motif searching have analyzed single or mostly unrelated cell lines</w:t>
      </w:r>
      <w:r w:rsidRPr="000E22D0">
        <w:rPr>
          <w:noProof/>
          <w:vertAlign w:val="superscript"/>
        </w:rPr>
        <w:t>12,14,15</w:t>
      </w:r>
      <w:r>
        <w:t xml:space="preserve">. A current open challenge, therefore, is the use of inference of such networks during a dynamical biological process, such as cell differentiation, and the use of mathematical modeling methods for the conceptual validation of these networks. </w:t>
      </w:r>
    </w:p>
    <w:p w:rsidR="00E452FF" w:rsidRPr="00A942AF" w:rsidRDefault="00E452FF" w:rsidP="00824460">
      <w:r>
        <w:t>(3</w:t>
      </w:r>
      <w:r w:rsidRPr="00A942AF">
        <w:t>) Modeling</w:t>
      </w:r>
      <w:r w:rsidR="00193DD4">
        <w:t xml:space="preserve"> (AS)</w:t>
      </w:r>
    </w:p>
    <w:p w:rsidR="00E452FF" w:rsidRPr="00A942AF" w:rsidRDefault="00E452FF" w:rsidP="00824460">
      <w:r w:rsidRPr="00A942AF">
        <w:t>Computational data analysis and predictive modeling of cell fate decisions and their induction by the biological environment</w:t>
      </w:r>
      <w:r>
        <w:t>,</w:t>
      </w:r>
      <w:r w:rsidRPr="00A942AF">
        <w:t xml:space="preserve"> is one of the most pressing needs in systems </w:t>
      </w:r>
      <w:r w:rsidR="00F162CA" w:rsidRPr="00A942AF">
        <w:t>biology</w:t>
      </w:r>
      <w:r>
        <w:t>. In</w:t>
      </w:r>
      <w:r w:rsidRPr="00A942AF">
        <w:t xml:space="preserve"> the last decade, systems biology has tried to establish such models, however, a breakthrough towards biomedical applications could not be achieved so far</w:t>
      </w:r>
      <w:r w:rsidRPr="000E22D0">
        <w:rPr>
          <w:noProof/>
          <w:vertAlign w:val="superscript"/>
        </w:rPr>
        <w:t>16</w:t>
      </w:r>
      <w:r w:rsidRPr="00A942AF">
        <w:t>. Systems biology research mostly concentrated on modeling of signal transduction</w:t>
      </w:r>
      <w:r>
        <w:t xml:space="preserve">, which </w:t>
      </w:r>
      <w:r w:rsidRPr="00A942AF">
        <w:t xml:space="preserve">typically </w:t>
      </w:r>
      <w:r>
        <w:t>covers</w:t>
      </w:r>
      <w:r w:rsidRPr="00A942AF">
        <w:t xml:space="preserve"> sho</w:t>
      </w:r>
      <w:r w:rsidR="00F162CA">
        <w:t>rt time scales of minutes and hours</w:t>
      </w:r>
      <w:r>
        <w:t>, by</w:t>
      </w:r>
      <w:r w:rsidRPr="00781B41">
        <w:t xml:space="preserve"> </w:t>
      </w:r>
      <w:r>
        <w:t>using ordinary differential equations</w:t>
      </w:r>
      <w:r w:rsidRPr="00A942AF">
        <w:t xml:space="preserve">. </w:t>
      </w:r>
      <w:r>
        <w:t>Long-</w:t>
      </w:r>
      <w:r w:rsidRPr="00A942AF">
        <w:t xml:space="preserve">term </w:t>
      </w:r>
      <w:r>
        <w:t xml:space="preserve">processes, like </w:t>
      </w:r>
      <w:r w:rsidRPr="00A942AF">
        <w:t>development</w:t>
      </w:r>
      <w:r w:rsidRPr="00146F5B">
        <w:t xml:space="preserve"> </w:t>
      </w:r>
      <w:r>
        <w:t>of cell</w:t>
      </w:r>
      <w:r w:rsidRPr="00A942AF">
        <w:t xml:space="preserve"> populations</w:t>
      </w:r>
      <w:r w:rsidR="00F162CA">
        <w:t>, which take days to weeks,</w:t>
      </w:r>
      <w:r w:rsidRPr="00A942AF">
        <w:t xml:space="preserve"> </w:t>
      </w:r>
      <w:r>
        <w:t>have</w:t>
      </w:r>
      <w:r w:rsidRPr="00A942AF">
        <w:t xml:space="preserve"> been modeled using population dynamics models</w:t>
      </w:r>
      <w:r>
        <w:t>. These models quantify</w:t>
      </w:r>
      <w:r w:rsidRPr="00A942AF">
        <w:t xml:space="preserve"> the dynamics </w:t>
      </w:r>
      <w:r>
        <w:t xml:space="preserve">of </w:t>
      </w:r>
      <w:r w:rsidRPr="00A942AF">
        <w:t xml:space="preserve">and mutual transitions </w:t>
      </w:r>
      <w:r>
        <w:t xml:space="preserve">between cell </w:t>
      </w:r>
      <w:r w:rsidRPr="00A942AF">
        <w:t>populations</w:t>
      </w:r>
      <w:r>
        <w:t>,</w:t>
      </w:r>
      <w:r w:rsidRPr="00A942AF">
        <w:t xml:space="preserve"> which </w:t>
      </w:r>
      <w:r>
        <w:t>is</w:t>
      </w:r>
      <w:r w:rsidRPr="00A942AF">
        <w:t xml:space="preserve"> characterized by </w:t>
      </w:r>
      <w:r>
        <w:t xml:space="preserve">the emergence of phenotypically different </w:t>
      </w:r>
      <w:r w:rsidRPr="00A942AF">
        <w:t>subpopulations</w:t>
      </w:r>
      <w:r w:rsidRPr="000E22D0">
        <w:rPr>
          <w:noProof/>
          <w:vertAlign w:val="superscript"/>
        </w:rPr>
        <w:t>17,18</w:t>
      </w:r>
      <w:r>
        <w:t>.</w:t>
      </w:r>
      <w:r w:rsidRPr="00A942AF">
        <w:t xml:space="preserve"> </w:t>
      </w:r>
      <w:r w:rsidRPr="0004174E">
        <w:t>The approaches</w:t>
      </w:r>
      <w:r w:rsidRPr="00A942AF">
        <w:t xml:space="preserve"> </w:t>
      </w:r>
      <w:r>
        <w:t xml:space="preserve">used so far </w:t>
      </w:r>
      <w:r w:rsidRPr="00A942AF">
        <w:t xml:space="preserve">suffer from the lack of knowledge </w:t>
      </w:r>
      <w:r>
        <w:t xml:space="preserve">about </w:t>
      </w:r>
      <w:r w:rsidRPr="00A942AF">
        <w:t xml:space="preserve">the link between </w:t>
      </w:r>
      <w:r>
        <w:t xml:space="preserve">(i) </w:t>
      </w:r>
      <w:r w:rsidRPr="00A942AF">
        <w:t>models on mechanistic</w:t>
      </w:r>
      <w:r>
        <w:t>,</w:t>
      </w:r>
      <w:r w:rsidRPr="00A942AF">
        <w:t xml:space="preserve"> sub-cellular </w:t>
      </w:r>
      <w:r>
        <w:t>short-term</w:t>
      </w:r>
      <w:r w:rsidRPr="00A942AF">
        <w:t xml:space="preserve"> processes and </w:t>
      </w:r>
      <w:r>
        <w:t xml:space="preserve">(ii) </w:t>
      </w:r>
      <w:r w:rsidRPr="00A942AF">
        <w:t xml:space="preserve">population models </w:t>
      </w:r>
      <w:r>
        <w:t>describing long-term processes</w:t>
      </w:r>
      <w:r w:rsidRPr="00A942AF">
        <w:t>. Today</w:t>
      </w:r>
      <w:r>
        <w:t>,</w:t>
      </w:r>
      <w:r w:rsidRPr="00A942AF">
        <w:t xml:space="preserve"> this lack is </w:t>
      </w:r>
      <w:r>
        <w:t>recognized as</w:t>
      </w:r>
      <w:r w:rsidRPr="00A942AF">
        <w:t xml:space="preserve"> the major bottleneck for efficient prediction of cell fate decision processes</w:t>
      </w:r>
      <w:r>
        <w:t>,</w:t>
      </w:r>
      <w:r w:rsidRPr="00A942AF">
        <w:t xml:space="preserve"> based on data derived from biological experimentation. </w:t>
      </w:r>
    </w:p>
    <w:p w:rsidR="00E452FF" w:rsidRPr="00A942AF" w:rsidRDefault="00E452FF" w:rsidP="00824460">
      <w:r>
        <w:t xml:space="preserve">Therefore, </w:t>
      </w:r>
      <w:r w:rsidRPr="00A942AF">
        <w:t xml:space="preserve">the challenge is </w:t>
      </w:r>
      <w:r>
        <w:t>to</w:t>
      </w:r>
      <w:r w:rsidRPr="00A942AF">
        <w:t xml:space="preserve"> develop an efficient </w:t>
      </w:r>
      <w:r w:rsidRPr="0015529C">
        <w:t>data analysis and modeling approach to assess and quantify the mechanisms</w:t>
      </w:r>
      <w:r w:rsidR="004D3D87">
        <w:t xml:space="preserve"> </w:t>
      </w:r>
      <w:r w:rsidR="00FC5F8D">
        <w:t xml:space="preserve">which </w:t>
      </w:r>
      <w:r w:rsidR="004D3D87">
        <w:t>play (i)</w:t>
      </w:r>
      <w:r w:rsidRPr="0015529C">
        <w:t xml:space="preserve"> a key role in </w:t>
      </w:r>
      <w:r w:rsidR="004D3D87">
        <w:t>the</w:t>
      </w:r>
      <w:r w:rsidRPr="0015529C">
        <w:t xml:space="preserve"> local molecular induction of cellular </w:t>
      </w:r>
      <w:r w:rsidR="004D3D87">
        <w:t>processes and (ii)</w:t>
      </w:r>
      <w:r w:rsidRPr="0015529C">
        <w:t xml:space="preserve"> </w:t>
      </w:r>
      <w:r w:rsidR="00FC5F8D">
        <w:t>induce</w:t>
      </w:r>
      <w:r w:rsidR="004D3D87">
        <w:t xml:space="preserve"> </w:t>
      </w:r>
      <w:r w:rsidRPr="0015529C">
        <w:t>long-term transformations of the cellular phenotype</w:t>
      </w:r>
      <w:r w:rsidR="004D3D87">
        <w:t>, involving</w:t>
      </w:r>
      <w:r w:rsidRPr="0015529C">
        <w:t xml:space="preserve"> cellular mechanisms </w:t>
      </w:r>
      <w:r w:rsidR="004D3D87">
        <w:t>with</w:t>
      </w:r>
      <w:r w:rsidRPr="0015529C">
        <w:t xml:space="preserve"> thousands of genes, </w:t>
      </w:r>
      <w:r w:rsidR="004D3D87">
        <w:t>frequently referred to as</w:t>
      </w:r>
      <w:r w:rsidRPr="0015529C">
        <w:t xml:space="preserve"> cellular plasticity. Although</w:t>
      </w:r>
      <w:r w:rsidRPr="00A942AF">
        <w:t xml:space="preserve"> first promising results have been reported recently</w:t>
      </w:r>
      <w:r w:rsidRPr="000E22D0">
        <w:rPr>
          <w:noProof/>
          <w:vertAlign w:val="superscript"/>
        </w:rPr>
        <w:t>19</w:t>
      </w:r>
      <w:r w:rsidRPr="00A942AF">
        <w:t>, an integrated concept for efficient reengineering of the relevant mechanisms</w:t>
      </w:r>
      <w:r>
        <w:t>,</w:t>
      </w:r>
      <w:r w:rsidRPr="00A942AF">
        <w:t xml:space="preserve"> </w:t>
      </w:r>
      <w:r>
        <w:t>based on biological</w:t>
      </w:r>
      <w:r w:rsidRPr="00A942AF">
        <w:t xml:space="preserve"> data</w:t>
      </w:r>
      <w:r>
        <w:t>,</w:t>
      </w:r>
      <w:r w:rsidRPr="00A942AF">
        <w:t xml:space="preserve"> is not available today.</w:t>
      </w:r>
    </w:p>
    <w:p w:rsidR="00E452FF" w:rsidRPr="004B77B8" w:rsidRDefault="00E452FF" w:rsidP="00824460">
      <w:pPr>
        <w:pStyle w:val="Heading1"/>
        <w:outlineLvl w:val="0"/>
      </w:pPr>
      <w:r w:rsidRPr="004B77B8">
        <w:t>Rele</w:t>
      </w:r>
      <w:r>
        <w:t>vant Work of the Applicants</w:t>
      </w:r>
    </w:p>
    <w:p w:rsidR="00E452FF" w:rsidRDefault="00E452FF" w:rsidP="00824460">
      <w:pPr>
        <w:outlineLvl w:val="0"/>
      </w:pPr>
      <w:r>
        <w:t xml:space="preserve">(1) Seré </w:t>
      </w:r>
    </w:p>
    <w:p w:rsidR="00E452FF" w:rsidRDefault="00E452FF" w:rsidP="00824460">
      <w:pPr>
        <w:outlineLvl w:val="0"/>
      </w:pPr>
      <w:r>
        <w:t xml:space="preserve">Our research aims at unraveling the molecular mechanisms, which underlie </w:t>
      </w:r>
      <w:r w:rsidR="005A09E7">
        <w:t>stem cell differentiation and lineage commitment</w:t>
      </w:r>
      <w:r>
        <w:t xml:space="preserve"> from MPP to CDP</w:t>
      </w:r>
      <w:r w:rsidR="005A09E7">
        <w:t xml:space="preserve"> and finally into DC</w:t>
      </w:r>
      <w:r w:rsidRPr="000E22D0">
        <w:rPr>
          <w:noProof/>
          <w:vertAlign w:val="superscript"/>
        </w:rPr>
        <w:t>20</w:t>
      </w:r>
      <w:r>
        <w:t>. By compari</w:t>
      </w:r>
      <w:r w:rsidR="005A09E7">
        <w:t>ng genome-wide gene expression microarray data</w:t>
      </w:r>
      <w:r>
        <w:t xml:space="preserve"> of MPP and CDP, we found that CDP exhibit a DC-primed expression pattern and we nailed down the DC-lineage associated transcription factors</w:t>
      </w:r>
      <w:r w:rsidRPr="000E22D0">
        <w:rPr>
          <w:noProof/>
          <w:vertAlign w:val="superscript"/>
        </w:rPr>
        <w:t>20,21</w:t>
      </w:r>
      <w:r>
        <w:t>. A set of selected, promising factors was (and is) studied in more detail, by use of gene knockout mice. We eludidated for example, that Id2 is needed for DC development</w:t>
      </w:r>
      <w:r w:rsidRPr="008D1D69">
        <w:t xml:space="preserve"> </w:t>
      </w:r>
      <w:r>
        <w:t>under steady state conditions, but not during inflammation</w:t>
      </w:r>
      <w:r w:rsidRPr="000E22D0">
        <w:rPr>
          <w:noProof/>
          <w:vertAlign w:val="superscript"/>
        </w:rPr>
        <w:t>22</w:t>
      </w:r>
      <w:r>
        <w:t>. We also revealed that IRF8 is key to DC commitment, as (i) IRF8 deficient MPP do not develop into DC, and (ii) IRF8 overexpression induces a CDP-like expression pattern</w:t>
      </w:r>
      <w:r w:rsidRPr="000E22D0">
        <w:rPr>
          <w:noProof/>
          <w:vertAlign w:val="superscript"/>
        </w:rPr>
        <w:t>23</w:t>
      </w:r>
      <w:r>
        <w:t xml:space="preserve"> (Seré et al., in preparation).</w:t>
      </w:r>
    </w:p>
    <w:p w:rsidR="00E452FF" w:rsidRDefault="00E452FF" w:rsidP="00824460">
      <w:pPr>
        <w:outlineLvl w:val="0"/>
      </w:pPr>
      <w:r>
        <w:t xml:space="preserve">We extended our studies to the epigenetic changes during MPP to CDP transition, using ChIP-PCR or ChIP-Seq for activating and repressing histone marks (H3K4me3, H3K4me27, H3K9me3 and H3K9Ac). </w:t>
      </w:r>
      <w:r w:rsidR="00C70B36">
        <w:t>W</w:t>
      </w:r>
      <w:r>
        <w:t>e discovered that the transition from MPP to CDP is accompanied by a profound rearrangement of histone marks, which parallels the changes in gene expression (Lin et al., in preparation).</w:t>
      </w:r>
      <w:r w:rsidRPr="007C22B6">
        <w:t xml:space="preserve"> </w:t>
      </w:r>
      <w:r>
        <w:t>Intriguingly, ChIP-Seq for Pu.1 – a potential master regulator of DC lineage – on MPP and CDP also showed a prominent conversion of Pu.1 binding sites. When MPP progress to CDP, strong Pu.1 binding is gained</w:t>
      </w:r>
      <w:r w:rsidR="00F162CA">
        <w:t xml:space="preserve"> at enhancer and promoter of DC </w:t>
      </w:r>
      <w:r>
        <w:t xml:space="preserve">lineage genes. Currently, we investigate potential binding partners of Pu.1. </w:t>
      </w:r>
    </w:p>
    <w:p w:rsidR="00E452FF" w:rsidRPr="00A42C97" w:rsidRDefault="00E452FF" w:rsidP="00824460">
      <w:pPr>
        <w:outlineLvl w:val="0"/>
      </w:pPr>
      <w:r w:rsidRPr="00A42C97">
        <w:t>(2) Costa</w:t>
      </w:r>
    </w:p>
    <w:p w:rsidR="00E452FF" w:rsidRDefault="00E452FF" w:rsidP="00824460">
      <w:pPr>
        <w:outlineLvl w:val="0"/>
        <w:rPr>
          <w:rFonts w:cs="Arial"/>
          <w:color w:val="FF0000"/>
          <w:szCs w:val="22"/>
          <w:lang w:val="en-GB"/>
        </w:rPr>
      </w:pPr>
      <w:r w:rsidRPr="00A42C97">
        <w:rPr>
          <w:rFonts w:cs="Arial"/>
          <w:szCs w:val="22"/>
          <w:lang w:val="en-GB"/>
        </w:rPr>
        <w:t>Costa Lab develops computational biology approaches for integrated analysis of genome-wide gene expression data, histone modifications (ChIP-Seq), open chromatin assay (DNase</w:t>
      </w:r>
      <w:r w:rsidR="000F1786">
        <w:rPr>
          <w:rFonts w:cs="Arial"/>
          <w:szCs w:val="22"/>
          <w:lang w:val="en-GB"/>
        </w:rPr>
        <w:t>-Seq</w:t>
      </w:r>
      <w:r w:rsidRPr="00A42C97">
        <w:rPr>
          <w:rFonts w:cs="Arial"/>
          <w:szCs w:val="22"/>
          <w:lang w:val="en-GB"/>
        </w:rPr>
        <w:t xml:space="preserve">) and transcription </w:t>
      </w:r>
      <w:r w:rsidR="000F1786">
        <w:rPr>
          <w:rFonts w:cs="Arial"/>
          <w:szCs w:val="22"/>
          <w:lang w:val="en-GB"/>
        </w:rPr>
        <w:t xml:space="preserve">factor </w:t>
      </w:r>
      <w:r w:rsidRPr="00A42C97">
        <w:rPr>
          <w:rFonts w:cs="Arial"/>
          <w:szCs w:val="22"/>
          <w:lang w:val="en-GB"/>
        </w:rPr>
        <w:t>binding</w:t>
      </w:r>
      <w:r>
        <w:rPr>
          <w:rFonts w:cs="Arial"/>
          <w:szCs w:val="22"/>
          <w:lang w:val="en-GB"/>
        </w:rPr>
        <w:t xml:space="preserve"> sites</w:t>
      </w:r>
      <w:r w:rsidRPr="005D4B31">
        <w:rPr>
          <w:rFonts w:cs="Arial"/>
          <w:szCs w:val="22"/>
          <w:lang w:val="en-GB"/>
        </w:rPr>
        <w:t xml:space="preserve">. </w:t>
      </w:r>
      <w:r>
        <w:rPr>
          <w:rFonts w:cs="Arial"/>
          <w:szCs w:val="22"/>
          <w:lang w:val="en-GB"/>
        </w:rPr>
        <w:t>Initial work was</w:t>
      </w:r>
      <w:r w:rsidRPr="003D7437">
        <w:rPr>
          <w:rFonts w:cs="Arial"/>
          <w:szCs w:val="22"/>
          <w:lang w:val="en-GB"/>
        </w:rPr>
        <w:t xml:space="preserve"> </w:t>
      </w:r>
      <w:r>
        <w:rPr>
          <w:rFonts w:cs="Arial"/>
          <w:szCs w:val="22"/>
          <w:lang w:val="en-GB"/>
        </w:rPr>
        <w:t xml:space="preserve">the establishment of a </w:t>
      </w:r>
      <w:r w:rsidRPr="003D7437">
        <w:rPr>
          <w:rFonts w:cs="Arial"/>
          <w:szCs w:val="22"/>
          <w:lang w:val="en-GB"/>
        </w:rPr>
        <w:t xml:space="preserve">method to visualize, query and detect </w:t>
      </w:r>
      <w:r>
        <w:rPr>
          <w:rFonts w:cs="Arial"/>
          <w:szCs w:val="22"/>
          <w:lang w:val="en-GB"/>
        </w:rPr>
        <w:t>modules</w:t>
      </w:r>
      <w:r w:rsidRPr="003D7437">
        <w:rPr>
          <w:rFonts w:cs="Arial"/>
          <w:szCs w:val="22"/>
          <w:lang w:val="en-GB"/>
        </w:rPr>
        <w:t xml:space="preserve"> of co-</w:t>
      </w:r>
      <w:r>
        <w:rPr>
          <w:rFonts w:cs="Arial"/>
          <w:szCs w:val="22"/>
          <w:lang w:val="en-GB"/>
        </w:rPr>
        <w:t>regulation</w:t>
      </w:r>
      <w:r w:rsidRPr="003D7437">
        <w:rPr>
          <w:rFonts w:cs="Arial"/>
          <w:szCs w:val="22"/>
          <w:lang w:val="en-GB"/>
        </w:rPr>
        <w:t xml:space="preserve"> genes during </w:t>
      </w:r>
      <w:r>
        <w:rPr>
          <w:rFonts w:cs="Arial"/>
          <w:szCs w:val="22"/>
          <w:lang w:val="en-GB"/>
        </w:rPr>
        <w:t xml:space="preserve">blood </w:t>
      </w:r>
      <w:r w:rsidRPr="003D7437">
        <w:rPr>
          <w:rFonts w:cs="Arial"/>
          <w:szCs w:val="22"/>
          <w:lang w:val="en-GB"/>
        </w:rPr>
        <w:t>cell development</w:t>
      </w:r>
      <w:r w:rsidRPr="00AB0D01">
        <w:rPr>
          <w:rFonts w:cs="Arial"/>
          <w:noProof/>
          <w:szCs w:val="22"/>
          <w:vertAlign w:val="superscript"/>
          <w:lang w:val="en-GB"/>
        </w:rPr>
        <w:t>24,25</w:t>
      </w:r>
      <w:r>
        <w:rPr>
          <w:rFonts w:cs="Arial"/>
          <w:szCs w:val="22"/>
          <w:lang w:val="en-GB"/>
        </w:rPr>
        <w:t>. Next, w</w:t>
      </w:r>
      <w:r w:rsidRPr="005D4B31">
        <w:rPr>
          <w:rFonts w:cs="Arial"/>
          <w:szCs w:val="22"/>
          <w:lang w:val="en-GB"/>
        </w:rPr>
        <w:t>e developed a method</w:t>
      </w:r>
      <w:r>
        <w:rPr>
          <w:rFonts w:cs="Arial"/>
          <w:szCs w:val="22"/>
          <w:lang w:val="en-GB"/>
        </w:rPr>
        <w:t>,</w:t>
      </w:r>
      <w:r w:rsidRPr="005D4B31">
        <w:rPr>
          <w:rFonts w:cs="Arial"/>
          <w:szCs w:val="22"/>
          <w:lang w:val="en-GB"/>
        </w:rPr>
        <w:t xml:space="preserve"> based on sparse linear regression estimation, to predict the regulatory roles of transcrip</w:t>
      </w:r>
      <w:r>
        <w:rPr>
          <w:rFonts w:cs="Arial"/>
          <w:szCs w:val="22"/>
          <w:lang w:val="en-GB"/>
        </w:rPr>
        <w:t>tion factors and histone modifi</w:t>
      </w:r>
      <w:r w:rsidRPr="005D4B31">
        <w:rPr>
          <w:rFonts w:cs="Arial"/>
          <w:szCs w:val="22"/>
          <w:lang w:val="en-GB"/>
        </w:rPr>
        <w:t>cations during blood cell developme</w:t>
      </w:r>
      <w:r>
        <w:rPr>
          <w:rFonts w:cs="Arial"/>
          <w:szCs w:val="22"/>
          <w:lang w:val="en-GB"/>
        </w:rPr>
        <w:t>nt</w:t>
      </w:r>
      <w:r w:rsidRPr="00AB0D01">
        <w:rPr>
          <w:rFonts w:cs="Arial"/>
          <w:noProof/>
          <w:szCs w:val="22"/>
          <w:vertAlign w:val="superscript"/>
          <w:lang w:val="en-GB"/>
        </w:rPr>
        <w:t>26,27</w:t>
      </w:r>
      <w:r w:rsidR="00E90F47">
        <w:rPr>
          <w:rFonts w:cs="Arial"/>
          <w:szCs w:val="22"/>
          <w:lang w:val="en-GB"/>
        </w:rPr>
        <w:t>. U</w:t>
      </w:r>
      <w:r w:rsidRPr="005D4B31">
        <w:rPr>
          <w:rFonts w:cs="Arial"/>
          <w:szCs w:val="22"/>
          <w:lang w:val="en-GB"/>
        </w:rPr>
        <w:t>sing a hidden Mar</w:t>
      </w:r>
      <w:r>
        <w:rPr>
          <w:rFonts w:cs="Arial"/>
          <w:szCs w:val="22"/>
          <w:lang w:val="en-GB"/>
        </w:rPr>
        <w:t xml:space="preserve">kov Model-based methodology, we </w:t>
      </w:r>
      <w:r w:rsidR="00E90F47">
        <w:rPr>
          <w:rFonts w:cs="Arial"/>
          <w:szCs w:val="22"/>
          <w:lang w:val="en-GB"/>
        </w:rPr>
        <w:t>simultaneously analyzed</w:t>
      </w:r>
      <w:r>
        <w:rPr>
          <w:rFonts w:cs="Arial"/>
          <w:szCs w:val="22"/>
          <w:lang w:val="en-GB"/>
        </w:rPr>
        <w:t xml:space="preserve"> histone modifications (ChIP-Seq) and open chromatin (DNase-Seq) to predict cell-specific</w:t>
      </w:r>
      <w:r w:rsidRPr="005D4B31">
        <w:rPr>
          <w:rFonts w:cs="Arial"/>
          <w:szCs w:val="22"/>
          <w:lang w:val="en-GB"/>
        </w:rPr>
        <w:t xml:space="preserve"> tra</w:t>
      </w:r>
      <w:r>
        <w:rPr>
          <w:rFonts w:cs="Arial"/>
          <w:szCs w:val="22"/>
          <w:lang w:val="en-GB"/>
        </w:rPr>
        <w:t>nscription factor binding sites</w:t>
      </w:r>
      <w:r w:rsidRPr="00E8047F">
        <w:rPr>
          <w:rFonts w:cs="Arial"/>
          <w:noProof/>
          <w:szCs w:val="22"/>
          <w:vertAlign w:val="superscript"/>
          <w:lang w:val="en-GB"/>
        </w:rPr>
        <w:t>14</w:t>
      </w:r>
      <w:r w:rsidR="00E90F47">
        <w:rPr>
          <w:rFonts w:cs="Arial"/>
          <w:szCs w:val="22"/>
          <w:lang w:val="en-GB"/>
        </w:rPr>
        <w:t>.</w:t>
      </w:r>
    </w:p>
    <w:p w:rsidR="00E452FF" w:rsidRPr="003902E3" w:rsidRDefault="00E452FF" w:rsidP="00824460">
      <w:pPr>
        <w:outlineLvl w:val="0"/>
      </w:pPr>
      <w:r w:rsidRPr="003902E3">
        <w:t>(3) Schuppert</w:t>
      </w:r>
    </w:p>
    <w:p w:rsidR="00E452FF" w:rsidRPr="00E8047F" w:rsidRDefault="00E452FF" w:rsidP="00824460">
      <w:pPr>
        <w:rPr>
          <w:rFonts w:cs="Arial"/>
          <w:i/>
          <w:szCs w:val="22"/>
        </w:rPr>
      </w:pPr>
      <w:r w:rsidRPr="003902E3">
        <w:t>In the last years, novel methods to tackle the analysis and modeling of cellular plasticity have been developed at AICES (Schuppert lab). By establishing efficient and highly specific cell characterization</w:t>
      </w:r>
      <w:r>
        <w:t>,</w:t>
      </w:r>
      <w:r w:rsidRPr="003902E3">
        <w:t xml:space="preserve"> based on full-genome expression </w:t>
      </w:r>
      <w:r>
        <w:t>data</w:t>
      </w:r>
      <w:r w:rsidRPr="00AB0D01">
        <w:rPr>
          <w:noProof/>
          <w:vertAlign w:val="superscript"/>
        </w:rPr>
        <w:t>28</w:t>
      </w:r>
      <w:r>
        <w:t>,</w:t>
      </w:r>
      <w:r w:rsidRPr="003902E3">
        <w:t xml:space="preserve"> </w:t>
      </w:r>
      <w:r>
        <w:t>as well as</w:t>
      </w:r>
      <w:r w:rsidRPr="003902E3">
        <w:t xml:space="preserve"> </w:t>
      </w:r>
      <w:r>
        <w:t xml:space="preserve">on </w:t>
      </w:r>
      <w:r w:rsidR="00C70B36">
        <w:t xml:space="preserve">epigenetic methylation data (Schuldt et al., in preparation), </w:t>
      </w:r>
      <w:r w:rsidRPr="003902E3">
        <w:t>cell fate characterization and tracking of induced cellular plasticity could be significantly improved. Moreover, a quantitative link between expression data from cellular transformation experiments on the lab scale and clinical data derived from publicly available data repositories in a “big data” approach</w:t>
      </w:r>
      <w:r w:rsidRPr="00AB0D01">
        <w:rPr>
          <w:noProof/>
          <w:vertAlign w:val="superscript"/>
        </w:rPr>
        <w:t>29</w:t>
      </w:r>
      <w:r w:rsidRPr="003902E3">
        <w:t xml:space="preserve"> </w:t>
      </w:r>
      <w:r>
        <w:t xml:space="preserve">(Schuldt et al., in preparation) </w:t>
      </w:r>
      <w:r w:rsidRPr="003902E3">
        <w:t>could be established</w:t>
      </w:r>
      <w:r>
        <w:t>. This</w:t>
      </w:r>
      <w:r w:rsidRPr="003902E3">
        <w:t xml:space="preserve"> was used for tracking of induced cellular dynamics in single cell </w:t>
      </w:r>
      <w:r w:rsidRPr="00E8047F">
        <w:t>experimentation</w:t>
      </w:r>
      <w:r w:rsidRPr="00AB0D01">
        <w:rPr>
          <w:noProof/>
          <w:vertAlign w:val="superscript"/>
        </w:rPr>
        <w:t>30</w:t>
      </w:r>
      <w:r w:rsidRPr="00E8047F">
        <w:t>.</w:t>
      </w:r>
    </w:p>
    <w:p w:rsidR="00E452FF" w:rsidRPr="003902E3" w:rsidRDefault="00E452FF" w:rsidP="00824460">
      <w:pPr>
        <w:rPr>
          <w:rFonts w:cs="Arial"/>
          <w:szCs w:val="22"/>
        </w:rPr>
      </w:pPr>
      <w:r w:rsidRPr="003902E3">
        <w:t xml:space="preserve">To link </w:t>
      </w:r>
      <w:r w:rsidR="005A5C0A" w:rsidRPr="003902E3">
        <w:t>induced cellular transformation</w:t>
      </w:r>
      <w:r w:rsidR="005A5C0A">
        <w:t xml:space="preserve"> and </w:t>
      </w:r>
      <w:r>
        <w:t>environmental</w:t>
      </w:r>
      <w:r w:rsidRPr="003902E3">
        <w:t xml:space="preserve"> stress, a network reconstruction method on a full</w:t>
      </w:r>
      <w:r>
        <w:t>-</w:t>
      </w:r>
      <w:r w:rsidRPr="003902E3">
        <w:t xml:space="preserve">genome scale </w:t>
      </w:r>
      <w:r>
        <w:t>was</w:t>
      </w:r>
      <w:r w:rsidRPr="003902E3">
        <w:t xml:space="preserve"> developed</w:t>
      </w:r>
      <w:r>
        <w:t>, which was used</w:t>
      </w:r>
      <w:r w:rsidRPr="003902E3">
        <w:t xml:space="preserve"> to describe the response </w:t>
      </w:r>
      <w:r>
        <w:t xml:space="preserve">of cells to </w:t>
      </w:r>
      <w:r w:rsidRPr="003902E3">
        <w:t xml:space="preserve">toxic </w:t>
      </w:r>
      <w:r w:rsidRPr="00E8047F">
        <w:t>compounds</w:t>
      </w:r>
      <w:r w:rsidRPr="00AB0D01">
        <w:rPr>
          <w:noProof/>
          <w:vertAlign w:val="superscript"/>
        </w:rPr>
        <w:t>31</w:t>
      </w:r>
      <w:r w:rsidRPr="00E8047F">
        <w:t xml:space="preserve">. </w:t>
      </w:r>
      <w:r w:rsidRPr="00E8047F">
        <w:rPr>
          <w:rFonts w:eastAsia="SimSun" w:cs="Arial"/>
          <w:szCs w:val="22"/>
          <w:lang w:val="en-GB" w:eastAsia="zh-CN"/>
        </w:rPr>
        <w:t>This approach</w:t>
      </w:r>
      <w:r w:rsidRPr="003902E3">
        <w:t xml:space="preserve"> suggest</w:t>
      </w:r>
      <w:r>
        <w:t>ed</w:t>
      </w:r>
      <w:r w:rsidRPr="003902E3">
        <w:t xml:space="preserve"> that intrinsic co-regulation allows generic genome-wide reprogramming using </w:t>
      </w:r>
      <w:r>
        <w:t>not more than</w:t>
      </w:r>
      <w:r w:rsidRPr="003902E3">
        <w:t xml:space="preserve"> 5-15 appropriate induction factors</w:t>
      </w:r>
      <w:r w:rsidRPr="00AB0D01">
        <w:rPr>
          <w:noProof/>
          <w:vertAlign w:val="superscript"/>
        </w:rPr>
        <w:t>32</w:t>
      </w:r>
      <w:r>
        <w:t xml:space="preserve">. </w:t>
      </w:r>
      <w:r w:rsidRPr="003902E3">
        <w:rPr>
          <w:rFonts w:cs="Arial"/>
          <w:szCs w:val="22"/>
        </w:rPr>
        <w:t xml:space="preserve">In order to characterize the mechanistic networks relevant for reprogramming of cells on the </w:t>
      </w:r>
      <w:r>
        <w:rPr>
          <w:rFonts w:cs="Arial"/>
          <w:szCs w:val="22"/>
        </w:rPr>
        <w:t>molecular</w:t>
      </w:r>
      <w:r w:rsidRPr="003902E3">
        <w:rPr>
          <w:rFonts w:cs="Arial"/>
          <w:szCs w:val="22"/>
        </w:rPr>
        <w:t xml:space="preserve"> level a mathematical framework has been described</w:t>
      </w:r>
      <w:r w:rsidRPr="00AB0D01">
        <w:rPr>
          <w:rFonts w:cs="Arial"/>
          <w:noProof/>
          <w:szCs w:val="22"/>
          <w:vertAlign w:val="superscript"/>
        </w:rPr>
        <w:t>33</w:t>
      </w:r>
      <w:r>
        <w:rPr>
          <w:rFonts w:cs="Arial"/>
          <w:szCs w:val="22"/>
        </w:rPr>
        <w:t xml:space="preserve">. </w:t>
      </w:r>
      <w:r w:rsidRPr="00A2222C">
        <w:rPr>
          <w:rFonts w:cs="Arial"/>
          <w:szCs w:val="22"/>
        </w:rPr>
        <w:t xml:space="preserve">This framework </w:t>
      </w:r>
      <w:r>
        <w:rPr>
          <w:rFonts w:cs="Arial"/>
          <w:szCs w:val="22"/>
        </w:rPr>
        <w:t>was</w:t>
      </w:r>
      <w:r w:rsidRPr="00A2222C">
        <w:rPr>
          <w:rFonts w:cs="Arial"/>
          <w:szCs w:val="22"/>
        </w:rPr>
        <w:t xml:space="preserve"> </w:t>
      </w:r>
      <w:r>
        <w:rPr>
          <w:rFonts w:cs="Arial"/>
          <w:szCs w:val="22"/>
        </w:rPr>
        <w:t>applied</w:t>
      </w:r>
      <w:r w:rsidRPr="003902E3">
        <w:rPr>
          <w:rFonts w:cs="Arial"/>
          <w:szCs w:val="22"/>
        </w:rPr>
        <w:t xml:space="preserve"> </w:t>
      </w:r>
      <w:r>
        <w:rPr>
          <w:rFonts w:cs="Arial"/>
          <w:szCs w:val="22"/>
        </w:rPr>
        <w:t>to</w:t>
      </w:r>
      <w:r w:rsidRPr="003902E3">
        <w:rPr>
          <w:rFonts w:cs="Arial"/>
          <w:szCs w:val="22"/>
        </w:rPr>
        <w:t xml:space="preserve"> analys</w:t>
      </w:r>
      <w:r>
        <w:rPr>
          <w:rFonts w:cs="Arial"/>
          <w:szCs w:val="22"/>
        </w:rPr>
        <w:t>e</w:t>
      </w:r>
      <w:r w:rsidRPr="003902E3">
        <w:rPr>
          <w:rFonts w:cs="Arial"/>
          <w:szCs w:val="22"/>
        </w:rPr>
        <w:t xml:space="preserve"> </w:t>
      </w:r>
      <w:r>
        <w:rPr>
          <w:rFonts w:cs="Arial"/>
          <w:szCs w:val="22"/>
        </w:rPr>
        <w:t>the</w:t>
      </w:r>
      <w:r w:rsidRPr="003902E3">
        <w:rPr>
          <w:rFonts w:cs="Arial"/>
          <w:szCs w:val="22"/>
        </w:rPr>
        <w:t xml:space="preserve"> mechanisms </w:t>
      </w:r>
      <w:r>
        <w:rPr>
          <w:rFonts w:cs="Arial"/>
          <w:szCs w:val="22"/>
        </w:rPr>
        <w:t xml:space="preserve">that </w:t>
      </w:r>
      <w:r w:rsidRPr="003902E3">
        <w:rPr>
          <w:rFonts w:cs="Arial"/>
          <w:szCs w:val="22"/>
        </w:rPr>
        <w:t xml:space="preserve">lead to drug resistance in </w:t>
      </w:r>
      <w:r>
        <w:rPr>
          <w:rFonts w:cs="Arial"/>
          <w:szCs w:val="22"/>
        </w:rPr>
        <w:t>leukemic</w:t>
      </w:r>
      <w:r w:rsidRPr="003902E3">
        <w:rPr>
          <w:rFonts w:cs="Arial"/>
          <w:szCs w:val="22"/>
        </w:rPr>
        <w:t xml:space="preserve"> cells</w:t>
      </w:r>
      <w:r w:rsidRPr="00AB0D01">
        <w:rPr>
          <w:rFonts w:cs="Arial"/>
          <w:noProof/>
          <w:szCs w:val="22"/>
          <w:vertAlign w:val="superscript"/>
        </w:rPr>
        <w:t>34</w:t>
      </w:r>
      <w:r>
        <w:rPr>
          <w:rFonts w:cs="Arial"/>
          <w:szCs w:val="22"/>
        </w:rPr>
        <w:t>. I</w:t>
      </w:r>
      <w:r w:rsidRPr="003902E3">
        <w:rPr>
          <w:rFonts w:cs="Arial"/>
          <w:szCs w:val="22"/>
        </w:rPr>
        <w:t>n collaboration with Prof. Alexander Mitsos, Chair for Systems Technology</w:t>
      </w:r>
      <w:r w:rsidR="00C70B36">
        <w:rPr>
          <w:rFonts w:cs="Arial"/>
          <w:szCs w:val="22"/>
        </w:rPr>
        <w:t xml:space="preserve"> at RWTH Aachen University</w:t>
      </w:r>
      <w:r w:rsidRPr="003902E3">
        <w:rPr>
          <w:rFonts w:cs="Arial"/>
          <w:szCs w:val="22"/>
        </w:rPr>
        <w:t>, an algorithm</w:t>
      </w:r>
      <w:r>
        <w:rPr>
          <w:rFonts w:cs="Arial"/>
          <w:szCs w:val="22"/>
        </w:rPr>
        <w:t xml:space="preserve"> </w:t>
      </w:r>
      <w:r w:rsidRPr="003902E3">
        <w:rPr>
          <w:rFonts w:cs="Arial"/>
          <w:szCs w:val="22"/>
        </w:rPr>
        <w:t>for detailed reengineering of cellular networks</w:t>
      </w:r>
      <w:r>
        <w:rPr>
          <w:rFonts w:cs="Arial"/>
          <w:szCs w:val="22"/>
        </w:rPr>
        <w:t xml:space="preserve"> </w:t>
      </w:r>
      <w:r w:rsidRPr="003902E3">
        <w:rPr>
          <w:rFonts w:cs="Arial"/>
          <w:szCs w:val="22"/>
        </w:rPr>
        <w:t>has been established at AICES.</w:t>
      </w:r>
    </w:p>
    <w:p w:rsidR="00E452FF" w:rsidRPr="004B77B8" w:rsidRDefault="00E452FF" w:rsidP="00824460">
      <w:pPr>
        <w:pStyle w:val="Heading1"/>
        <w:outlineLvl w:val="0"/>
      </w:pPr>
      <w:r w:rsidRPr="004B77B8">
        <w:t>Goa</w:t>
      </w:r>
      <w:r>
        <w:t>ls and Approach (Methodology)</w:t>
      </w:r>
    </w:p>
    <w:p w:rsidR="00E452FF" w:rsidRDefault="00C70B36" w:rsidP="00824460">
      <w:pPr>
        <w:rPr>
          <w:rFonts w:cs="Arial"/>
          <w:color w:val="3366FF"/>
        </w:rPr>
      </w:pPr>
      <w:r>
        <w:t>DC</w:t>
      </w:r>
      <w:r w:rsidR="00E452FF">
        <w:t xml:space="preserve"> are nowadays appreciated as crucially important immune cells with great clinical potential. However, the understanding of their development from HSC and MPP remains a blind spot in hematopoiesis: still, DC are ill-positioned – if positioned at all – on the hematopoietic roadmaps. This gap is caused by the lack of knowledge about the factors, and their molecular mechanisms, that drive cell fate decisions towards DC lineage.</w:t>
      </w:r>
    </w:p>
    <w:p w:rsidR="00E452FF" w:rsidRDefault="00E452FF" w:rsidP="00C70B36">
      <w:pPr>
        <w:rPr>
          <w:rFonts w:cs="Arial"/>
        </w:rPr>
      </w:pPr>
      <w:r w:rsidRPr="00F06E94">
        <w:rPr>
          <w:rFonts w:cs="Arial"/>
        </w:rPr>
        <w:t>In this project, therefore, we intend to establish a network-based model, which allows simulation and prediction of the time course of HSC differentiation in general, and DC lineage commitment</w:t>
      </w:r>
      <w:r>
        <w:rPr>
          <w:rFonts w:cs="Arial"/>
        </w:rPr>
        <w:t xml:space="preserve"> from MPP to CDP</w:t>
      </w:r>
      <w:r w:rsidRPr="00F06E94">
        <w:rPr>
          <w:rFonts w:cs="Arial"/>
        </w:rPr>
        <w:t xml:space="preserve"> in particular. The heterogeneity of the time scales of the relevant sub-processes (short</w:t>
      </w:r>
      <w:r>
        <w:rPr>
          <w:rFonts w:cs="Arial"/>
        </w:rPr>
        <w:t xml:space="preserve">-term processes like </w:t>
      </w:r>
      <w:r w:rsidRPr="00F06E94">
        <w:rPr>
          <w:rFonts w:cs="Arial"/>
        </w:rPr>
        <w:t>signal transduction</w:t>
      </w:r>
      <w:r>
        <w:rPr>
          <w:rFonts w:cs="Arial"/>
        </w:rPr>
        <w:t xml:space="preserve"> </w:t>
      </w:r>
      <w:r w:rsidR="005A5C0A">
        <w:rPr>
          <w:rFonts w:cs="Arial"/>
        </w:rPr>
        <w:t xml:space="preserve">[hours] </w:t>
      </w:r>
      <w:r>
        <w:rPr>
          <w:rFonts w:cs="Arial"/>
        </w:rPr>
        <w:t>versus</w:t>
      </w:r>
      <w:r w:rsidRPr="00F06E94">
        <w:rPr>
          <w:rFonts w:cs="Arial"/>
        </w:rPr>
        <w:t xml:space="preserve"> long</w:t>
      </w:r>
      <w:r>
        <w:rPr>
          <w:rFonts w:cs="Arial"/>
        </w:rPr>
        <w:t>-term processes like</w:t>
      </w:r>
      <w:r w:rsidRPr="00F06E94">
        <w:rPr>
          <w:rFonts w:cs="Arial"/>
        </w:rPr>
        <w:t xml:space="preserve"> </w:t>
      </w:r>
      <w:r>
        <w:rPr>
          <w:rFonts w:cs="Arial"/>
        </w:rPr>
        <w:t xml:space="preserve">changes in cellular </w:t>
      </w:r>
      <w:r w:rsidRPr="00F06E94">
        <w:rPr>
          <w:rFonts w:cs="Arial"/>
        </w:rPr>
        <w:t>phenotyp</w:t>
      </w:r>
      <w:r>
        <w:rPr>
          <w:rFonts w:cs="Arial"/>
        </w:rPr>
        <w:t>e</w:t>
      </w:r>
      <w:r w:rsidR="005A5C0A">
        <w:rPr>
          <w:rFonts w:cs="Arial"/>
        </w:rPr>
        <w:t xml:space="preserve"> [days to 2-3 weeks]</w:t>
      </w:r>
      <w:r w:rsidRPr="00F06E94">
        <w:rPr>
          <w:rFonts w:cs="Arial"/>
        </w:rPr>
        <w:t>) will require the development of novel, multi-scale modeling approaches to cover the relevant dynamic processes correctly. Stochastic transitions between steady-states can be realized by transition state models using Markov networks. However, recent publications</w:t>
      </w:r>
      <w:r w:rsidRPr="00AB0D01">
        <w:rPr>
          <w:rFonts w:cs="Arial"/>
          <w:noProof/>
          <w:vertAlign w:val="superscript"/>
        </w:rPr>
        <w:t>35</w:t>
      </w:r>
      <w:r>
        <w:rPr>
          <w:rFonts w:cs="Arial"/>
        </w:rPr>
        <w:t xml:space="preserve"> </w:t>
      </w:r>
      <w:r w:rsidRPr="00F06E94">
        <w:rPr>
          <w:rFonts w:cs="Arial"/>
        </w:rPr>
        <w:t>indicate that the initiation of stem cell differentiation cannot be described by stationary states. Experimental results suggest that nonlinear dynamic structures, such as limit cycles, play a crucial role in stem cell differentiation. It is assumed that the dynamics can be described by the set of intrinsic attractive states of the cellular regulation network</w:t>
      </w:r>
      <w:r>
        <w:rPr>
          <w:rFonts w:cs="Arial"/>
        </w:rPr>
        <w:t>,</w:t>
      </w:r>
      <w:r w:rsidRPr="00F06E94">
        <w:rPr>
          <w:rFonts w:cs="Arial"/>
        </w:rPr>
        <w:t xml:space="preserve"> comprising negative and positive feedback loops. </w:t>
      </w:r>
    </w:p>
    <w:p w:rsidR="00E452FF" w:rsidRDefault="00E452FF" w:rsidP="00C70B36">
      <w:pPr>
        <w:pStyle w:val="Heading1"/>
        <w:outlineLvl w:val="0"/>
      </w:pPr>
      <w:r w:rsidRPr="004B77B8">
        <w:t>Wor</w:t>
      </w:r>
      <w:r>
        <w:t>king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9847"/>
      </w:tblGrid>
      <w:tr w:rsidR="00E452FF">
        <w:trPr>
          <w:trHeight w:val="3253"/>
        </w:trPr>
        <w:tc>
          <w:tcPr>
            <w:tcW w:w="9847" w:type="dxa"/>
          </w:tcPr>
          <w:p w:rsidR="00E452FF" w:rsidRDefault="00376545" w:rsidP="00824460">
            <w:r>
              <w:rPr>
                <w:noProof/>
              </w:rPr>
              <w:drawing>
                <wp:inline distT="0" distB="0" distL="0" distR="0">
                  <wp:extent cx="6083300" cy="2553335"/>
                  <wp:effectExtent l="25400" t="0" r="0" b="0"/>
                  <wp:docPr id="6" name="Picture 1" descr=":Figures:Workflow_130322upda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Workflow_130322update.tiff"/>
                          <pic:cNvPicPr>
                            <a:picLocks noChangeAspect="1" noChangeArrowheads="1"/>
                          </pic:cNvPicPr>
                        </pic:nvPicPr>
                        <pic:blipFill>
                          <a:blip r:embed="rId9"/>
                          <a:srcRect l="3368" t="22074" r="3450" b="22498"/>
                          <a:stretch>
                            <a:fillRect/>
                          </a:stretch>
                        </pic:blipFill>
                        <pic:spPr bwMode="auto">
                          <a:xfrm>
                            <a:off x="0" y="0"/>
                            <a:ext cx="6083300" cy="2553335"/>
                          </a:xfrm>
                          <a:prstGeom prst="rect">
                            <a:avLst/>
                          </a:prstGeom>
                          <a:noFill/>
                          <a:ln w="9525">
                            <a:noFill/>
                            <a:miter lim="800000"/>
                            <a:headEnd/>
                            <a:tailEnd/>
                          </a:ln>
                        </pic:spPr>
                      </pic:pic>
                    </a:graphicData>
                  </a:graphic>
                </wp:inline>
              </w:drawing>
            </w:r>
          </w:p>
        </w:tc>
      </w:tr>
      <w:tr w:rsidR="00C70B36">
        <w:trPr>
          <w:trHeight w:val="794"/>
        </w:trPr>
        <w:tc>
          <w:tcPr>
            <w:tcW w:w="9847" w:type="dxa"/>
          </w:tcPr>
          <w:p w:rsidR="00C70B36" w:rsidRPr="008E7055" w:rsidRDefault="00C70B36" w:rsidP="00CC1A88">
            <w:pPr>
              <w:rPr>
                <w:b/>
                <w:sz w:val="18"/>
              </w:rPr>
            </w:pPr>
            <w:r w:rsidRPr="000A5401">
              <w:rPr>
                <w:b/>
                <w:sz w:val="18"/>
              </w:rPr>
              <w:t xml:space="preserve">Figure </w:t>
            </w:r>
            <w:r>
              <w:rPr>
                <w:b/>
                <w:sz w:val="18"/>
              </w:rPr>
              <w:t>2</w:t>
            </w:r>
            <w:r w:rsidRPr="000A5401">
              <w:rPr>
                <w:b/>
                <w:sz w:val="18"/>
              </w:rPr>
              <w:t xml:space="preserve">: </w:t>
            </w:r>
            <w:r>
              <w:rPr>
                <w:b/>
                <w:sz w:val="18"/>
              </w:rPr>
              <w:t>Schematic overview of the workflow, including the biological (a), regulatory genomics (b)</w:t>
            </w:r>
            <w:r w:rsidR="00CC1A88">
              <w:rPr>
                <w:b/>
                <w:sz w:val="18"/>
              </w:rPr>
              <w:t>,</w:t>
            </w:r>
            <w:r>
              <w:rPr>
                <w:b/>
                <w:sz w:val="18"/>
              </w:rPr>
              <w:t xml:space="preserve"> modeling (c) </w:t>
            </w:r>
            <w:r w:rsidR="00BC2D81">
              <w:rPr>
                <w:b/>
                <w:sz w:val="18"/>
              </w:rPr>
              <w:t xml:space="preserve">and validation </w:t>
            </w:r>
            <w:r>
              <w:rPr>
                <w:b/>
                <w:sz w:val="18"/>
              </w:rPr>
              <w:t>steps</w:t>
            </w:r>
            <w:r w:rsidR="00CC1A88">
              <w:rPr>
                <w:b/>
                <w:sz w:val="18"/>
              </w:rPr>
              <w:t xml:space="preserve"> (d)</w:t>
            </w:r>
            <w:r>
              <w:rPr>
                <w:b/>
                <w:sz w:val="18"/>
              </w:rPr>
              <w:t>.</w:t>
            </w:r>
          </w:p>
        </w:tc>
      </w:tr>
    </w:tbl>
    <w:p w:rsidR="00C70B36" w:rsidRPr="00F06E94" w:rsidRDefault="00AF3EA7" w:rsidP="00C70B36">
      <w:pPr>
        <w:rPr>
          <w:rFonts w:cs="Arial"/>
        </w:rPr>
      </w:pPr>
      <w:r>
        <w:rPr>
          <w:rFonts w:cs="Arial"/>
        </w:rPr>
        <w:t>T</w:t>
      </w:r>
      <w:r w:rsidR="00C70B36" w:rsidRPr="00F06E94">
        <w:rPr>
          <w:rFonts w:cs="Arial"/>
        </w:rPr>
        <w:t>he model to be developed has to integrate two heterogeneous techniques in a novel approach:</w:t>
      </w:r>
    </w:p>
    <w:p w:rsidR="00C70B36" w:rsidRPr="00DA5D54" w:rsidRDefault="00C70B36" w:rsidP="00F249F3">
      <w:pPr>
        <w:pStyle w:val="ListParagraph"/>
      </w:pPr>
      <w:r w:rsidRPr="00DA5D54">
        <w:t xml:space="preserve">- </w:t>
      </w:r>
      <w:r>
        <w:t xml:space="preserve">In a first step, </w:t>
      </w:r>
      <w:r w:rsidR="00547CD6">
        <w:t xml:space="preserve">the Schuppert group will apply </w:t>
      </w:r>
      <w:r>
        <w:t>m</w:t>
      </w:r>
      <w:r w:rsidRPr="00DA5D54">
        <w:t xml:space="preserve">echanistic modeling, starting from </w:t>
      </w:r>
      <w:r w:rsidR="00605872">
        <w:t xml:space="preserve">a </w:t>
      </w:r>
      <w:r w:rsidRPr="00DA5D54">
        <w:t xml:space="preserve">Boolean network, for representation of the underlying regulatory network </w:t>
      </w:r>
      <w:r>
        <w:t>at</w:t>
      </w:r>
      <w:r w:rsidRPr="00DA5D54">
        <w:t xml:space="preserve"> the molecular level</w:t>
      </w:r>
      <w:r>
        <w:t>, on genome-wide expression data, provided by the Seré group</w:t>
      </w:r>
      <w:r w:rsidR="00F249F3">
        <w:t xml:space="preserve"> (Figure 2a)</w:t>
      </w:r>
      <w:r w:rsidRPr="00DA5D54">
        <w:t xml:space="preserve">. In order to identify the stable steady states, </w:t>
      </w:r>
      <w:r>
        <w:t xml:space="preserve">the </w:t>
      </w:r>
      <w:r w:rsidRPr="00DA5D54">
        <w:t xml:space="preserve">transition states as well as </w:t>
      </w:r>
      <w:r>
        <w:t xml:space="preserve">the </w:t>
      </w:r>
      <w:r w:rsidRPr="00DA5D54">
        <w:t>stable limit cycles of the established signaling network, we will use markov-chain monte carlo techniques. A significant challenge will be the fit of the simulation data to experimental data</w:t>
      </w:r>
      <w:r>
        <w:t>,</w:t>
      </w:r>
      <w:r w:rsidRPr="00DA5D54">
        <w:t xml:space="preserve"> which will be an ill-posed inverse problem. </w:t>
      </w:r>
      <w:r w:rsidR="00F249F3">
        <w:t xml:space="preserve">Additionally, </w:t>
      </w:r>
      <w:r w:rsidR="008F4FBE">
        <w:t xml:space="preserve">the </w:t>
      </w:r>
      <w:r w:rsidR="00F249F3">
        <w:t xml:space="preserve">Costa group will apply </w:t>
      </w:r>
      <w:r w:rsidR="00F249F3" w:rsidRPr="00F249F3">
        <w:t>computational methodologies for uncovering the regulatory network during DC development</w:t>
      </w:r>
      <w:r w:rsidR="00AD1437">
        <w:t>. The</w:t>
      </w:r>
      <w:r w:rsidR="00F249F3">
        <w:t xml:space="preserve"> analysis </w:t>
      </w:r>
      <w:r w:rsidR="00AD1437">
        <w:t>will be based on</w:t>
      </w:r>
      <w:r w:rsidR="00F249F3">
        <w:t xml:space="preserve"> gene expression and </w:t>
      </w:r>
      <w:r w:rsidR="00F249F3" w:rsidRPr="00F249F3">
        <w:t>ChIP-Seq</w:t>
      </w:r>
      <w:r w:rsidR="00F249F3">
        <w:t xml:space="preserve"> data from </w:t>
      </w:r>
      <w:r w:rsidR="00F249F3" w:rsidRPr="00F249F3">
        <w:t>histone modifications and the hemat</w:t>
      </w:r>
      <w:r w:rsidR="00F249F3">
        <w:t>opoietic master regulator Pu.1 (Figure 2b).</w:t>
      </w:r>
      <w:r w:rsidR="00F249F3" w:rsidRPr="00F249F3">
        <w:t xml:space="preserve"> </w:t>
      </w:r>
      <w:r w:rsidR="00F249F3">
        <w:t xml:space="preserve">This will </w:t>
      </w:r>
      <w:r w:rsidR="00547CD6">
        <w:t xml:space="preserve">reduce the </w:t>
      </w:r>
      <w:r w:rsidR="00F249F3" w:rsidRPr="00DA5D54">
        <w:t>ambiguity</w:t>
      </w:r>
      <w:r w:rsidR="00F249F3">
        <w:t xml:space="preserve"> of the network</w:t>
      </w:r>
      <w:r w:rsidR="00605872">
        <w:t>s normally inferred from data</w:t>
      </w:r>
      <w:r w:rsidR="00F249F3">
        <w:t xml:space="preserve">. </w:t>
      </w:r>
      <w:r w:rsidRPr="00F249F3">
        <w:t>For further improvement of stability, we will reduce the dimensionality by appropriate projection on</w:t>
      </w:r>
      <w:r w:rsidRPr="00DA5D54">
        <w:t xml:space="preserve"> subspaces spanned by genome-wide expression patterns</w:t>
      </w:r>
      <w:r w:rsidRPr="00AB0D01">
        <w:rPr>
          <w:noProof/>
          <w:vertAlign w:val="superscript"/>
        </w:rPr>
        <w:t>36</w:t>
      </w:r>
      <w:r>
        <w:t xml:space="preserve">. </w:t>
      </w:r>
      <w:r w:rsidRPr="00DA5D54">
        <w:t>In addition, we will analyze whether compressed sensing will be sufficient to identify the relevant biological mechanisms.</w:t>
      </w:r>
    </w:p>
    <w:p w:rsidR="00C70B36" w:rsidRPr="004F1228" w:rsidRDefault="00C70B36" w:rsidP="00C70B36">
      <w:pPr>
        <w:pStyle w:val="ListParagraph"/>
      </w:pPr>
      <w:r w:rsidRPr="006A70FD">
        <w:rPr>
          <w:color w:val="3366FF"/>
        </w:rPr>
        <w:t xml:space="preserve">- </w:t>
      </w:r>
      <w:r w:rsidRPr="004F1228">
        <w:t xml:space="preserve">In a second step, we will relate the identified network dynamics on the molecular scale to </w:t>
      </w:r>
      <w:r>
        <w:t>the</w:t>
      </w:r>
      <w:r w:rsidRPr="004F1228">
        <w:t xml:space="preserve"> </w:t>
      </w:r>
      <w:r>
        <w:t>phenotypical</w:t>
      </w:r>
      <w:r w:rsidRPr="004F1228">
        <w:t xml:space="preserve"> </w:t>
      </w:r>
      <w:r>
        <w:t>t</w:t>
      </w:r>
      <w:r w:rsidRPr="004F1228">
        <w:t>ransition model</w:t>
      </w:r>
      <w:r>
        <w:t xml:space="preserve"> of MPP progression into CDP</w:t>
      </w:r>
      <w:r w:rsidRPr="004F1228">
        <w:t xml:space="preserve">, using a transition state approach by ergodic averaging of the dynamics. This reduction of the dynamic complexity on the molecular scale to a simple model on the macroscopic scale is critical for establishing </w:t>
      </w:r>
      <w:r>
        <w:t xml:space="preserve">the </w:t>
      </w:r>
      <w:r w:rsidRPr="004F1228">
        <w:t xml:space="preserve">linkage </w:t>
      </w:r>
      <w:r>
        <w:t>between</w:t>
      </w:r>
      <w:r w:rsidRPr="004F1228">
        <w:t xml:space="preserve"> mechanistic dynamic molecular models </w:t>
      </w:r>
      <w:r>
        <w:t>and</w:t>
      </w:r>
      <w:r w:rsidRPr="004F1228">
        <w:t xml:space="preserve"> macroscopic cell development</w:t>
      </w:r>
      <w:r>
        <w:t xml:space="preserve"> (MPP to CDP transition)</w:t>
      </w:r>
      <w:r w:rsidRPr="004F1228">
        <w:t>. Establishing an efficient averaging procedure will close the gap between short-term molecular mechanisms and long-term processes</w:t>
      </w:r>
      <w:r w:rsidR="00E9679B">
        <w:t xml:space="preserve"> (Figure 2c)</w:t>
      </w:r>
      <w:r>
        <w:t>.</w:t>
      </w:r>
      <w:r w:rsidRPr="004F1228">
        <w:t xml:space="preserve"> </w:t>
      </w:r>
    </w:p>
    <w:p w:rsidR="00C70B36" w:rsidRPr="00DD6429" w:rsidRDefault="00C70B36" w:rsidP="00C70B36">
      <w:pPr>
        <w:pStyle w:val="ListParagraph"/>
      </w:pPr>
      <w:r w:rsidRPr="00DD6429">
        <w:t>- To complement the abovementioned semi-mechanistic multi-scale models, we will apply our recently established PhysioSpace method to map the identified stem cell differentiation dynamics onto a genome-wide</w:t>
      </w:r>
      <w:r w:rsidR="00547CD6">
        <w:t xml:space="preserve"> </w:t>
      </w:r>
      <w:r w:rsidRPr="00DD6429">
        <w:t xml:space="preserve">background. </w:t>
      </w:r>
      <w:r w:rsidR="00547CD6">
        <w:t>Initial data suggest that t</w:t>
      </w:r>
      <w:r w:rsidRPr="00DD6429">
        <w:t xml:space="preserve">his approach </w:t>
      </w:r>
      <w:r w:rsidR="00547CD6">
        <w:t>can be</w:t>
      </w:r>
      <w:r w:rsidRPr="00DD6429">
        <w:t xml:space="preserve"> successfully applied to stem cell differentiation experiments</w:t>
      </w:r>
      <w:r>
        <w:t xml:space="preserve"> (</w:t>
      </w:r>
      <w:r w:rsidR="00547CD6">
        <w:t xml:space="preserve">AS and B. </w:t>
      </w:r>
      <w:r>
        <w:t>Sc</w:t>
      </w:r>
      <w:bookmarkStart w:id="0" w:name="_GoBack"/>
      <w:bookmarkEnd w:id="0"/>
      <w:r>
        <w:t xml:space="preserve">huldt, </w:t>
      </w:r>
      <w:r w:rsidR="00547CD6">
        <w:t>unpublished</w:t>
      </w:r>
      <w:r w:rsidRPr="00E8047F">
        <w:t>). In this</w:t>
      </w:r>
      <w:r w:rsidRPr="00DD6429">
        <w:t xml:space="preserve"> project</w:t>
      </w:r>
      <w:r>
        <w:t>,</w:t>
      </w:r>
      <w:r w:rsidRPr="00DD6429">
        <w:t xml:space="preserve"> we will </w:t>
      </w:r>
      <w:r>
        <w:t xml:space="preserve">for the </w:t>
      </w:r>
      <w:r w:rsidRPr="00DD6429">
        <w:t>first time relate the molecular dynamics via gene-set enrichment and pathway-enrichment to the observed genome-wide cell dynamics.</w:t>
      </w:r>
    </w:p>
    <w:p w:rsidR="00C70B36" w:rsidRDefault="00C70B36" w:rsidP="00C70B36">
      <w:pPr>
        <w:pStyle w:val="ListParagraph"/>
        <w:rPr>
          <w:rFonts w:cs="Arial"/>
        </w:rPr>
      </w:pPr>
      <w:r w:rsidRPr="00DD6429">
        <w:rPr>
          <w:rFonts w:cs="Arial"/>
        </w:rPr>
        <w:t>- Establishment of th</w:t>
      </w:r>
      <w:r>
        <w:rPr>
          <w:rFonts w:cs="Arial"/>
        </w:rPr>
        <w:t>e</w:t>
      </w:r>
      <w:r w:rsidRPr="00DD6429">
        <w:rPr>
          <w:rFonts w:cs="Arial"/>
        </w:rPr>
        <w:t xml:space="preserve"> </w:t>
      </w:r>
      <w:r>
        <w:rPr>
          <w:rFonts w:cs="Arial"/>
        </w:rPr>
        <w:t xml:space="preserve">described </w:t>
      </w:r>
      <w:r w:rsidRPr="00DD6429">
        <w:rPr>
          <w:rFonts w:cs="Arial"/>
        </w:rPr>
        <w:t xml:space="preserve">network-based model allows </w:t>
      </w:r>
      <w:r>
        <w:rPr>
          <w:rFonts w:cs="Arial"/>
        </w:rPr>
        <w:t xml:space="preserve">to </w:t>
      </w:r>
      <w:r w:rsidRPr="00DD6429">
        <w:rPr>
          <w:rFonts w:cs="Arial"/>
        </w:rPr>
        <w:t xml:space="preserve">predict the outcome of biological experiments, for example </w:t>
      </w:r>
      <w:r>
        <w:rPr>
          <w:rFonts w:cs="Arial"/>
        </w:rPr>
        <w:t xml:space="preserve">the application of environmental stress to a cell (e.g. inflammation or drug treatment) </w:t>
      </w:r>
      <w:r w:rsidRPr="00DD6429">
        <w:rPr>
          <w:rFonts w:cs="Arial"/>
        </w:rPr>
        <w:t xml:space="preserve">or the effect of gene </w:t>
      </w:r>
      <w:r>
        <w:rPr>
          <w:rFonts w:cs="Arial"/>
        </w:rPr>
        <w:t xml:space="preserve">dosage on cell differentiation (i.e. gene </w:t>
      </w:r>
      <w:r w:rsidRPr="00DD6429">
        <w:rPr>
          <w:rFonts w:cs="Arial"/>
        </w:rPr>
        <w:t xml:space="preserve">knockout </w:t>
      </w:r>
      <w:r>
        <w:rPr>
          <w:rFonts w:cs="Arial"/>
        </w:rPr>
        <w:t>or</w:t>
      </w:r>
      <w:r w:rsidRPr="00DD6429">
        <w:rPr>
          <w:rFonts w:cs="Arial"/>
        </w:rPr>
        <w:t xml:space="preserve"> overexpression</w:t>
      </w:r>
      <w:r>
        <w:rPr>
          <w:rFonts w:cs="Arial"/>
        </w:rPr>
        <w:t>)</w:t>
      </w:r>
      <w:r w:rsidRPr="00DD6429">
        <w:rPr>
          <w:rFonts w:cs="Arial"/>
        </w:rPr>
        <w:t>. These predictions will be validated by retrospective analy</w:t>
      </w:r>
      <w:r w:rsidR="00BC2D81">
        <w:rPr>
          <w:rFonts w:cs="Arial"/>
        </w:rPr>
        <w:t xml:space="preserve">sis of publicly available data and by </w:t>
      </w:r>
      <w:r w:rsidRPr="00DD6429">
        <w:rPr>
          <w:rFonts w:cs="Arial"/>
        </w:rPr>
        <w:t>experiments using</w:t>
      </w:r>
      <w:r w:rsidR="00BC2D81">
        <w:rPr>
          <w:rFonts w:cs="Arial"/>
        </w:rPr>
        <w:t xml:space="preserve"> in vivo and in vitro biological model systems (Figure 2d)</w:t>
      </w:r>
      <w:r w:rsidRPr="00DD6429">
        <w:rPr>
          <w:rFonts w:cs="Arial"/>
        </w:rPr>
        <w:t xml:space="preserve">. </w:t>
      </w:r>
    </w:p>
    <w:p w:rsidR="00E452FF" w:rsidRPr="004B77B8" w:rsidRDefault="00E452FF" w:rsidP="00824460">
      <w:pPr>
        <w:pStyle w:val="Heading1"/>
        <w:outlineLvl w:val="0"/>
      </w:pPr>
      <w:r w:rsidRPr="004B77B8">
        <w:t>Financi</w:t>
      </w:r>
      <w:r>
        <w:t>al Plan</w:t>
      </w:r>
    </w:p>
    <w:p w:rsidR="00E452FF" w:rsidRDefault="00E452FF" w:rsidP="00824460">
      <w:r>
        <w:t xml:space="preserve">Given the highly specialized modeling work and the limited time frame, </w:t>
      </w:r>
      <w:r w:rsidR="00DE7B0E">
        <w:t xml:space="preserve">the main part of the funding will be </w:t>
      </w:r>
      <w:r>
        <w:t>a 1-year post-doc position</w:t>
      </w:r>
      <w:r w:rsidR="00DE7B0E">
        <w:t xml:space="preserve"> (60.000 </w:t>
      </w:r>
      <w:r w:rsidR="00AD1437">
        <w:t>Euro</w:t>
      </w:r>
      <w:r w:rsidR="00DE7B0E">
        <w:t>). For t</w:t>
      </w:r>
      <w:r w:rsidR="00AD1437">
        <w:t>he biological validation (micro</w:t>
      </w:r>
      <w:r w:rsidR="00DE7B0E">
        <w:t xml:space="preserve">array analysis, ChIP-Seq, in vitro </w:t>
      </w:r>
      <w:r w:rsidR="00AD1437">
        <w:t>cell culture, work with knockout mice</w:t>
      </w:r>
      <w:r w:rsidR="00DE7B0E">
        <w:t>) we</w:t>
      </w:r>
      <w:r w:rsidR="00AD1437">
        <w:t xml:space="preserve"> request an additional 20.000 Euro (growth factors, tissue culture medium, Affymetrix GeneChip arrays, antibodies for ChIP). The costs for a technician performing the biological validation will be covered by institutional funding.</w:t>
      </w:r>
    </w:p>
    <w:p w:rsidR="00E452FF" w:rsidRPr="004B77B8" w:rsidRDefault="00E452FF" w:rsidP="00824460">
      <w:pPr>
        <w:pStyle w:val="Heading1"/>
        <w:outlineLvl w:val="0"/>
      </w:pPr>
      <w:r w:rsidRPr="004B77B8">
        <w:t xml:space="preserve">Expected Long </w:t>
      </w:r>
      <w:r>
        <w:t>Term Impact</w:t>
      </w:r>
    </w:p>
    <w:p w:rsidR="00E452FF" w:rsidRPr="006A5D95" w:rsidRDefault="00E452FF" w:rsidP="00824460">
      <w:pPr>
        <w:rPr>
          <w:rFonts w:cs="Arial"/>
        </w:rPr>
      </w:pPr>
      <w:r w:rsidRPr="006A5D95">
        <w:rPr>
          <w:rFonts w:cs="Arial"/>
        </w:rPr>
        <w:t>Integrating the three modeling steps described above, we aim to establish</w:t>
      </w:r>
      <w:r>
        <w:rPr>
          <w:rFonts w:cs="Arial"/>
        </w:rPr>
        <w:t xml:space="preserve"> for the</w:t>
      </w:r>
      <w:r w:rsidRPr="006A5D95">
        <w:rPr>
          <w:rFonts w:cs="Arial"/>
        </w:rPr>
        <w:t xml:space="preserve"> first time a closed model framework, linking molecular dynamics and macroscopic cell dynamics. </w:t>
      </w:r>
      <w:r>
        <w:rPr>
          <w:rFonts w:cs="Arial"/>
        </w:rPr>
        <w:t>Hematopoietic cell fate decisions</w:t>
      </w:r>
      <w:r w:rsidRPr="006A5D95">
        <w:rPr>
          <w:rFonts w:cs="Arial"/>
        </w:rPr>
        <w:t xml:space="preserve"> </w:t>
      </w:r>
      <w:r>
        <w:rPr>
          <w:rFonts w:cs="Arial"/>
        </w:rPr>
        <w:t>provide</w:t>
      </w:r>
      <w:r w:rsidRPr="006A5D95">
        <w:rPr>
          <w:rFonts w:cs="Arial"/>
        </w:rPr>
        <w:t xml:space="preserve"> an ideal system for conceptual model development, as the underlying dynamical features dominate drug efficacy, toxicology or even induced stress tolerance in plants. Although our model system appears to be simple enough to allow a proof of concept throughout the project, it provides perfect options for dissemination into a broad range of application areas.</w:t>
      </w:r>
    </w:p>
    <w:p w:rsidR="00E452FF" w:rsidRPr="006E4F39" w:rsidRDefault="00E452FF" w:rsidP="00824460">
      <w:r>
        <w:t>Computational Biomedicine is a rapidly arising area of research at RWTH Aachen</w:t>
      </w:r>
      <w:r w:rsidR="008F1A50">
        <w:t xml:space="preserve"> University</w:t>
      </w:r>
      <w:r>
        <w:t>. It integrates the strengths in</w:t>
      </w:r>
      <w:r w:rsidR="0042279D">
        <w:t xml:space="preserve"> (i)</w:t>
      </w:r>
      <w:r w:rsidR="008F1A50">
        <w:t xml:space="preserve"> Mode</w:t>
      </w:r>
      <w:r w:rsidR="00EA28C9">
        <w:t>ling &amp; Simulation Sciences</w:t>
      </w:r>
      <w:r>
        <w:t xml:space="preserve"> e.g. at the Center for </w:t>
      </w:r>
      <w:r w:rsidR="008F1A50">
        <w:t>Computational Engineering Scie</w:t>
      </w:r>
      <w:r>
        <w:t>nce (CCES</w:t>
      </w:r>
      <w:r w:rsidR="008F1A50">
        <w:t>) and the Aachen Institute for A</w:t>
      </w:r>
      <w:r>
        <w:t>dvanced Study in Computation</w:t>
      </w:r>
      <w:r w:rsidR="0042279D">
        <w:t>al Engineering Sciences (AICES), (ii)</w:t>
      </w:r>
      <w:r>
        <w:t xml:space="preserve"> </w:t>
      </w:r>
      <w:r w:rsidR="0042279D">
        <w:t xml:space="preserve">the newly established IZKF Computational Biology Research group </w:t>
      </w:r>
      <w:r>
        <w:t xml:space="preserve">and </w:t>
      </w:r>
      <w:r w:rsidR="0042279D">
        <w:t xml:space="preserve">(iii) </w:t>
      </w:r>
      <w:r>
        <w:t>biomedical research</w:t>
      </w:r>
      <w:r w:rsidR="00EA28C9">
        <w:t xml:space="preserve"> in stem cell biology, genomics and systems biology</w:t>
      </w:r>
      <w:r>
        <w:t xml:space="preserve">. Hence, it brings together the engineering and </w:t>
      </w:r>
      <w:r w:rsidR="008F1A50">
        <w:t>bio</w:t>
      </w:r>
      <w:r>
        <w:t xml:space="preserve">medical competences at </w:t>
      </w:r>
      <w:r w:rsidR="008F1A50">
        <w:t>RWTH Aachen University</w:t>
      </w:r>
      <w:r>
        <w:t xml:space="preserve">, which perfectly fits to </w:t>
      </w:r>
      <w:r w:rsidR="008F1A50">
        <w:t xml:space="preserve">the long-term </w:t>
      </w:r>
      <w:r>
        <w:t xml:space="preserve">strategies of both </w:t>
      </w:r>
      <w:r w:rsidR="008F1A50">
        <w:t>RWTH Aachen University</w:t>
      </w:r>
      <w:r>
        <w:t xml:space="preserve"> and </w:t>
      </w:r>
      <w:r w:rsidR="008F1A50">
        <w:t xml:space="preserve">its </w:t>
      </w:r>
      <w:r>
        <w:t>Medical Schoo</w:t>
      </w:r>
      <w:r w:rsidR="00EA28C9">
        <w:t>l</w:t>
      </w:r>
      <w:r>
        <w:t xml:space="preserve">. </w:t>
      </w:r>
    </w:p>
    <w:p w:rsidR="00E452FF" w:rsidRDefault="008E7055" w:rsidP="00824460">
      <w:pPr>
        <w:pStyle w:val="Heading1"/>
        <w:outlineLvl w:val="0"/>
      </w:pPr>
      <w:r>
        <w:br w:type="page"/>
      </w:r>
      <w:r w:rsidR="00E452FF">
        <w:t>References</w:t>
      </w:r>
      <w:r w:rsidR="00BD5808">
        <w:t xml:space="preserve"> </w:t>
      </w:r>
      <w:r w:rsidR="00BD5808" w:rsidRPr="00BD5808">
        <w:rPr>
          <w:b w:val="0"/>
          <w:sz w:val="20"/>
        </w:rPr>
        <w:t xml:space="preserve">(references of applicants are in </w:t>
      </w:r>
      <w:r w:rsidR="00BD5808" w:rsidRPr="00435E25">
        <w:rPr>
          <w:sz w:val="20"/>
        </w:rPr>
        <w:t>bold</w:t>
      </w:r>
      <w:r w:rsidR="00BD5808" w:rsidRPr="00BD5808">
        <w:rPr>
          <w:b w:val="0"/>
          <w:sz w:val="20"/>
        </w:rPr>
        <w:t>)</w:t>
      </w:r>
    </w:p>
    <w:p w:rsidR="00E452FF" w:rsidRPr="00AB0D01" w:rsidRDefault="00E452FF" w:rsidP="00824460">
      <w:pPr>
        <w:pStyle w:val="references"/>
        <w:ind w:left="284" w:hanging="284"/>
        <w:rPr>
          <w:noProof/>
        </w:rPr>
      </w:pPr>
      <w:r w:rsidRPr="00AB0D01">
        <w:rPr>
          <w:b/>
          <w:noProof/>
        </w:rPr>
        <w:t>1</w:t>
      </w:r>
      <w:r w:rsidRPr="00AB0D01">
        <w:rPr>
          <w:b/>
          <w:noProof/>
        </w:rPr>
        <w:tab/>
      </w:r>
      <w:r w:rsidRPr="00AB0D01">
        <w:rPr>
          <w:noProof/>
        </w:rPr>
        <w:t xml:space="preserve">Orkin, S.H. and Zon, L.I. (2008) Hematopoiesis: an evolving paradigm for stem cell biology. </w:t>
      </w:r>
      <w:r w:rsidRPr="00AB0D01">
        <w:rPr>
          <w:i/>
          <w:noProof/>
        </w:rPr>
        <w:t>Cell</w:t>
      </w:r>
      <w:r w:rsidR="00C75F03">
        <w:rPr>
          <w:noProof/>
        </w:rPr>
        <w:t xml:space="preserve"> 132</w:t>
      </w:r>
      <w:r w:rsidRPr="00AB0D01">
        <w:rPr>
          <w:noProof/>
        </w:rPr>
        <w:t>, 631-644</w:t>
      </w:r>
    </w:p>
    <w:p w:rsidR="00E452FF" w:rsidRPr="00FC5F8D" w:rsidRDefault="00E452FF" w:rsidP="00824460">
      <w:pPr>
        <w:pStyle w:val="references"/>
        <w:ind w:left="284" w:hanging="284"/>
        <w:rPr>
          <w:noProof/>
          <w:lang w:val="de-DE"/>
        </w:rPr>
      </w:pPr>
      <w:r w:rsidRPr="00AB0D01">
        <w:rPr>
          <w:b/>
          <w:noProof/>
        </w:rPr>
        <w:t>2</w:t>
      </w:r>
      <w:r w:rsidRPr="00AB0D01">
        <w:rPr>
          <w:b/>
          <w:noProof/>
        </w:rPr>
        <w:tab/>
      </w:r>
      <w:r w:rsidR="00C75F03" w:rsidRPr="00C75F03">
        <w:rPr>
          <w:noProof/>
        </w:rPr>
        <w:t>Hashimoto, D. et al. (2011) Dendritic cell and macrophage hetero</w:t>
      </w:r>
      <w:r w:rsidR="00C75F03">
        <w:rPr>
          <w:noProof/>
        </w:rPr>
        <w:t xml:space="preserve">geneity in vivo. </w:t>
      </w:r>
      <w:r w:rsidR="00C75F03" w:rsidRPr="00112A47">
        <w:rPr>
          <w:i/>
          <w:noProof/>
        </w:rPr>
        <w:t>Immunity</w:t>
      </w:r>
      <w:r w:rsidR="00C75F03">
        <w:rPr>
          <w:noProof/>
        </w:rPr>
        <w:t xml:space="preserve"> 35</w:t>
      </w:r>
      <w:r w:rsidR="00C75F03" w:rsidRPr="00C75F03">
        <w:rPr>
          <w:noProof/>
        </w:rPr>
        <w:t>, 323-335</w:t>
      </w:r>
    </w:p>
    <w:p w:rsidR="00E452FF" w:rsidRPr="00AB0D01" w:rsidRDefault="00E452FF" w:rsidP="00824460">
      <w:pPr>
        <w:pStyle w:val="references"/>
        <w:ind w:left="284" w:hanging="284"/>
        <w:rPr>
          <w:noProof/>
        </w:rPr>
      </w:pPr>
      <w:r w:rsidRPr="00FC5F8D">
        <w:rPr>
          <w:b/>
          <w:noProof/>
          <w:lang w:val="de-DE"/>
        </w:rPr>
        <w:t>3</w:t>
      </w:r>
      <w:r w:rsidRPr="00FC5F8D">
        <w:rPr>
          <w:b/>
          <w:noProof/>
          <w:lang w:val="de-DE"/>
        </w:rPr>
        <w:tab/>
      </w:r>
      <w:r w:rsidRPr="00FC5F8D">
        <w:rPr>
          <w:noProof/>
          <w:lang w:val="de-DE"/>
        </w:rPr>
        <w:t>Schmid, M.A.</w:t>
      </w:r>
      <w:r w:rsidRPr="00FC5F8D">
        <w:rPr>
          <w:i/>
          <w:noProof/>
          <w:lang w:val="de-DE"/>
        </w:rPr>
        <w:t xml:space="preserve"> et al.</w:t>
      </w:r>
      <w:r w:rsidRPr="00FC5F8D">
        <w:rPr>
          <w:noProof/>
          <w:lang w:val="de-DE"/>
        </w:rPr>
        <w:t xml:space="preserve"> </w:t>
      </w:r>
      <w:r w:rsidRPr="00AB0D01">
        <w:rPr>
          <w:noProof/>
        </w:rPr>
        <w:t xml:space="preserve">(2010) Instructive cytokine signals in dendritic cell lineage commitment. </w:t>
      </w:r>
      <w:r w:rsidRPr="00AB0D01">
        <w:rPr>
          <w:i/>
          <w:noProof/>
        </w:rPr>
        <w:t>Immunol Rev</w:t>
      </w:r>
      <w:r w:rsidR="00C75F03">
        <w:rPr>
          <w:noProof/>
        </w:rPr>
        <w:t xml:space="preserve"> 234</w:t>
      </w:r>
      <w:r w:rsidRPr="00AB0D01">
        <w:rPr>
          <w:noProof/>
        </w:rPr>
        <w:t>, 32-44</w:t>
      </w:r>
    </w:p>
    <w:p w:rsidR="00E452FF" w:rsidRPr="00AB0D01" w:rsidRDefault="00E452FF" w:rsidP="00824460">
      <w:pPr>
        <w:pStyle w:val="references"/>
        <w:ind w:left="284" w:hanging="284"/>
        <w:rPr>
          <w:noProof/>
        </w:rPr>
      </w:pPr>
      <w:r w:rsidRPr="00AB0D01">
        <w:rPr>
          <w:b/>
          <w:noProof/>
        </w:rPr>
        <w:t>4</w:t>
      </w:r>
      <w:r w:rsidRPr="00AB0D01">
        <w:rPr>
          <w:b/>
          <w:noProof/>
        </w:rPr>
        <w:tab/>
      </w:r>
      <w:r w:rsidRPr="00AB0D01">
        <w:rPr>
          <w:noProof/>
        </w:rPr>
        <w:t>Satpathy, A.T.</w:t>
      </w:r>
      <w:r w:rsidRPr="00AB0D01">
        <w:rPr>
          <w:i/>
          <w:noProof/>
        </w:rPr>
        <w:t xml:space="preserve"> et al.</w:t>
      </w:r>
      <w:r w:rsidRPr="00AB0D01">
        <w:rPr>
          <w:noProof/>
        </w:rPr>
        <w:t xml:space="preserve"> (2012) Re(de)fining the dendritic cell lineage. </w:t>
      </w:r>
      <w:r w:rsidRPr="00AB0D01">
        <w:rPr>
          <w:i/>
          <w:noProof/>
        </w:rPr>
        <w:t>Nat Immunol</w:t>
      </w:r>
      <w:r w:rsidR="00C75F03">
        <w:rPr>
          <w:noProof/>
        </w:rPr>
        <w:t xml:space="preserve"> 13</w:t>
      </w:r>
      <w:r w:rsidRPr="00AB0D01">
        <w:rPr>
          <w:noProof/>
        </w:rPr>
        <w:t>, 1145-1154</w:t>
      </w:r>
    </w:p>
    <w:p w:rsidR="00E452FF" w:rsidRPr="00AB0D01" w:rsidRDefault="00E452FF" w:rsidP="00824460">
      <w:pPr>
        <w:pStyle w:val="references"/>
        <w:ind w:left="284" w:hanging="284"/>
        <w:rPr>
          <w:noProof/>
        </w:rPr>
      </w:pPr>
      <w:r w:rsidRPr="00AB0D01">
        <w:rPr>
          <w:b/>
          <w:noProof/>
        </w:rPr>
        <w:t>5</w:t>
      </w:r>
      <w:r w:rsidRPr="00AB0D01">
        <w:rPr>
          <w:b/>
          <w:noProof/>
        </w:rPr>
        <w:tab/>
      </w:r>
      <w:r w:rsidRPr="00AB0D01">
        <w:rPr>
          <w:noProof/>
        </w:rPr>
        <w:t xml:space="preserve">Lee, T.I. and Young, R.A. (2013) Transcriptional regulation and its misregulation in disease. </w:t>
      </w:r>
      <w:r w:rsidRPr="00AB0D01">
        <w:rPr>
          <w:i/>
          <w:noProof/>
        </w:rPr>
        <w:t>Cell</w:t>
      </w:r>
      <w:r w:rsidR="00C75F03">
        <w:rPr>
          <w:noProof/>
        </w:rPr>
        <w:t xml:space="preserve"> 152</w:t>
      </w:r>
      <w:r w:rsidRPr="00AB0D01">
        <w:rPr>
          <w:noProof/>
        </w:rPr>
        <w:t>, 1237-1251</w:t>
      </w:r>
    </w:p>
    <w:p w:rsidR="00E452FF" w:rsidRPr="00AB0D01" w:rsidRDefault="00E452FF" w:rsidP="00824460">
      <w:pPr>
        <w:pStyle w:val="references"/>
        <w:ind w:left="284" w:hanging="284"/>
        <w:rPr>
          <w:noProof/>
        </w:rPr>
      </w:pPr>
      <w:r w:rsidRPr="00AB0D01">
        <w:rPr>
          <w:b/>
          <w:noProof/>
        </w:rPr>
        <w:t>6</w:t>
      </w:r>
      <w:r w:rsidRPr="00AB0D01">
        <w:rPr>
          <w:b/>
          <w:noProof/>
        </w:rPr>
        <w:tab/>
      </w:r>
      <w:r w:rsidRPr="00AB0D01">
        <w:rPr>
          <w:noProof/>
        </w:rPr>
        <w:t>Heinz, S.</w:t>
      </w:r>
      <w:r w:rsidRPr="00AB0D01">
        <w:rPr>
          <w:i/>
          <w:noProof/>
        </w:rPr>
        <w:t xml:space="preserve"> et al.</w:t>
      </w:r>
      <w:r w:rsidRPr="00AB0D01">
        <w:rPr>
          <w:noProof/>
        </w:rPr>
        <w:t xml:space="preserve"> (2010) Simple combinations of lineage-determining transcription factors prime cis-regulatory elements required for macrophage and B cell identities. </w:t>
      </w:r>
      <w:r w:rsidRPr="00AB0D01">
        <w:rPr>
          <w:i/>
          <w:noProof/>
        </w:rPr>
        <w:t>Mol Cell</w:t>
      </w:r>
      <w:r w:rsidR="00C75F03">
        <w:rPr>
          <w:noProof/>
        </w:rPr>
        <w:t xml:space="preserve"> 38</w:t>
      </w:r>
      <w:r w:rsidRPr="00AB0D01">
        <w:rPr>
          <w:noProof/>
        </w:rPr>
        <w:t>, 576-589</w:t>
      </w:r>
    </w:p>
    <w:p w:rsidR="00E452FF" w:rsidRPr="00AB0D01" w:rsidRDefault="00E452FF" w:rsidP="00824460">
      <w:pPr>
        <w:pStyle w:val="references"/>
        <w:ind w:left="284" w:hanging="284"/>
        <w:rPr>
          <w:noProof/>
        </w:rPr>
      </w:pPr>
      <w:r w:rsidRPr="00AB0D01">
        <w:rPr>
          <w:b/>
          <w:noProof/>
        </w:rPr>
        <w:t>7</w:t>
      </w:r>
      <w:r w:rsidRPr="00AB0D01">
        <w:rPr>
          <w:b/>
          <w:noProof/>
        </w:rPr>
        <w:tab/>
      </w:r>
      <w:r w:rsidRPr="00AB0D01">
        <w:rPr>
          <w:noProof/>
        </w:rPr>
        <w:t>Carotta, S.</w:t>
      </w:r>
      <w:r w:rsidRPr="00AB0D01">
        <w:rPr>
          <w:i/>
          <w:noProof/>
        </w:rPr>
        <w:t xml:space="preserve"> et al.</w:t>
      </w:r>
      <w:r w:rsidRPr="00AB0D01">
        <w:rPr>
          <w:noProof/>
        </w:rPr>
        <w:t xml:space="preserve"> (2010) The transcription factor PU.1 controls dendritic cell development and Flt3 cytokine receptor expression in a dose-dependent manner. </w:t>
      </w:r>
      <w:r w:rsidRPr="00AB0D01">
        <w:rPr>
          <w:i/>
          <w:noProof/>
        </w:rPr>
        <w:t>Immunity</w:t>
      </w:r>
      <w:r w:rsidR="00C75F03">
        <w:rPr>
          <w:noProof/>
        </w:rPr>
        <w:t xml:space="preserve"> 32</w:t>
      </w:r>
      <w:r w:rsidRPr="00AB0D01">
        <w:rPr>
          <w:noProof/>
        </w:rPr>
        <w:t>, 628-641</w:t>
      </w:r>
    </w:p>
    <w:p w:rsidR="00E452FF" w:rsidRPr="00AB0D01" w:rsidRDefault="00E452FF" w:rsidP="00824460">
      <w:pPr>
        <w:pStyle w:val="references"/>
        <w:ind w:left="284" w:hanging="284"/>
        <w:rPr>
          <w:noProof/>
        </w:rPr>
      </w:pPr>
      <w:r w:rsidRPr="00AB0D01">
        <w:rPr>
          <w:b/>
          <w:noProof/>
        </w:rPr>
        <w:t>8</w:t>
      </w:r>
      <w:r w:rsidRPr="00AB0D01">
        <w:rPr>
          <w:b/>
          <w:noProof/>
        </w:rPr>
        <w:tab/>
      </w:r>
      <w:r w:rsidRPr="00AB0D01">
        <w:rPr>
          <w:noProof/>
        </w:rPr>
        <w:t>Kim, J.</w:t>
      </w:r>
      <w:r w:rsidRPr="00AB0D01">
        <w:rPr>
          <w:i/>
          <w:noProof/>
        </w:rPr>
        <w:t xml:space="preserve"> et al.</w:t>
      </w:r>
      <w:r w:rsidRPr="00AB0D01">
        <w:rPr>
          <w:noProof/>
        </w:rPr>
        <w:t xml:space="preserve"> (2008) An extended transcriptional network for pluripotency of embryonic stem cells. </w:t>
      </w:r>
      <w:r w:rsidRPr="00AB0D01">
        <w:rPr>
          <w:i/>
          <w:noProof/>
        </w:rPr>
        <w:t>Cell</w:t>
      </w:r>
      <w:r w:rsidRPr="00AB0D01">
        <w:rPr>
          <w:noProof/>
        </w:rPr>
        <w:t xml:space="preserve"> 132, 1049-1061</w:t>
      </w:r>
    </w:p>
    <w:p w:rsidR="00E452FF" w:rsidRPr="00AB0D01" w:rsidRDefault="00E452FF" w:rsidP="00824460">
      <w:pPr>
        <w:pStyle w:val="references"/>
        <w:ind w:left="284" w:hanging="284"/>
        <w:rPr>
          <w:noProof/>
        </w:rPr>
      </w:pPr>
      <w:r w:rsidRPr="00AB0D01">
        <w:rPr>
          <w:b/>
          <w:noProof/>
        </w:rPr>
        <w:t>9</w:t>
      </w:r>
      <w:r w:rsidRPr="00AB0D01">
        <w:rPr>
          <w:b/>
          <w:noProof/>
        </w:rPr>
        <w:tab/>
      </w:r>
      <w:r w:rsidRPr="00AB0D01">
        <w:rPr>
          <w:noProof/>
        </w:rPr>
        <w:t>Garber, M.</w:t>
      </w:r>
      <w:r w:rsidRPr="00AB0D01">
        <w:rPr>
          <w:i/>
          <w:noProof/>
        </w:rPr>
        <w:t xml:space="preserve"> et al.</w:t>
      </w:r>
      <w:r w:rsidRPr="00AB0D01">
        <w:rPr>
          <w:noProof/>
        </w:rPr>
        <w:t xml:space="preserve"> (2012) A high-throughput chromatin immunoprecipitation approach reveals principles of dynamic gene regulation in mammals. </w:t>
      </w:r>
      <w:r w:rsidRPr="00AB0D01">
        <w:rPr>
          <w:i/>
          <w:noProof/>
        </w:rPr>
        <w:t>Molecular cell</w:t>
      </w:r>
      <w:r w:rsidRPr="00AB0D01">
        <w:rPr>
          <w:noProof/>
        </w:rPr>
        <w:t xml:space="preserve"> 47, 810-822</w:t>
      </w:r>
    </w:p>
    <w:p w:rsidR="00E452FF" w:rsidRPr="00AB0D01" w:rsidRDefault="00E452FF" w:rsidP="00824460">
      <w:pPr>
        <w:pStyle w:val="references"/>
        <w:ind w:left="284" w:hanging="284"/>
        <w:rPr>
          <w:noProof/>
        </w:rPr>
      </w:pPr>
      <w:r w:rsidRPr="00AB0D01">
        <w:rPr>
          <w:b/>
          <w:noProof/>
        </w:rPr>
        <w:t>10</w:t>
      </w:r>
      <w:r w:rsidRPr="00AB0D01">
        <w:rPr>
          <w:b/>
          <w:noProof/>
        </w:rPr>
        <w:tab/>
      </w:r>
      <w:r w:rsidRPr="00AB0D01">
        <w:rPr>
          <w:noProof/>
        </w:rPr>
        <w:t>Ouyang, Z.</w:t>
      </w:r>
      <w:r w:rsidRPr="00AB0D01">
        <w:rPr>
          <w:i/>
          <w:noProof/>
        </w:rPr>
        <w:t xml:space="preserve"> et al.</w:t>
      </w:r>
      <w:r w:rsidRPr="00AB0D01">
        <w:rPr>
          <w:noProof/>
        </w:rPr>
        <w:t xml:space="preserve"> (2009) ChIP-Seq of transcription factors predicts absolute and differential gene expression in embryonic stem cells. </w:t>
      </w:r>
      <w:r w:rsidRPr="00AB0D01">
        <w:rPr>
          <w:i/>
          <w:noProof/>
        </w:rPr>
        <w:t>PNAS</w:t>
      </w:r>
      <w:r w:rsidRPr="00AB0D01">
        <w:rPr>
          <w:noProof/>
        </w:rPr>
        <w:t xml:space="preserve"> 106, 21521-21526</w:t>
      </w:r>
    </w:p>
    <w:p w:rsidR="00E452FF" w:rsidRPr="00AB0D01" w:rsidRDefault="00E452FF" w:rsidP="00824460">
      <w:pPr>
        <w:pStyle w:val="references"/>
        <w:ind w:left="284" w:hanging="284"/>
        <w:rPr>
          <w:noProof/>
        </w:rPr>
      </w:pPr>
      <w:r w:rsidRPr="00AB0D01">
        <w:rPr>
          <w:b/>
          <w:noProof/>
        </w:rPr>
        <w:t>11</w:t>
      </w:r>
      <w:r w:rsidRPr="00AB0D01">
        <w:rPr>
          <w:b/>
          <w:noProof/>
        </w:rPr>
        <w:tab/>
      </w:r>
      <w:r w:rsidRPr="00AB0D01">
        <w:rPr>
          <w:noProof/>
        </w:rPr>
        <w:t>Bell, O.</w:t>
      </w:r>
      <w:r w:rsidRPr="00AB0D01">
        <w:rPr>
          <w:i/>
          <w:noProof/>
        </w:rPr>
        <w:t xml:space="preserve"> et al.</w:t>
      </w:r>
      <w:r w:rsidRPr="00AB0D01">
        <w:rPr>
          <w:noProof/>
        </w:rPr>
        <w:t xml:space="preserve"> (2011) Determinants and dynamics of genome accessibility. </w:t>
      </w:r>
      <w:r w:rsidRPr="00AB0D01">
        <w:rPr>
          <w:i/>
          <w:noProof/>
        </w:rPr>
        <w:t>Nature reviews. Genetics</w:t>
      </w:r>
      <w:r w:rsidRPr="00AB0D01">
        <w:rPr>
          <w:noProof/>
        </w:rPr>
        <w:t xml:space="preserve"> 12, 554-564</w:t>
      </w:r>
    </w:p>
    <w:p w:rsidR="00E452FF" w:rsidRPr="00AB0D01" w:rsidRDefault="00E452FF" w:rsidP="00824460">
      <w:pPr>
        <w:pStyle w:val="references"/>
        <w:ind w:left="284" w:hanging="284"/>
        <w:rPr>
          <w:noProof/>
        </w:rPr>
      </w:pPr>
      <w:r w:rsidRPr="00AB0D01">
        <w:rPr>
          <w:b/>
          <w:noProof/>
        </w:rPr>
        <w:t>12</w:t>
      </w:r>
      <w:r w:rsidRPr="00AB0D01">
        <w:rPr>
          <w:b/>
          <w:noProof/>
        </w:rPr>
        <w:tab/>
      </w:r>
      <w:r w:rsidRPr="00AB0D01">
        <w:rPr>
          <w:noProof/>
        </w:rPr>
        <w:t>Boyle, A.P.</w:t>
      </w:r>
      <w:r w:rsidRPr="00AB0D01">
        <w:rPr>
          <w:i/>
          <w:noProof/>
        </w:rPr>
        <w:t xml:space="preserve"> et al.</w:t>
      </w:r>
      <w:r w:rsidRPr="00AB0D01">
        <w:rPr>
          <w:noProof/>
        </w:rPr>
        <w:t xml:space="preserve"> (2011) High-resolution genome-wide in vivo footprinting of diverse transcription factors in human cells. </w:t>
      </w:r>
      <w:r w:rsidRPr="00AB0D01">
        <w:rPr>
          <w:i/>
          <w:noProof/>
        </w:rPr>
        <w:t>Genome research</w:t>
      </w:r>
      <w:r w:rsidRPr="00AB0D01">
        <w:rPr>
          <w:noProof/>
        </w:rPr>
        <w:t xml:space="preserve"> 21, 456-464</w:t>
      </w:r>
    </w:p>
    <w:p w:rsidR="00E452FF" w:rsidRPr="00AB0D01" w:rsidRDefault="00E452FF" w:rsidP="00824460">
      <w:pPr>
        <w:pStyle w:val="references"/>
        <w:ind w:left="284" w:hanging="284"/>
        <w:rPr>
          <w:noProof/>
        </w:rPr>
      </w:pPr>
      <w:r w:rsidRPr="00AB0D01">
        <w:rPr>
          <w:b/>
          <w:noProof/>
        </w:rPr>
        <w:t>13</w:t>
      </w:r>
      <w:r w:rsidRPr="00AB0D01">
        <w:rPr>
          <w:b/>
          <w:noProof/>
        </w:rPr>
        <w:tab/>
      </w:r>
      <w:r w:rsidRPr="00AB0D01">
        <w:rPr>
          <w:noProof/>
        </w:rPr>
        <w:t>Mullen, A.C.</w:t>
      </w:r>
      <w:r w:rsidRPr="00AB0D01">
        <w:rPr>
          <w:i/>
          <w:noProof/>
        </w:rPr>
        <w:t xml:space="preserve"> et al.</w:t>
      </w:r>
      <w:r w:rsidRPr="00AB0D01">
        <w:rPr>
          <w:noProof/>
        </w:rPr>
        <w:t xml:space="preserve"> (2011) Master transcription factors determine cell-type-specific responses to TGF-β signaling. </w:t>
      </w:r>
      <w:r w:rsidRPr="00AB0D01">
        <w:rPr>
          <w:i/>
          <w:noProof/>
        </w:rPr>
        <w:t>Cell</w:t>
      </w:r>
      <w:r w:rsidRPr="00AB0D01">
        <w:rPr>
          <w:noProof/>
        </w:rPr>
        <w:t xml:space="preserve"> 147, 565-576</w:t>
      </w:r>
    </w:p>
    <w:p w:rsidR="00E452FF" w:rsidRPr="00AB0D01" w:rsidRDefault="00E452FF" w:rsidP="00824460">
      <w:pPr>
        <w:pStyle w:val="references"/>
        <w:ind w:left="284" w:hanging="284"/>
        <w:rPr>
          <w:noProof/>
        </w:rPr>
      </w:pPr>
      <w:r w:rsidRPr="00AB0D01">
        <w:rPr>
          <w:b/>
          <w:noProof/>
        </w:rPr>
        <w:t>14</w:t>
      </w:r>
      <w:r w:rsidRPr="00AB0D01">
        <w:rPr>
          <w:b/>
          <w:noProof/>
        </w:rPr>
        <w:tab/>
      </w:r>
      <w:r w:rsidRPr="00BD5808">
        <w:rPr>
          <w:b/>
          <w:noProof/>
        </w:rPr>
        <w:t>Gusmão, E.</w:t>
      </w:r>
      <w:r w:rsidRPr="00BD5808">
        <w:rPr>
          <w:b/>
          <w:i/>
          <w:noProof/>
        </w:rPr>
        <w:t xml:space="preserve"> et al.</w:t>
      </w:r>
      <w:r w:rsidRPr="00BD5808">
        <w:rPr>
          <w:b/>
          <w:noProof/>
        </w:rPr>
        <w:t xml:space="preserve"> (2012) Prediction of Transcription Factor Binding Sites by Integrating DNase Digestion and Histone Modification. In </w:t>
      </w:r>
      <w:r w:rsidRPr="00BD5808">
        <w:rPr>
          <w:b/>
          <w:i/>
          <w:noProof/>
        </w:rPr>
        <w:t>Advances in Bioinformatics and Computational Biology</w:t>
      </w:r>
      <w:r w:rsidRPr="00BD5808">
        <w:rPr>
          <w:b/>
          <w:noProof/>
        </w:rPr>
        <w:t>, pp. 109-119</w:t>
      </w:r>
    </w:p>
    <w:p w:rsidR="00E452FF" w:rsidRPr="00AB0D01" w:rsidRDefault="00E452FF" w:rsidP="00824460">
      <w:pPr>
        <w:pStyle w:val="references"/>
        <w:ind w:left="284" w:hanging="284"/>
        <w:rPr>
          <w:noProof/>
        </w:rPr>
      </w:pPr>
      <w:r w:rsidRPr="00AB0D01">
        <w:rPr>
          <w:b/>
          <w:noProof/>
        </w:rPr>
        <w:t>15</w:t>
      </w:r>
      <w:r w:rsidRPr="00AB0D01">
        <w:rPr>
          <w:b/>
          <w:noProof/>
        </w:rPr>
        <w:tab/>
      </w:r>
      <w:r w:rsidRPr="00AB0D01">
        <w:rPr>
          <w:noProof/>
        </w:rPr>
        <w:t>Pham, T.-H.</w:t>
      </w:r>
      <w:r w:rsidRPr="00AB0D01">
        <w:rPr>
          <w:i/>
          <w:noProof/>
        </w:rPr>
        <w:t xml:space="preserve"> et al.</w:t>
      </w:r>
      <w:r w:rsidRPr="00AB0D01">
        <w:rPr>
          <w:noProof/>
        </w:rPr>
        <w:t xml:space="preserve"> (2012) Dynamic epigenetic enhancer signatures reveal key transcription factors associated with monocytic differentiation states. </w:t>
      </w:r>
      <w:r w:rsidRPr="00AB0D01">
        <w:rPr>
          <w:i/>
          <w:noProof/>
        </w:rPr>
        <w:t>Blood</w:t>
      </w:r>
      <w:r w:rsidRPr="00AB0D01">
        <w:rPr>
          <w:noProof/>
        </w:rPr>
        <w:t xml:space="preserve"> 119, e161-171</w:t>
      </w:r>
    </w:p>
    <w:p w:rsidR="00E452FF" w:rsidRPr="00AB0D01" w:rsidRDefault="00E452FF" w:rsidP="00824460">
      <w:pPr>
        <w:pStyle w:val="references"/>
        <w:ind w:left="284" w:hanging="284"/>
        <w:rPr>
          <w:noProof/>
        </w:rPr>
      </w:pPr>
      <w:r w:rsidRPr="00AB0D01">
        <w:rPr>
          <w:b/>
          <w:noProof/>
        </w:rPr>
        <w:t>16</w:t>
      </w:r>
      <w:r w:rsidRPr="00AB0D01">
        <w:rPr>
          <w:b/>
          <w:noProof/>
        </w:rPr>
        <w:tab/>
      </w:r>
      <w:r w:rsidRPr="00AB0D01">
        <w:rPr>
          <w:noProof/>
        </w:rPr>
        <w:t xml:space="preserve">Quantitative and systems pharmacology in the post-genomice era: new approaches to discovering drugs and understanding therapeutic mechanisms. </w:t>
      </w:r>
      <w:r w:rsidRPr="00AB0D01">
        <w:rPr>
          <w:i/>
          <w:noProof/>
        </w:rPr>
        <w:t>An NIH White Paper by the QSP Workshop Group</w:t>
      </w:r>
      <w:r w:rsidRPr="00AB0D01">
        <w:rPr>
          <w:noProof/>
        </w:rPr>
        <w:t xml:space="preserve"> </w:t>
      </w:r>
      <w:r w:rsidR="00C75F03">
        <w:rPr>
          <w:noProof/>
        </w:rPr>
        <w:t xml:space="preserve">- </w:t>
      </w:r>
      <w:r w:rsidRPr="00AB0D01">
        <w:rPr>
          <w:noProof/>
        </w:rPr>
        <w:t>October, 2011</w:t>
      </w:r>
    </w:p>
    <w:p w:rsidR="00E452FF" w:rsidRPr="00AB0D01" w:rsidRDefault="00E452FF" w:rsidP="00824460">
      <w:pPr>
        <w:pStyle w:val="references"/>
        <w:ind w:left="284" w:hanging="284"/>
        <w:rPr>
          <w:noProof/>
        </w:rPr>
      </w:pPr>
      <w:r w:rsidRPr="00AB0D01">
        <w:rPr>
          <w:b/>
          <w:noProof/>
        </w:rPr>
        <w:t>17</w:t>
      </w:r>
      <w:r w:rsidRPr="00AB0D01">
        <w:rPr>
          <w:b/>
          <w:noProof/>
        </w:rPr>
        <w:tab/>
      </w:r>
      <w:r w:rsidRPr="00AB0D01">
        <w:rPr>
          <w:noProof/>
        </w:rPr>
        <w:t xml:space="preserve">Michor, F. (2007) Chronic myeloid leukemia blast crisis arises from progenitors. </w:t>
      </w:r>
      <w:r w:rsidRPr="00AB0D01">
        <w:rPr>
          <w:i/>
          <w:noProof/>
        </w:rPr>
        <w:t>Stem Cells</w:t>
      </w:r>
      <w:r w:rsidR="00C75F03">
        <w:rPr>
          <w:noProof/>
        </w:rPr>
        <w:t xml:space="preserve"> 25</w:t>
      </w:r>
      <w:r w:rsidRPr="00AB0D01">
        <w:rPr>
          <w:noProof/>
        </w:rPr>
        <w:t>, 1114-1118</w:t>
      </w:r>
    </w:p>
    <w:p w:rsidR="00E452FF" w:rsidRPr="00AB0D01" w:rsidRDefault="00E452FF" w:rsidP="00824460">
      <w:pPr>
        <w:pStyle w:val="references"/>
        <w:ind w:left="284" w:hanging="284"/>
        <w:rPr>
          <w:noProof/>
        </w:rPr>
      </w:pPr>
      <w:r w:rsidRPr="00AB0D01">
        <w:rPr>
          <w:b/>
          <w:noProof/>
        </w:rPr>
        <w:t>18</w:t>
      </w:r>
      <w:r w:rsidRPr="00AB0D01">
        <w:rPr>
          <w:b/>
          <w:noProof/>
        </w:rPr>
        <w:tab/>
      </w:r>
      <w:r w:rsidRPr="00AB0D01">
        <w:rPr>
          <w:noProof/>
        </w:rPr>
        <w:t>Dingli, D.</w:t>
      </w:r>
      <w:r w:rsidRPr="00AB0D01">
        <w:rPr>
          <w:i/>
          <w:noProof/>
        </w:rPr>
        <w:t xml:space="preserve"> et al.</w:t>
      </w:r>
      <w:r w:rsidR="00BD5808">
        <w:rPr>
          <w:noProof/>
        </w:rPr>
        <w:t xml:space="preserve"> (2008) Chronic myeloid leukemia: origin, development, response to therapy, and r</w:t>
      </w:r>
      <w:r w:rsidRPr="00AB0D01">
        <w:rPr>
          <w:noProof/>
        </w:rPr>
        <w:t xml:space="preserve">elapse. </w:t>
      </w:r>
      <w:r w:rsidRPr="00AB0D01">
        <w:rPr>
          <w:i/>
          <w:noProof/>
        </w:rPr>
        <w:t>Clinical Leukemia</w:t>
      </w:r>
      <w:r w:rsidR="00C75F03">
        <w:rPr>
          <w:noProof/>
        </w:rPr>
        <w:t xml:space="preserve"> 2</w:t>
      </w:r>
      <w:r w:rsidRPr="00AB0D01">
        <w:rPr>
          <w:noProof/>
        </w:rPr>
        <w:t>, 133-139</w:t>
      </w:r>
    </w:p>
    <w:p w:rsidR="00E452FF" w:rsidRPr="00AB0D01" w:rsidRDefault="00E452FF" w:rsidP="00824460">
      <w:pPr>
        <w:pStyle w:val="references"/>
        <w:ind w:left="284" w:hanging="284"/>
        <w:rPr>
          <w:noProof/>
        </w:rPr>
      </w:pPr>
      <w:r w:rsidRPr="00AB0D01">
        <w:rPr>
          <w:b/>
          <w:noProof/>
        </w:rPr>
        <w:t>19</w:t>
      </w:r>
      <w:r w:rsidRPr="00AB0D01">
        <w:rPr>
          <w:b/>
          <w:noProof/>
        </w:rPr>
        <w:tab/>
      </w:r>
      <w:r w:rsidRPr="00AB0D01">
        <w:rPr>
          <w:noProof/>
        </w:rPr>
        <w:t>Lee, M.J.</w:t>
      </w:r>
      <w:r w:rsidRPr="00AB0D01">
        <w:rPr>
          <w:i/>
          <w:noProof/>
        </w:rPr>
        <w:t xml:space="preserve"> et al.</w:t>
      </w:r>
      <w:r w:rsidRPr="00AB0D01">
        <w:rPr>
          <w:noProof/>
        </w:rPr>
        <w:t xml:space="preserve"> (2012) Sequential application of anticancer drugs enhances cell death by rewiring apoptotic signaling networks. </w:t>
      </w:r>
      <w:r w:rsidRPr="00AB0D01">
        <w:rPr>
          <w:i/>
          <w:noProof/>
        </w:rPr>
        <w:t>Cell</w:t>
      </w:r>
      <w:r w:rsidR="00C75F03">
        <w:rPr>
          <w:noProof/>
        </w:rPr>
        <w:t xml:space="preserve"> 149</w:t>
      </w:r>
      <w:r w:rsidRPr="00AB0D01">
        <w:rPr>
          <w:noProof/>
        </w:rPr>
        <w:t>, 780-794</w:t>
      </w:r>
    </w:p>
    <w:p w:rsidR="00E452FF" w:rsidRPr="00435E25" w:rsidRDefault="00E452FF" w:rsidP="00824460">
      <w:pPr>
        <w:pStyle w:val="references"/>
        <w:ind w:left="284" w:hanging="284"/>
        <w:rPr>
          <w:b/>
          <w:noProof/>
        </w:rPr>
      </w:pPr>
      <w:r w:rsidRPr="00AB0D01">
        <w:rPr>
          <w:b/>
          <w:noProof/>
        </w:rPr>
        <w:t>20</w:t>
      </w:r>
      <w:r w:rsidRPr="00AB0D01">
        <w:rPr>
          <w:b/>
          <w:noProof/>
        </w:rPr>
        <w:tab/>
      </w:r>
      <w:r w:rsidRPr="00435E25">
        <w:rPr>
          <w:b/>
          <w:noProof/>
        </w:rPr>
        <w:t>Felker, P.</w:t>
      </w:r>
      <w:r w:rsidRPr="00435E25">
        <w:rPr>
          <w:b/>
          <w:i/>
          <w:noProof/>
        </w:rPr>
        <w:t xml:space="preserve"> et al.</w:t>
      </w:r>
      <w:r w:rsidRPr="00435E25">
        <w:rPr>
          <w:b/>
          <w:noProof/>
        </w:rPr>
        <w:t xml:space="preserve"> (2010) TGF-beta1 accelerates dendritic cell differentiation from common dendritic cell progenitors and directs subset specification toward conventional dendritic cells. </w:t>
      </w:r>
      <w:r w:rsidRPr="00435E25">
        <w:rPr>
          <w:b/>
          <w:i/>
          <w:noProof/>
        </w:rPr>
        <w:t>J Immunol</w:t>
      </w:r>
      <w:r w:rsidR="00C75F03" w:rsidRPr="00435E25">
        <w:rPr>
          <w:b/>
          <w:noProof/>
        </w:rPr>
        <w:t xml:space="preserve"> 185</w:t>
      </w:r>
      <w:r w:rsidRPr="00435E25">
        <w:rPr>
          <w:b/>
          <w:noProof/>
        </w:rPr>
        <w:t>, 5326-5335</w:t>
      </w:r>
    </w:p>
    <w:p w:rsidR="00E452FF" w:rsidRPr="00435E25" w:rsidRDefault="00E452FF" w:rsidP="00824460">
      <w:pPr>
        <w:pStyle w:val="references"/>
        <w:ind w:left="284" w:hanging="284"/>
        <w:rPr>
          <w:b/>
          <w:noProof/>
        </w:rPr>
      </w:pPr>
      <w:r w:rsidRPr="00AB0D01">
        <w:rPr>
          <w:b/>
          <w:noProof/>
        </w:rPr>
        <w:t>21</w:t>
      </w:r>
      <w:r w:rsidRPr="00AB0D01">
        <w:rPr>
          <w:b/>
          <w:noProof/>
        </w:rPr>
        <w:tab/>
      </w:r>
      <w:r w:rsidRPr="00435E25">
        <w:rPr>
          <w:b/>
          <w:noProof/>
        </w:rPr>
        <w:t>Seré, K.M.</w:t>
      </w:r>
      <w:r w:rsidRPr="00435E25">
        <w:rPr>
          <w:b/>
          <w:i/>
          <w:noProof/>
        </w:rPr>
        <w:t xml:space="preserve"> et al.</w:t>
      </w:r>
      <w:r w:rsidRPr="00435E25">
        <w:rPr>
          <w:b/>
          <w:noProof/>
        </w:rPr>
        <w:t xml:space="preserve"> (2012) Dendritic cell lineage commitment is instructed by distinct cytokine signals. </w:t>
      </w:r>
      <w:r w:rsidRPr="00435E25">
        <w:rPr>
          <w:b/>
          <w:i/>
          <w:noProof/>
        </w:rPr>
        <w:t>Eur J Cell Biol</w:t>
      </w:r>
      <w:r w:rsidR="00C75F03" w:rsidRPr="00435E25">
        <w:rPr>
          <w:b/>
          <w:noProof/>
        </w:rPr>
        <w:t xml:space="preserve"> 91</w:t>
      </w:r>
      <w:r w:rsidRPr="00435E25">
        <w:rPr>
          <w:b/>
          <w:noProof/>
        </w:rPr>
        <w:t>, 515-523</w:t>
      </w:r>
    </w:p>
    <w:p w:rsidR="00E452FF" w:rsidRPr="00AB0D01" w:rsidRDefault="00E452FF" w:rsidP="00824460">
      <w:pPr>
        <w:pStyle w:val="references"/>
        <w:ind w:left="284" w:hanging="284"/>
        <w:rPr>
          <w:noProof/>
        </w:rPr>
      </w:pPr>
      <w:r w:rsidRPr="00AB0D01">
        <w:rPr>
          <w:b/>
          <w:noProof/>
        </w:rPr>
        <w:t>22</w:t>
      </w:r>
      <w:r w:rsidRPr="00AB0D01">
        <w:rPr>
          <w:b/>
          <w:noProof/>
        </w:rPr>
        <w:tab/>
      </w:r>
      <w:r w:rsidRPr="00435E25">
        <w:rPr>
          <w:b/>
          <w:noProof/>
        </w:rPr>
        <w:t>Seré, K.</w:t>
      </w:r>
      <w:r w:rsidRPr="00435E25">
        <w:rPr>
          <w:b/>
          <w:i/>
          <w:noProof/>
        </w:rPr>
        <w:t xml:space="preserve"> et al.</w:t>
      </w:r>
      <w:r w:rsidRPr="00435E25">
        <w:rPr>
          <w:b/>
          <w:noProof/>
        </w:rPr>
        <w:t xml:space="preserve"> (2012) Two distinct types of Langerhans cells populate the skin during steady state and inflammation. </w:t>
      </w:r>
      <w:r w:rsidRPr="00435E25">
        <w:rPr>
          <w:b/>
          <w:i/>
          <w:noProof/>
        </w:rPr>
        <w:t>Immunity</w:t>
      </w:r>
      <w:r w:rsidR="00C75F03" w:rsidRPr="00435E25">
        <w:rPr>
          <w:b/>
          <w:noProof/>
        </w:rPr>
        <w:t xml:space="preserve"> 37</w:t>
      </w:r>
      <w:r w:rsidRPr="00435E25">
        <w:rPr>
          <w:b/>
          <w:noProof/>
        </w:rPr>
        <w:t>, 905-916</w:t>
      </w:r>
    </w:p>
    <w:p w:rsidR="00E452FF" w:rsidRPr="00435E25" w:rsidRDefault="00E452FF" w:rsidP="00824460">
      <w:pPr>
        <w:pStyle w:val="references"/>
        <w:ind w:left="284" w:hanging="284"/>
        <w:rPr>
          <w:b/>
          <w:noProof/>
        </w:rPr>
      </w:pPr>
      <w:r w:rsidRPr="00AB0D01">
        <w:rPr>
          <w:b/>
          <w:noProof/>
        </w:rPr>
        <w:t>23</w:t>
      </w:r>
      <w:r w:rsidRPr="00AB0D01">
        <w:rPr>
          <w:b/>
          <w:noProof/>
        </w:rPr>
        <w:tab/>
      </w:r>
      <w:r w:rsidRPr="00435E25">
        <w:rPr>
          <w:b/>
          <w:noProof/>
        </w:rPr>
        <w:t>Ju, X.S.</w:t>
      </w:r>
      <w:r w:rsidRPr="00435E25">
        <w:rPr>
          <w:b/>
          <w:i/>
          <w:noProof/>
        </w:rPr>
        <w:t xml:space="preserve"> et al.</w:t>
      </w:r>
      <w:r w:rsidRPr="00435E25">
        <w:rPr>
          <w:b/>
          <w:noProof/>
        </w:rPr>
        <w:t xml:space="preserve"> (2007) Transforming growth factor beta1 up-regulates interferon regulatory factor 8 during dendritic cell development. </w:t>
      </w:r>
      <w:r w:rsidRPr="00435E25">
        <w:rPr>
          <w:b/>
          <w:i/>
          <w:noProof/>
        </w:rPr>
        <w:t>Eur J Immunol</w:t>
      </w:r>
      <w:r w:rsidR="00C75F03" w:rsidRPr="00435E25">
        <w:rPr>
          <w:b/>
          <w:noProof/>
        </w:rPr>
        <w:t xml:space="preserve"> 37</w:t>
      </w:r>
      <w:r w:rsidRPr="00435E25">
        <w:rPr>
          <w:b/>
          <w:noProof/>
        </w:rPr>
        <w:t>, 1174-1183</w:t>
      </w:r>
    </w:p>
    <w:p w:rsidR="00E452FF" w:rsidRPr="00435E25" w:rsidRDefault="00E452FF" w:rsidP="00824460">
      <w:pPr>
        <w:pStyle w:val="references"/>
        <w:ind w:left="284" w:hanging="284"/>
        <w:rPr>
          <w:b/>
          <w:noProof/>
        </w:rPr>
      </w:pPr>
      <w:r w:rsidRPr="00AB0D01">
        <w:rPr>
          <w:b/>
          <w:noProof/>
        </w:rPr>
        <w:t>24</w:t>
      </w:r>
      <w:r w:rsidRPr="00AB0D01">
        <w:rPr>
          <w:b/>
          <w:noProof/>
        </w:rPr>
        <w:tab/>
      </w:r>
      <w:r w:rsidRPr="00435E25">
        <w:rPr>
          <w:b/>
          <w:noProof/>
        </w:rPr>
        <w:t>Costa, I.G.</w:t>
      </w:r>
      <w:r w:rsidRPr="00435E25">
        <w:rPr>
          <w:b/>
          <w:i/>
          <w:noProof/>
        </w:rPr>
        <w:t xml:space="preserve"> et al.</w:t>
      </w:r>
      <w:r w:rsidRPr="00435E25">
        <w:rPr>
          <w:b/>
          <w:noProof/>
        </w:rPr>
        <w:t xml:space="preserve"> (2008) Inferring differentiation pathways from gene expression. </w:t>
      </w:r>
      <w:r w:rsidRPr="00435E25">
        <w:rPr>
          <w:b/>
          <w:i/>
          <w:noProof/>
        </w:rPr>
        <w:t>Bioinformatics</w:t>
      </w:r>
      <w:r w:rsidRPr="00435E25">
        <w:rPr>
          <w:b/>
          <w:noProof/>
        </w:rPr>
        <w:t xml:space="preserve"> 24, i156--i164</w:t>
      </w:r>
    </w:p>
    <w:p w:rsidR="00E452FF" w:rsidRPr="00435E25" w:rsidRDefault="00E452FF" w:rsidP="00824460">
      <w:pPr>
        <w:pStyle w:val="references"/>
        <w:ind w:left="284" w:hanging="284"/>
        <w:rPr>
          <w:b/>
          <w:noProof/>
        </w:rPr>
      </w:pPr>
      <w:r w:rsidRPr="00435E25">
        <w:rPr>
          <w:b/>
          <w:noProof/>
        </w:rPr>
        <w:t>25</w:t>
      </w:r>
      <w:r w:rsidRPr="00435E25">
        <w:rPr>
          <w:b/>
          <w:noProof/>
        </w:rPr>
        <w:tab/>
        <w:t>Costa, I.G.</w:t>
      </w:r>
      <w:r w:rsidRPr="00435E25">
        <w:rPr>
          <w:b/>
          <w:i/>
          <w:noProof/>
        </w:rPr>
        <w:t xml:space="preserve"> et al.</w:t>
      </w:r>
      <w:r w:rsidRPr="00435E25">
        <w:rPr>
          <w:b/>
          <w:noProof/>
        </w:rPr>
        <w:t xml:space="preserve"> (2007) Gene expression trees in lymphoid development. </w:t>
      </w:r>
      <w:r w:rsidRPr="00435E25">
        <w:rPr>
          <w:b/>
          <w:i/>
          <w:noProof/>
        </w:rPr>
        <w:t>BMC Immunol</w:t>
      </w:r>
      <w:r w:rsidRPr="00435E25">
        <w:rPr>
          <w:b/>
          <w:noProof/>
        </w:rPr>
        <w:t xml:space="preserve"> 8, 25</w:t>
      </w:r>
    </w:p>
    <w:p w:rsidR="00E452FF" w:rsidRPr="00435E25" w:rsidRDefault="00E452FF" w:rsidP="00824460">
      <w:pPr>
        <w:pStyle w:val="references"/>
        <w:ind w:left="284" w:hanging="284"/>
        <w:rPr>
          <w:b/>
          <w:noProof/>
        </w:rPr>
      </w:pPr>
      <w:r w:rsidRPr="00435E25">
        <w:rPr>
          <w:b/>
          <w:noProof/>
        </w:rPr>
        <w:t>26</w:t>
      </w:r>
      <w:r w:rsidRPr="00435E25">
        <w:rPr>
          <w:b/>
          <w:noProof/>
        </w:rPr>
        <w:tab/>
        <w:t>Costa, I.G.</w:t>
      </w:r>
      <w:r w:rsidRPr="00435E25">
        <w:rPr>
          <w:b/>
          <w:i/>
          <w:noProof/>
        </w:rPr>
        <w:t xml:space="preserve"> et al.</w:t>
      </w:r>
      <w:r w:rsidRPr="00435E25">
        <w:rPr>
          <w:b/>
          <w:noProof/>
        </w:rPr>
        <w:t xml:space="preserve"> (2011) Predicting gene expression in T cell differentiation from histone modifications and transcription factor binding affinities by linear mixture models. </w:t>
      </w:r>
      <w:r w:rsidRPr="00435E25">
        <w:rPr>
          <w:b/>
          <w:i/>
          <w:noProof/>
        </w:rPr>
        <w:t>BMC bioinformatics</w:t>
      </w:r>
      <w:r w:rsidRPr="00435E25">
        <w:rPr>
          <w:b/>
          <w:noProof/>
        </w:rPr>
        <w:t xml:space="preserve"> 12 Suppl 1, S29</w:t>
      </w:r>
    </w:p>
    <w:p w:rsidR="00E452FF" w:rsidRPr="00435E25" w:rsidRDefault="00E452FF" w:rsidP="00824460">
      <w:pPr>
        <w:pStyle w:val="references"/>
        <w:ind w:left="284" w:hanging="284"/>
        <w:rPr>
          <w:b/>
          <w:noProof/>
        </w:rPr>
      </w:pPr>
      <w:r w:rsidRPr="00AB0D01">
        <w:rPr>
          <w:b/>
          <w:noProof/>
        </w:rPr>
        <w:t>27</w:t>
      </w:r>
      <w:r w:rsidRPr="00AB0D01">
        <w:rPr>
          <w:b/>
          <w:noProof/>
        </w:rPr>
        <w:tab/>
      </w:r>
      <w:r w:rsidRPr="00435E25">
        <w:rPr>
          <w:b/>
          <w:noProof/>
        </w:rPr>
        <w:t>do Rego, T.G.</w:t>
      </w:r>
      <w:r w:rsidRPr="00435E25">
        <w:rPr>
          <w:b/>
          <w:i/>
          <w:noProof/>
        </w:rPr>
        <w:t xml:space="preserve"> et al.</w:t>
      </w:r>
      <w:r w:rsidRPr="00435E25">
        <w:rPr>
          <w:b/>
          <w:noProof/>
        </w:rPr>
        <w:t xml:space="preserve"> (2012) Inferring epigenetic and transcriptional regulation during blood cell development with a mixture of sparse linear models. </w:t>
      </w:r>
      <w:r w:rsidRPr="00435E25">
        <w:rPr>
          <w:b/>
          <w:i/>
          <w:noProof/>
        </w:rPr>
        <w:t>Bioinformatics (Oxford, England)</w:t>
      </w:r>
      <w:r w:rsidRPr="00435E25">
        <w:rPr>
          <w:b/>
          <w:noProof/>
        </w:rPr>
        <w:t xml:space="preserve"> 28, 2297-2303</w:t>
      </w:r>
    </w:p>
    <w:p w:rsidR="00E452FF" w:rsidRPr="00435E25" w:rsidRDefault="00E452FF" w:rsidP="00824460">
      <w:pPr>
        <w:pStyle w:val="references"/>
        <w:ind w:left="284" w:hanging="284"/>
        <w:rPr>
          <w:b/>
          <w:noProof/>
        </w:rPr>
      </w:pPr>
      <w:r w:rsidRPr="00435E25">
        <w:rPr>
          <w:b/>
          <w:noProof/>
        </w:rPr>
        <w:t>28</w:t>
      </w:r>
      <w:r w:rsidRPr="00435E25">
        <w:rPr>
          <w:b/>
          <w:noProof/>
        </w:rPr>
        <w:tab/>
      </w:r>
      <w:r w:rsidR="00435E25">
        <w:rPr>
          <w:b/>
          <w:noProof/>
        </w:rPr>
        <w:t>Mü</w:t>
      </w:r>
      <w:r w:rsidRPr="00435E25">
        <w:rPr>
          <w:b/>
          <w:noProof/>
        </w:rPr>
        <w:t>ller, F.J.</w:t>
      </w:r>
      <w:r w:rsidRPr="00435E25">
        <w:rPr>
          <w:b/>
          <w:i/>
          <w:noProof/>
        </w:rPr>
        <w:t xml:space="preserve"> et al.</w:t>
      </w:r>
      <w:r w:rsidRPr="00435E25">
        <w:rPr>
          <w:b/>
          <w:noProof/>
        </w:rPr>
        <w:t xml:space="preserve"> (2011) A bioinformatic assay for pluripotency in human cells. </w:t>
      </w:r>
      <w:r w:rsidRPr="00435E25">
        <w:rPr>
          <w:b/>
          <w:i/>
          <w:noProof/>
        </w:rPr>
        <w:t>Nat Methods</w:t>
      </w:r>
      <w:r w:rsidR="00C75F03" w:rsidRPr="00435E25">
        <w:rPr>
          <w:b/>
          <w:noProof/>
        </w:rPr>
        <w:t xml:space="preserve"> 8</w:t>
      </w:r>
      <w:r w:rsidRPr="00435E25">
        <w:rPr>
          <w:b/>
          <w:noProof/>
        </w:rPr>
        <w:t>, 315-317</w:t>
      </w:r>
    </w:p>
    <w:p w:rsidR="00E452FF" w:rsidRPr="00435E25" w:rsidRDefault="00E452FF" w:rsidP="00824460">
      <w:pPr>
        <w:pStyle w:val="references"/>
        <w:ind w:left="284" w:hanging="284"/>
        <w:rPr>
          <w:b/>
          <w:noProof/>
        </w:rPr>
      </w:pPr>
      <w:r w:rsidRPr="00435E25">
        <w:rPr>
          <w:b/>
          <w:noProof/>
        </w:rPr>
        <w:t>29</w:t>
      </w:r>
      <w:r w:rsidRPr="00435E25">
        <w:rPr>
          <w:b/>
          <w:noProof/>
        </w:rPr>
        <w:tab/>
        <w:t>Schneckener, S.</w:t>
      </w:r>
      <w:r w:rsidRPr="00435E25">
        <w:rPr>
          <w:b/>
          <w:i/>
          <w:noProof/>
        </w:rPr>
        <w:t xml:space="preserve"> et al.</w:t>
      </w:r>
      <w:r w:rsidRPr="00435E25">
        <w:rPr>
          <w:b/>
          <w:noProof/>
        </w:rPr>
        <w:t xml:space="preserve"> (2011) Quantifying stability in gene list ranking across microarray derived clinical biomarkers. </w:t>
      </w:r>
      <w:r w:rsidRPr="00435E25">
        <w:rPr>
          <w:b/>
          <w:i/>
          <w:noProof/>
        </w:rPr>
        <w:t>BMC Med Genomics</w:t>
      </w:r>
      <w:r w:rsidRPr="00435E25">
        <w:rPr>
          <w:b/>
          <w:noProof/>
        </w:rPr>
        <w:t xml:space="preserve"> 4, 73</w:t>
      </w:r>
    </w:p>
    <w:p w:rsidR="00E452FF" w:rsidRPr="00435E25" w:rsidRDefault="00E452FF" w:rsidP="00824460">
      <w:pPr>
        <w:pStyle w:val="references"/>
        <w:ind w:left="284" w:hanging="284"/>
        <w:rPr>
          <w:b/>
          <w:noProof/>
        </w:rPr>
      </w:pPr>
      <w:r w:rsidRPr="00435E25">
        <w:rPr>
          <w:b/>
          <w:noProof/>
        </w:rPr>
        <w:t>30</w:t>
      </w:r>
      <w:r w:rsidRPr="00435E25">
        <w:rPr>
          <w:b/>
          <w:noProof/>
        </w:rPr>
        <w:tab/>
        <w:t>MacArthur, B.D.</w:t>
      </w:r>
      <w:r w:rsidRPr="00435E25">
        <w:rPr>
          <w:b/>
          <w:i/>
          <w:noProof/>
        </w:rPr>
        <w:t xml:space="preserve"> et al.</w:t>
      </w:r>
      <w:r w:rsidRPr="00435E25">
        <w:rPr>
          <w:b/>
          <w:noProof/>
        </w:rPr>
        <w:t xml:space="preserve"> (2012) Nanog-dependent feedback loops regulate murine embryonic stem cell heterogeneity. </w:t>
      </w:r>
      <w:r w:rsidRPr="00435E25">
        <w:rPr>
          <w:b/>
          <w:i/>
          <w:noProof/>
        </w:rPr>
        <w:t>Nat Cell Biol</w:t>
      </w:r>
      <w:r w:rsidR="00C75F03" w:rsidRPr="00435E25">
        <w:rPr>
          <w:b/>
          <w:noProof/>
        </w:rPr>
        <w:t xml:space="preserve"> 14</w:t>
      </w:r>
      <w:r w:rsidRPr="00435E25">
        <w:rPr>
          <w:b/>
          <w:noProof/>
        </w:rPr>
        <w:t>, 1139-1147</w:t>
      </w:r>
    </w:p>
    <w:p w:rsidR="00E452FF" w:rsidRPr="00435E25" w:rsidRDefault="00E452FF" w:rsidP="00824460">
      <w:pPr>
        <w:pStyle w:val="references"/>
        <w:ind w:left="284" w:hanging="284"/>
        <w:rPr>
          <w:b/>
          <w:noProof/>
        </w:rPr>
      </w:pPr>
      <w:r w:rsidRPr="00435E25">
        <w:rPr>
          <w:b/>
          <w:noProof/>
        </w:rPr>
        <w:t>31</w:t>
      </w:r>
      <w:r w:rsidRPr="00435E25">
        <w:rPr>
          <w:b/>
          <w:noProof/>
        </w:rPr>
        <w:tab/>
        <w:t>Schneckener, S.</w:t>
      </w:r>
      <w:r w:rsidRPr="00435E25">
        <w:rPr>
          <w:b/>
          <w:i/>
          <w:noProof/>
        </w:rPr>
        <w:t xml:space="preserve"> et al.</w:t>
      </w:r>
      <w:r w:rsidRPr="00435E25">
        <w:rPr>
          <w:b/>
          <w:noProof/>
        </w:rPr>
        <w:t xml:space="preserve"> (2010) An elastic network model to identify characteristic stress response genes. </w:t>
      </w:r>
      <w:r w:rsidRPr="00435E25">
        <w:rPr>
          <w:b/>
          <w:i/>
          <w:noProof/>
        </w:rPr>
        <w:t>Comput Biol Chem</w:t>
      </w:r>
      <w:r w:rsidR="00C75F03" w:rsidRPr="00435E25">
        <w:rPr>
          <w:b/>
          <w:noProof/>
        </w:rPr>
        <w:t xml:space="preserve"> 34</w:t>
      </w:r>
      <w:r w:rsidRPr="00435E25">
        <w:rPr>
          <w:b/>
          <w:noProof/>
        </w:rPr>
        <w:t>, 193-202</w:t>
      </w:r>
    </w:p>
    <w:p w:rsidR="00E452FF" w:rsidRPr="00435E25" w:rsidRDefault="00E452FF" w:rsidP="00824460">
      <w:pPr>
        <w:pStyle w:val="references"/>
        <w:ind w:left="284" w:hanging="284"/>
        <w:rPr>
          <w:b/>
          <w:noProof/>
        </w:rPr>
      </w:pPr>
      <w:r w:rsidRPr="00435E25">
        <w:rPr>
          <w:b/>
          <w:noProof/>
        </w:rPr>
        <w:t>32</w:t>
      </w:r>
      <w:r w:rsidRPr="00435E25">
        <w:rPr>
          <w:b/>
          <w:noProof/>
        </w:rPr>
        <w:tab/>
      </w:r>
      <w:r w:rsidR="00435E25">
        <w:rPr>
          <w:b/>
          <w:noProof/>
        </w:rPr>
        <w:t>Mü</w:t>
      </w:r>
      <w:r w:rsidRPr="00435E25">
        <w:rPr>
          <w:b/>
          <w:noProof/>
        </w:rPr>
        <w:t xml:space="preserve">ller, F.J. and Schuppert, A. (2011) Few inputs can reprogram biological networks. </w:t>
      </w:r>
      <w:r w:rsidRPr="00435E25">
        <w:rPr>
          <w:b/>
          <w:i/>
          <w:noProof/>
        </w:rPr>
        <w:t>Nature</w:t>
      </w:r>
      <w:r w:rsidR="00C75F03" w:rsidRPr="00435E25">
        <w:rPr>
          <w:b/>
          <w:noProof/>
        </w:rPr>
        <w:t xml:space="preserve"> 478</w:t>
      </w:r>
      <w:r w:rsidRPr="00435E25">
        <w:rPr>
          <w:b/>
          <w:noProof/>
        </w:rPr>
        <w:t>, E4; discussion E4-5</w:t>
      </w:r>
    </w:p>
    <w:p w:rsidR="00E452FF" w:rsidRPr="00435E25" w:rsidRDefault="00E452FF" w:rsidP="00824460">
      <w:pPr>
        <w:pStyle w:val="references"/>
        <w:ind w:left="284" w:hanging="284"/>
        <w:rPr>
          <w:b/>
          <w:noProof/>
        </w:rPr>
      </w:pPr>
      <w:r w:rsidRPr="00435E25">
        <w:rPr>
          <w:b/>
          <w:noProof/>
        </w:rPr>
        <w:t>33</w:t>
      </w:r>
      <w:r w:rsidRPr="00435E25">
        <w:rPr>
          <w:b/>
          <w:noProof/>
        </w:rPr>
        <w:tab/>
        <w:t xml:space="preserve">Schuppert, A. (2011) Efficient reengineering of meso-scale topologies for functional networks in biomedical applications. </w:t>
      </w:r>
      <w:r w:rsidRPr="00435E25">
        <w:rPr>
          <w:b/>
          <w:i/>
          <w:noProof/>
        </w:rPr>
        <w:t>J Math Ind</w:t>
      </w:r>
      <w:r w:rsidR="00C75F03" w:rsidRPr="00435E25">
        <w:rPr>
          <w:b/>
          <w:noProof/>
        </w:rPr>
        <w:t xml:space="preserve"> 1</w:t>
      </w:r>
    </w:p>
    <w:p w:rsidR="00E452FF" w:rsidRPr="00435E25" w:rsidRDefault="00E452FF" w:rsidP="00824460">
      <w:pPr>
        <w:pStyle w:val="references"/>
        <w:ind w:left="284" w:hanging="284"/>
        <w:rPr>
          <w:b/>
          <w:noProof/>
        </w:rPr>
      </w:pPr>
      <w:r w:rsidRPr="00435E25">
        <w:rPr>
          <w:b/>
          <w:noProof/>
        </w:rPr>
        <w:t>34</w:t>
      </w:r>
      <w:r w:rsidRPr="00435E25">
        <w:rPr>
          <w:b/>
          <w:noProof/>
        </w:rPr>
        <w:tab/>
        <w:t>Balabanov, S.</w:t>
      </w:r>
      <w:r w:rsidRPr="00435E25">
        <w:rPr>
          <w:b/>
          <w:i/>
          <w:noProof/>
        </w:rPr>
        <w:t xml:space="preserve"> et al.</w:t>
      </w:r>
      <w:r w:rsidRPr="00435E25">
        <w:rPr>
          <w:b/>
          <w:noProof/>
        </w:rPr>
        <w:t xml:space="preserve"> (2013) Combination of a proteomics approach and reengineering of meso scale network models for prediction of mode-of-action for tyrosine kinase inhibitors. </w:t>
      </w:r>
      <w:r w:rsidRPr="00435E25">
        <w:rPr>
          <w:b/>
          <w:i/>
          <w:noProof/>
        </w:rPr>
        <w:t>PLoS One</w:t>
      </w:r>
      <w:r w:rsidR="00C75F03" w:rsidRPr="00435E25">
        <w:rPr>
          <w:b/>
          <w:noProof/>
        </w:rPr>
        <w:t xml:space="preserve"> 8</w:t>
      </w:r>
      <w:r w:rsidRPr="00435E25">
        <w:rPr>
          <w:b/>
          <w:noProof/>
        </w:rPr>
        <w:t>, e53668</w:t>
      </w:r>
    </w:p>
    <w:p w:rsidR="00E452FF" w:rsidRPr="00AB0D01" w:rsidRDefault="00E452FF" w:rsidP="00824460">
      <w:pPr>
        <w:pStyle w:val="references"/>
        <w:ind w:left="284" w:hanging="284"/>
        <w:rPr>
          <w:noProof/>
        </w:rPr>
      </w:pPr>
      <w:r w:rsidRPr="00AB0D01">
        <w:rPr>
          <w:b/>
          <w:noProof/>
        </w:rPr>
        <w:t>35</w:t>
      </w:r>
      <w:r w:rsidRPr="00AB0D01">
        <w:rPr>
          <w:b/>
          <w:noProof/>
        </w:rPr>
        <w:tab/>
      </w:r>
      <w:r w:rsidRPr="00AB0D01">
        <w:rPr>
          <w:noProof/>
        </w:rPr>
        <w:t xml:space="preserve">Furusawa, C. and Kaneko, K. (2012) A dynamical-systems view of stem cell biology. </w:t>
      </w:r>
      <w:r w:rsidRPr="00AB0D01">
        <w:rPr>
          <w:i/>
          <w:noProof/>
        </w:rPr>
        <w:t>Science</w:t>
      </w:r>
      <w:r w:rsidR="00C75F03">
        <w:rPr>
          <w:noProof/>
        </w:rPr>
        <w:t xml:space="preserve"> 338</w:t>
      </w:r>
      <w:r w:rsidRPr="00AB0D01">
        <w:rPr>
          <w:noProof/>
        </w:rPr>
        <w:t>, 215-217</w:t>
      </w:r>
    </w:p>
    <w:p w:rsidR="00824460" w:rsidRPr="00435E25" w:rsidRDefault="00E452FF" w:rsidP="00435E25">
      <w:pPr>
        <w:pStyle w:val="references"/>
        <w:ind w:left="284" w:hanging="284"/>
        <w:rPr>
          <w:b/>
          <w:noProof/>
        </w:rPr>
      </w:pPr>
      <w:r w:rsidRPr="00AB0D01">
        <w:rPr>
          <w:b/>
          <w:noProof/>
        </w:rPr>
        <w:t>36</w:t>
      </w:r>
      <w:r w:rsidRPr="00AB0D01">
        <w:rPr>
          <w:b/>
          <w:noProof/>
        </w:rPr>
        <w:tab/>
      </w:r>
      <w:r w:rsidRPr="00435E25">
        <w:rPr>
          <w:b/>
          <w:noProof/>
        </w:rPr>
        <w:t>Schuldt, B.M.</w:t>
      </w:r>
      <w:r w:rsidRPr="00435E25">
        <w:rPr>
          <w:b/>
          <w:i/>
          <w:noProof/>
        </w:rPr>
        <w:t xml:space="preserve"> et al.</w:t>
      </w:r>
      <w:r w:rsidRPr="00435E25">
        <w:rPr>
          <w:b/>
          <w:noProof/>
        </w:rPr>
        <w:t xml:space="preserve"> (2012) What can networks do for you? In </w:t>
      </w:r>
      <w:r w:rsidRPr="00435E25">
        <w:rPr>
          <w:b/>
          <w:i/>
          <w:noProof/>
        </w:rPr>
        <w:t>New frontiers of network analysis in Systems Biology</w:t>
      </w:r>
      <w:r w:rsidRPr="00435E25">
        <w:rPr>
          <w:b/>
          <w:noProof/>
        </w:rPr>
        <w:t xml:space="preserve"> (Ma'ayan, A. and MacArthur, B.D., eds), pp. 173-194, Springer</w:t>
      </w:r>
    </w:p>
    <w:sectPr w:rsidR="00824460" w:rsidRPr="00435E25" w:rsidSect="00E452FF">
      <w:footerReference w:type="even" r:id="rId10"/>
      <w:footerReference w:type="default" r:id="rId11"/>
      <w:pgSz w:w="11900" w:h="16840"/>
      <w:pgMar w:top="851" w:right="1134" w:bottom="851" w:left="1134" w:header="567" w:footer="567" w:gutter="0"/>
      <w:cols w:space="708"/>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376D" w:rsidRDefault="00C8376D">
      <w:pPr>
        <w:spacing w:after="0" w:line="240" w:lineRule="auto"/>
      </w:pPr>
      <w:r>
        <w:separator/>
      </w:r>
    </w:p>
  </w:endnote>
  <w:endnote w:type="continuationSeparator" w:id="0">
    <w:p w:rsidR="00C8376D" w:rsidRDefault="00C837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Lucida Grande">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76D" w:rsidRDefault="00C8376D" w:rsidP="008244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8376D" w:rsidRDefault="00C8376D" w:rsidP="0082446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76D" w:rsidRPr="008C2CEE" w:rsidRDefault="00C8376D" w:rsidP="00824460">
    <w:pPr>
      <w:pStyle w:val="Footer"/>
      <w:framePr w:wrap="around" w:vAnchor="text" w:hAnchor="margin" w:xAlign="right" w:y="1"/>
      <w:rPr>
        <w:rStyle w:val="PageNumber"/>
      </w:rPr>
    </w:pPr>
    <w:r w:rsidRPr="008C2CEE">
      <w:rPr>
        <w:rStyle w:val="PageNumber"/>
      </w:rPr>
      <w:fldChar w:fldCharType="begin"/>
    </w:r>
    <w:r w:rsidRPr="008C2CEE">
      <w:rPr>
        <w:rStyle w:val="PageNumber"/>
      </w:rPr>
      <w:instrText xml:space="preserve">PAGE  </w:instrText>
    </w:r>
    <w:r w:rsidRPr="008C2CEE">
      <w:rPr>
        <w:rStyle w:val="PageNumber"/>
      </w:rPr>
      <w:fldChar w:fldCharType="separate"/>
    </w:r>
    <w:r w:rsidR="00112A47">
      <w:rPr>
        <w:rStyle w:val="PageNumber"/>
        <w:noProof/>
      </w:rPr>
      <w:t>10</w:t>
    </w:r>
    <w:r w:rsidRPr="008C2CEE">
      <w:rPr>
        <w:rStyle w:val="PageNumber"/>
      </w:rPr>
      <w:fldChar w:fldCharType="end"/>
    </w:r>
  </w:p>
  <w:p w:rsidR="00C8376D" w:rsidRDefault="00C8376D" w:rsidP="00824460">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376D" w:rsidRDefault="00C8376D">
      <w:pPr>
        <w:spacing w:after="0" w:line="240" w:lineRule="auto"/>
      </w:pPr>
      <w:r>
        <w:separator/>
      </w:r>
    </w:p>
  </w:footnote>
  <w:footnote w:type="continuationSeparator" w:id="0">
    <w:p w:rsidR="00C8376D" w:rsidRDefault="00C8376D">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07576"/>
    <w:multiLevelType w:val="hybridMultilevel"/>
    <w:tmpl w:val="A942BA46"/>
    <w:lvl w:ilvl="0" w:tplc="A8729CF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DisplayPageBoundaries/>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doNotAutofitConstrainedTables/>
    <w:splitPgBreakAndParaMark/>
    <w:doNotVertAlignCellWithSp/>
    <w:doNotBreakConstrainedForcedTable/>
    <w:useAnsiKerningPairs/>
    <w:cachedColBalance/>
  </w:compat>
  <w:docVars>
    <w:docVar w:name="EN.InstantFormat" w:val="&lt;ENInstantFormat&gt;&lt;Enabled&gt;0&lt;/Enabled&gt;&lt;ScanUnformatted&gt;1&lt;/ScanUnformatted&gt;&lt;ScanChanges&gt;1&lt;/ScanChanges&gt;&lt;/ENInstantFormat&gt;"/>
  </w:docVars>
  <w:rsids>
    <w:rsidRoot w:val="00E452FF"/>
    <w:rsid w:val="00035196"/>
    <w:rsid w:val="00044CE9"/>
    <w:rsid w:val="000F1786"/>
    <w:rsid w:val="001121F0"/>
    <w:rsid w:val="00112A47"/>
    <w:rsid w:val="00123816"/>
    <w:rsid w:val="0018398F"/>
    <w:rsid w:val="00193DD4"/>
    <w:rsid w:val="00257286"/>
    <w:rsid w:val="002E4608"/>
    <w:rsid w:val="003025F6"/>
    <w:rsid w:val="00376545"/>
    <w:rsid w:val="0042279D"/>
    <w:rsid w:val="00427F95"/>
    <w:rsid w:val="00435E25"/>
    <w:rsid w:val="00465090"/>
    <w:rsid w:val="00497091"/>
    <w:rsid w:val="004D3D87"/>
    <w:rsid w:val="004E1A9B"/>
    <w:rsid w:val="00547CD6"/>
    <w:rsid w:val="005A09E7"/>
    <w:rsid w:val="005A5C0A"/>
    <w:rsid w:val="00605872"/>
    <w:rsid w:val="0062024C"/>
    <w:rsid w:val="006747AD"/>
    <w:rsid w:val="00725008"/>
    <w:rsid w:val="008148F7"/>
    <w:rsid w:val="00824460"/>
    <w:rsid w:val="008249DE"/>
    <w:rsid w:val="0087690C"/>
    <w:rsid w:val="008E7055"/>
    <w:rsid w:val="008F1A50"/>
    <w:rsid w:val="008F4FBE"/>
    <w:rsid w:val="009D1636"/>
    <w:rsid w:val="00AA6416"/>
    <w:rsid w:val="00AD1437"/>
    <w:rsid w:val="00AE77C1"/>
    <w:rsid w:val="00AF3EA7"/>
    <w:rsid w:val="00B84991"/>
    <w:rsid w:val="00BA0735"/>
    <w:rsid w:val="00BC2D81"/>
    <w:rsid w:val="00BD5808"/>
    <w:rsid w:val="00C70B36"/>
    <w:rsid w:val="00C75F03"/>
    <w:rsid w:val="00C8376D"/>
    <w:rsid w:val="00CA7EB8"/>
    <w:rsid w:val="00CC1A88"/>
    <w:rsid w:val="00D244D7"/>
    <w:rsid w:val="00D77485"/>
    <w:rsid w:val="00DA2F5A"/>
    <w:rsid w:val="00DE7B0E"/>
    <w:rsid w:val="00E452FF"/>
    <w:rsid w:val="00E90F47"/>
    <w:rsid w:val="00E9679B"/>
    <w:rsid w:val="00EA28C9"/>
    <w:rsid w:val="00F162CA"/>
    <w:rsid w:val="00F249F3"/>
    <w:rsid w:val="00F52027"/>
    <w:rsid w:val="00FC5F8D"/>
  </w:rsids>
  <m:mathPr>
    <m:mathFont m:val="Abadi MT Condensed Extra Bold"/>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52FF"/>
    <w:pPr>
      <w:spacing w:after="120" w:line="360" w:lineRule="auto"/>
      <w:jc w:val="both"/>
    </w:pPr>
    <w:rPr>
      <w:rFonts w:ascii="Arial" w:hAnsi="Arial"/>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DocumentMap">
    <w:name w:val="Document Map"/>
    <w:basedOn w:val="Normal"/>
    <w:link w:val="DocumentMapChar"/>
    <w:uiPriority w:val="99"/>
    <w:semiHidden/>
    <w:unhideWhenUsed/>
    <w:rsid w:val="00E452FF"/>
    <w:rPr>
      <w:rFonts w:ascii="Lucida Grande" w:hAnsi="Lucida Grande"/>
    </w:rPr>
  </w:style>
  <w:style w:type="character" w:customStyle="1" w:styleId="DocumentMapChar">
    <w:name w:val="Document Map Char"/>
    <w:basedOn w:val="DefaultParagraphFont"/>
    <w:link w:val="DocumentMap"/>
    <w:uiPriority w:val="99"/>
    <w:semiHidden/>
    <w:rsid w:val="00E452FF"/>
    <w:rPr>
      <w:rFonts w:ascii="Lucida Grande" w:hAnsi="Lucida Grande"/>
      <w:sz w:val="22"/>
    </w:rPr>
  </w:style>
  <w:style w:type="paragraph" w:styleId="Footer">
    <w:name w:val="footer"/>
    <w:basedOn w:val="Normal"/>
    <w:link w:val="FooterChar"/>
    <w:uiPriority w:val="99"/>
    <w:semiHidden/>
    <w:unhideWhenUsed/>
    <w:rsid w:val="00E452FF"/>
    <w:pPr>
      <w:tabs>
        <w:tab w:val="center" w:pos="4320"/>
        <w:tab w:val="right" w:pos="8640"/>
      </w:tabs>
    </w:pPr>
  </w:style>
  <w:style w:type="character" w:customStyle="1" w:styleId="FooterChar">
    <w:name w:val="Footer Char"/>
    <w:basedOn w:val="DefaultParagraphFont"/>
    <w:link w:val="Footer"/>
    <w:uiPriority w:val="99"/>
    <w:semiHidden/>
    <w:rsid w:val="00E452FF"/>
    <w:rPr>
      <w:rFonts w:ascii="Arial" w:hAnsi="Arial"/>
      <w:sz w:val="22"/>
    </w:rPr>
  </w:style>
  <w:style w:type="character" w:styleId="PageNumber">
    <w:name w:val="page number"/>
    <w:basedOn w:val="DefaultParagraphFont"/>
    <w:uiPriority w:val="99"/>
    <w:semiHidden/>
    <w:unhideWhenUsed/>
    <w:rsid w:val="00E452FF"/>
  </w:style>
  <w:style w:type="paragraph" w:styleId="Header">
    <w:name w:val="header"/>
    <w:basedOn w:val="Normal"/>
    <w:link w:val="HeaderChar"/>
    <w:uiPriority w:val="99"/>
    <w:semiHidden/>
    <w:unhideWhenUsed/>
    <w:rsid w:val="00E452FF"/>
    <w:pPr>
      <w:tabs>
        <w:tab w:val="center" w:pos="4320"/>
        <w:tab w:val="right" w:pos="8640"/>
      </w:tabs>
    </w:pPr>
  </w:style>
  <w:style w:type="character" w:customStyle="1" w:styleId="HeaderChar">
    <w:name w:val="Header Char"/>
    <w:basedOn w:val="DefaultParagraphFont"/>
    <w:link w:val="Header"/>
    <w:uiPriority w:val="99"/>
    <w:semiHidden/>
    <w:rsid w:val="00E452FF"/>
    <w:rPr>
      <w:rFonts w:ascii="Arial" w:hAnsi="Arial"/>
      <w:sz w:val="22"/>
    </w:rPr>
  </w:style>
  <w:style w:type="paragraph" w:customStyle="1" w:styleId="Heading1">
    <w:name w:val="Heading1"/>
    <w:basedOn w:val="Normal"/>
    <w:qFormat/>
    <w:rsid w:val="00E452FF"/>
    <w:pPr>
      <w:spacing w:before="360"/>
    </w:pPr>
    <w:rPr>
      <w:b/>
      <w:sz w:val="28"/>
    </w:rPr>
  </w:style>
  <w:style w:type="paragraph" w:styleId="ListParagraph">
    <w:name w:val="List Paragraph"/>
    <w:basedOn w:val="Normal"/>
    <w:uiPriority w:val="34"/>
    <w:qFormat/>
    <w:rsid w:val="00E452FF"/>
    <w:pPr>
      <w:spacing w:after="0"/>
      <w:ind w:left="170" w:hanging="170"/>
    </w:pPr>
  </w:style>
  <w:style w:type="paragraph" w:customStyle="1" w:styleId="bodytext">
    <w:name w:val="bodytext"/>
    <w:basedOn w:val="Normal"/>
    <w:rsid w:val="00E452FF"/>
    <w:pPr>
      <w:spacing w:before="100" w:beforeAutospacing="1" w:after="100" w:afterAutospacing="1" w:line="240" w:lineRule="auto"/>
      <w:jc w:val="left"/>
    </w:pPr>
    <w:rPr>
      <w:rFonts w:ascii="Times New Roman" w:eastAsia="Times New Roman" w:hAnsi="Times New Roman" w:cs="Times New Roman"/>
      <w:sz w:val="24"/>
    </w:rPr>
  </w:style>
  <w:style w:type="character" w:styleId="Hyperlink">
    <w:name w:val="Hyperlink"/>
    <w:rsid w:val="00E452FF"/>
    <w:rPr>
      <w:color w:val="0044B3"/>
      <w:u w:val="single"/>
      <w:bdr w:val="none" w:sz="0" w:space="0" w:color="auto" w:frame="1"/>
    </w:rPr>
  </w:style>
  <w:style w:type="paragraph" w:styleId="NormalWeb">
    <w:name w:val="Normal (Web)"/>
    <w:basedOn w:val="Normal"/>
    <w:uiPriority w:val="99"/>
    <w:rsid w:val="00E452FF"/>
    <w:pPr>
      <w:spacing w:before="100" w:beforeAutospacing="1" w:after="100" w:afterAutospacing="1" w:line="240" w:lineRule="auto"/>
      <w:jc w:val="left"/>
    </w:pPr>
    <w:rPr>
      <w:rFonts w:ascii="Times New Roman" w:eastAsia="Times New Roman" w:hAnsi="Times New Roman" w:cs="Times New Roman"/>
      <w:sz w:val="24"/>
      <w:lang w:val="de-DE" w:eastAsia="de-DE"/>
    </w:rPr>
  </w:style>
  <w:style w:type="paragraph" w:customStyle="1" w:styleId="references">
    <w:name w:val="references"/>
    <w:basedOn w:val="ListParagraph"/>
    <w:qFormat/>
    <w:rsid w:val="00E452FF"/>
    <w:pPr>
      <w:spacing w:line="240" w:lineRule="exact"/>
    </w:pPr>
    <w:rPr>
      <w:sz w:val="16"/>
    </w:rPr>
  </w:style>
  <w:style w:type="paragraph" w:customStyle="1" w:styleId="Default">
    <w:name w:val="Default"/>
    <w:rsid w:val="00E452FF"/>
    <w:pPr>
      <w:autoSpaceDE w:val="0"/>
      <w:autoSpaceDN w:val="0"/>
      <w:adjustRightInd w:val="0"/>
    </w:pPr>
    <w:rPr>
      <w:rFonts w:ascii="Arial" w:hAnsi="Arial" w:cs="Arial"/>
      <w:color w:val="000000"/>
    </w:rPr>
  </w:style>
  <w:style w:type="paragraph" w:customStyle="1" w:styleId="Projecttitle">
    <w:name w:val="Projecttitle"/>
    <w:basedOn w:val="Heading1"/>
    <w:qFormat/>
    <w:rsid w:val="00824460"/>
    <w:pPr>
      <w:spacing w:before="0" w:after="0"/>
      <w:jc w:val="center"/>
      <w:outlineLvl w:val="0"/>
    </w:pPr>
    <w:rPr>
      <w:sz w:val="34"/>
    </w:rPr>
  </w:style>
  <w:style w:type="paragraph" w:customStyle="1" w:styleId="Partners">
    <w:name w:val="Partners"/>
    <w:basedOn w:val="Heading1"/>
    <w:qFormat/>
    <w:rsid w:val="00E452FF"/>
    <w:pPr>
      <w:spacing w:before="0" w:after="0"/>
    </w:pPr>
  </w:style>
  <w:style w:type="paragraph" w:styleId="BalloonText">
    <w:name w:val="Balloon Text"/>
    <w:basedOn w:val="Normal"/>
    <w:link w:val="BalloonTextChar"/>
    <w:rsid w:val="00E452F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E452FF"/>
    <w:rPr>
      <w:rFonts w:ascii="Lucida Grande" w:hAnsi="Lucida Grande"/>
      <w:sz w:val="18"/>
      <w:szCs w:val="18"/>
    </w:rPr>
  </w:style>
  <w:style w:type="character" w:styleId="CommentReference">
    <w:name w:val="annotation reference"/>
    <w:basedOn w:val="DefaultParagraphFont"/>
    <w:rsid w:val="00E452FF"/>
    <w:rPr>
      <w:sz w:val="18"/>
      <w:szCs w:val="18"/>
    </w:rPr>
  </w:style>
  <w:style w:type="paragraph" w:styleId="CommentText">
    <w:name w:val="annotation text"/>
    <w:basedOn w:val="Normal"/>
    <w:link w:val="CommentTextChar"/>
    <w:rsid w:val="00E452FF"/>
    <w:pPr>
      <w:spacing w:line="240" w:lineRule="auto"/>
    </w:pPr>
    <w:rPr>
      <w:sz w:val="24"/>
    </w:rPr>
  </w:style>
  <w:style w:type="character" w:customStyle="1" w:styleId="CommentTextChar">
    <w:name w:val="Comment Text Char"/>
    <w:basedOn w:val="DefaultParagraphFont"/>
    <w:link w:val="CommentText"/>
    <w:rsid w:val="00E452FF"/>
    <w:rPr>
      <w:rFonts w:ascii="Arial" w:hAnsi="Arial"/>
    </w:rPr>
  </w:style>
  <w:style w:type="paragraph" w:styleId="CommentSubject">
    <w:name w:val="annotation subject"/>
    <w:basedOn w:val="CommentText"/>
    <w:next w:val="CommentText"/>
    <w:link w:val="CommentSubjectChar"/>
    <w:rsid w:val="00E452FF"/>
    <w:rPr>
      <w:b/>
      <w:bCs/>
      <w:sz w:val="20"/>
      <w:szCs w:val="20"/>
    </w:rPr>
  </w:style>
  <w:style w:type="character" w:customStyle="1" w:styleId="CommentSubjectChar">
    <w:name w:val="Comment Subject Char"/>
    <w:basedOn w:val="CommentTextChar"/>
    <w:link w:val="CommentSubject"/>
    <w:rsid w:val="00E452FF"/>
    <w:rPr>
      <w:rFonts w:ascii="Arial" w:hAnsi="Arial"/>
      <w:b/>
      <w:bCs/>
      <w:sz w:val="20"/>
      <w:szCs w:val="20"/>
    </w:rPr>
  </w:style>
  <w:style w:type="table" w:styleId="TableGrid">
    <w:name w:val="Table Grid"/>
    <w:basedOn w:val="TableNormal"/>
    <w:rsid w:val="00E452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d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4418</Words>
  <Characters>26068</Characters>
  <Application>Microsoft Macintosh Word</Application>
  <DocSecurity>0</DocSecurity>
  <Lines>357</Lines>
  <Paragraphs>110</Paragraphs>
  <ScaleCrop>false</ScaleCrop>
  <HeadingPairs>
    <vt:vector size="2" baseType="variant">
      <vt:variant>
        <vt:lpstr>Titel</vt:lpstr>
      </vt:variant>
      <vt:variant>
        <vt:i4>1</vt:i4>
      </vt:variant>
    </vt:vector>
  </HeadingPairs>
  <TitlesOfParts>
    <vt:vector size="1" baseType="lpstr">
      <vt:lpstr/>
    </vt:vector>
  </TitlesOfParts>
  <Company>IBMT</Company>
  <LinksUpToDate>false</LinksUpToDate>
  <CharactersWithSpaces>30928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kristinsere</dc:creator>
  <cp:lastModifiedBy>kristinsere</cp:lastModifiedBy>
  <cp:revision>10</cp:revision>
  <cp:lastPrinted>2013-03-22T18:43:00Z</cp:lastPrinted>
  <dcterms:created xsi:type="dcterms:W3CDTF">2013-03-22T17:14:00Z</dcterms:created>
  <dcterms:modified xsi:type="dcterms:W3CDTF">2013-03-22T18:54:00Z</dcterms:modified>
</cp:coreProperties>
</file>