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D05" w:rsidRPr="00AC11DB" w:rsidRDefault="00975283" w:rsidP="00852D05">
      <w:pPr>
        <w:spacing w:before="360" w:after="260" w:line="200" w:lineRule="exac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bCs/>
          <w:sz w:val="18"/>
          <w:szCs w:val="18"/>
        </w:rPr>
        <w:t xml:space="preserve">Supplementary </w:t>
      </w:r>
      <w:r w:rsidR="00852D05" w:rsidRPr="00AC11DB">
        <w:rPr>
          <w:rFonts w:ascii="Times New Roman" w:hAnsi="Times New Roman"/>
          <w:b/>
          <w:bCs/>
          <w:sz w:val="18"/>
          <w:szCs w:val="18"/>
        </w:rPr>
        <w:t xml:space="preserve">Table </w:t>
      </w:r>
      <w:r>
        <w:rPr>
          <w:rFonts w:ascii="Times New Roman" w:hAnsi="Times New Roman"/>
          <w:b/>
          <w:bCs/>
          <w:sz w:val="18"/>
          <w:szCs w:val="18"/>
        </w:rPr>
        <w:t>S</w:t>
      </w:r>
      <w:r w:rsidR="00852D05" w:rsidRPr="00AC11DB">
        <w:rPr>
          <w:rFonts w:ascii="Times New Roman" w:hAnsi="Times New Roman"/>
          <w:b/>
          <w:bCs/>
          <w:sz w:val="18"/>
          <w:szCs w:val="18"/>
        </w:rPr>
        <w:t>1.</w:t>
      </w:r>
      <w:r w:rsidR="00852D05" w:rsidRPr="00AC11DB">
        <w:rPr>
          <w:rFonts w:ascii="Times New Roman" w:hAnsi="Times New Roman"/>
          <w:b/>
          <w:bCs/>
          <w:sz w:val="18"/>
          <w:szCs w:val="18"/>
        </w:rPr>
        <w:t> </w:t>
      </w:r>
      <w:r w:rsidR="00852D05" w:rsidRPr="00AC11DB">
        <w:rPr>
          <w:sz w:val="18"/>
          <w:szCs w:val="18"/>
        </w:rPr>
        <w:t xml:space="preserve"> T</w:t>
      </w:r>
      <w:r w:rsidR="00852D05" w:rsidRPr="00AC11DB">
        <w:rPr>
          <w:sz w:val="18"/>
          <w:szCs w:val="18"/>
        </w:rPr>
        <w:t xml:space="preserve">he top 46 TF pairs with </w:t>
      </w:r>
      <w:r w:rsidR="00852D05" w:rsidRPr="00AC11DB">
        <w:rPr>
          <w:i/>
          <w:sz w:val="18"/>
          <w:szCs w:val="18"/>
        </w:rPr>
        <w:t>p</w:t>
      </w:r>
      <w:r w:rsidR="00852D05" w:rsidRPr="00AC11DB">
        <w:rPr>
          <w:sz w:val="18"/>
          <w:szCs w:val="18"/>
        </w:rPr>
        <w:t xml:space="preserve">-values less than </w:t>
      </w:r>
      <w:r w:rsidR="00AC11DB" w:rsidRPr="00AC11DB">
        <w:rPr>
          <w:position w:val="-6"/>
          <w:sz w:val="18"/>
          <w:szCs w:val="18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95pt;height:15.05pt" o:ole="">
            <v:imagedata r:id="rId4" o:title=""/>
          </v:shape>
          <o:OLEObject Type="Embed" ProgID="Equation.3" ShapeID="_x0000_i1025" DrawAspect="Content" ObjectID="_1482019640" r:id="rId5"/>
        </w:object>
      </w:r>
      <w:r w:rsidR="00852D05" w:rsidRPr="00AC11DB">
        <w:rPr>
          <w:sz w:val="18"/>
          <w:szCs w:val="18"/>
        </w:rPr>
        <w:t>are regarded</w:t>
      </w:r>
      <w:r w:rsidR="00852D05" w:rsidRPr="00AC11DB">
        <w:rPr>
          <w:sz w:val="18"/>
          <w:szCs w:val="18"/>
        </w:rPr>
        <w:t xml:space="preserve"> </w:t>
      </w:r>
      <w:r w:rsidR="00A3383F">
        <w:rPr>
          <w:sz w:val="18"/>
          <w:szCs w:val="18"/>
        </w:rPr>
        <w:t xml:space="preserve">as the </w:t>
      </w:r>
      <w:r w:rsidR="00852D05" w:rsidRPr="00AC11DB">
        <w:rPr>
          <w:sz w:val="18"/>
          <w:szCs w:val="18"/>
        </w:rPr>
        <w:t>statistically significant cooperative TF pairs</w:t>
      </w:r>
    </w:p>
    <w:p w:rsidR="00483B07" w:rsidRDefault="00483B0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3"/>
        <w:gridCol w:w="672"/>
        <w:gridCol w:w="756"/>
        <w:gridCol w:w="747"/>
        <w:gridCol w:w="3033"/>
        <w:gridCol w:w="2475"/>
      </w:tblGrid>
      <w:tr w:rsidR="00AF500B" w:rsidRPr="00AF500B" w:rsidTr="002A0DB3">
        <w:trPr>
          <w:trHeight w:val="630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rFonts w:hint="eastAsia"/>
                <w:b/>
                <w:bCs/>
                <w:sz w:val="16"/>
                <w:szCs w:val="16"/>
              </w:rPr>
              <w:t>Rank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b/>
                <w:bCs/>
                <w:sz w:val="16"/>
                <w:szCs w:val="16"/>
              </w:rPr>
              <w:t>TF1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b/>
                <w:bCs/>
                <w:sz w:val="16"/>
                <w:szCs w:val="16"/>
              </w:rPr>
              <w:t>TF2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b/>
                <w:bCs/>
                <w:sz w:val="16"/>
                <w:szCs w:val="16"/>
              </w:rPr>
              <w:t>p-value</w:t>
            </w:r>
          </w:p>
        </w:tc>
        <w:tc>
          <w:tcPr>
            <w:tcW w:w="3016" w:type="dxa"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b/>
                <w:bCs/>
                <w:sz w:val="16"/>
                <w:szCs w:val="16"/>
              </w:rPr>
              <w:t>Existing algorithms which also predict this potential cooperative TF pair</w:t>
            </w:r>
          </w:p>
        </w:tc>
        <w:tc>
          <w:tcPr>
            <w:tcW w:w="2475" w:type="dxa"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F500B">
              <w:rPr>
                <w:b/>
                <w:bCs/>
                <w:sz w:val="16"/>
                <w:szCs w:val="16"/>
              </w:rPr>
              <w:t xml:space="preserve">Physical PPI evidence from </w:t>
            </w:r>
            <w:proofErr w:type="spellStart"/>
            <w:r w:rsidRPr="00AF500B">
              <w:rPr>
                <w:b/>
                <w:bCs/>
                <w:sz w:val="16"/>
                <w:szCs w:val="16"/>
              </w:rPr>
              <w:t>BioGRID</w:t>
            </w:r>
            <w:proofErr w:type="spellEnd"/>
            <w:r w:rsidRPr="00AF500B">
              <w:rPr>
                <w:b/>
                <w:bCs/>
                <w:sz w:val="16"/>
                <w:szCs w:val="16"/>
              </w:rPr>
              <w:t xml:space="preserve"> database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IFH1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SFP1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7.96E-109</w:t>
            </w:r>
          </w:p>
        </w:tc>
        <w:tc>
          <w:tcPr>
            <w:tcW w:w="3016" w:type="dxa"/>
            <w:noWrap/>
            <w:hideMark/>
          </w:tcPr>
          <w:p w:rsidR="00483B07" w:rsidRPr="002A0DB3" w:rsidRDefault="00483B07" w:rsidP="00FA124D">
            <w:pPr>
              <w:rPr>
                <w:b/>
                <w:bCs/>
                <w:sz w:val="16"/>
                <w:szCs w:val="16"/>
                <w:highlight w:val="yellow"/>
              </w:rPr>
            </w:pPr>
            <w:r w:rsidRPr="002A0DB3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IFH1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RAP1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2.26E-94</w:t>
            </w:r>
          </w:p>
        </w:tc>
        <w:tc>
          <w:tcPr>
            <w:tcW w:w="3016" w:type="dxa"/>
            <w:noWrap/>
            <w:hideMark/>
          </w:tcPr>
          <w:p w:rsidR="00483B07" w:rsidRPr="002A0DB3" w:rsidRDefault="00483B07" w:rsidP="00FA124D">
            <w:pPr>
              <w:rPr>
                <w:b/>
                <w:bCs/>
                <w:sz w:val="16"/>
                <w:szCs w:val="16"/>
                <w:highlight w:val="yellow"/>
              </w:rPr>
            </w:pPr>
            <w:r w:rsidRPr="002A0DB3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STE12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TEC1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6.11E-72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[1][4][8][10][14]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RAP1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SFP1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3.56E-69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[1][4][8][11][14][15]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2.58E-55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8.41E-55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2.38E-53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5.02E-43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[1][4][8][10][14]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PDR1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PDR3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4.46E-42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[1][10][14][16]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1.88E-35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[1][4][8][10][14]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SKN7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3.36E-35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2A0DB3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ACE2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SWI5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4.94E-33</w:t>
            </w:r>
          </w:p>
        </w:tc>
        <w:tc>
          <w:tcPr>
            <w:tcW w:w="5491" w:type="dxa"/>
            <w:gridSpan w:val="2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[1][2][3][4][5][6][8][10][14][15][16]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TEC1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1.26E-30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CIN5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1.76E-29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HAP2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HAP4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5.22E-29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[8][14][15][16]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STE12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9.90E-29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lastRenderedPageBreak/>
              <w:t>17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TEC1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7.13E-28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MET28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1.21E-27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CBF1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1.40E-26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FHL1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IFH1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2.97E-26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SWI4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SWI6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8.45E-26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[1][2][3][4][5][6][8][10][12][13][14][15][16]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8.98E-26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MET28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1.21E-25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SKN7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2.35E-25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[1][8]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MET28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3.49E-25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MSN4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1.44E-24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MBP1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1.60E-24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[1][3][4][5][6][8][9][10][14][15][16]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CBF1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MET32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1.55E-23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AFT1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AFT2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7.38E-22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PDR1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2.28E-21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ARG80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ARG81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5.72E-21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[1][2][4][11][14][15]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32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CIN5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8.09E-21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[1][8][16]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33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SKO1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8.62E-21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34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2.42E-20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35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PDR1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6.23E-20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lastRenderedPageBreak/>
              <w:t>36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HSF1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6.67E-20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37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MBP1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SWI6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1.60E-19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[1][2][3][4][5][6][8][10][12][13][14][16]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38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OAF1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PIP2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1.71E-19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39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ADR1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CAT8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3.05E-19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40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7.55E-19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41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SKN7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1.24E-18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[1][9][11][14]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42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SOK2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STE12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1.57E-18</w:t>
            </w:r>
          </w:p>
        </w:tc>
        <w:tc>
          <w:tcPr>
            <w:tcW w:w="3016" w:type="dxa"/>
            <w:noWrap/>
            <w:hideMark/>
          </w:tcPr>
          <w:p w:rsidR="00483B07" w:rsidRPr="00A3383F" w:rsidRDefault="00483B07" w:rsidP="00FA124D">
            <w:pPr>
              <w:rPr>
                <w:b/>
                <w:bCs/>
                <w:sz w:val="16"/>
                <w:szCs w:val="16"/>
                <w:highlight w:val="yellow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43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INO2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INO4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1.73E-17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[1][4][8][14][16]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Y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44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RAP1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TUP1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1.82E-17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45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PDR3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4.33E-16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[14]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</w:p>
        </w:tc>
      </w:tr>
      <w:tr w:rsidR="00AF500B" w:rsidRPr="00AF500B" w:rsidTr="002A0DB3">
        <w:trPr>
          <w:trHeight w:val="315"/>
        </w:trPr>
        <w:tc>
          <w:tcPr>
            <w:tcW w:w="704" w:type="dxa"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rFonts w:hint="eastAsia"/>
                <w:sz w:val="16"/>
                <w:szCs w:val="16"/>
              </w:rPr>
              <w:t>46</w:t>
            </w:r>
          </w:p>
        </w:tc>
        <w:tc>
          <w:tcPr>
            <w:tcW w:w="598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MSN2</w:t>
            </w:r>
          </w:p>
        </w:tc>
        <w:tc>
          <w:tcPr>
            <w:tcW w:w="756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RAP1</w:t>
            </w:r>
          </w:p>
        </w:tc>
        <w:tc>
          <w:tcPr>
            <w:tcW w:w="747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>5.67E-16</w:t>
            </w:r>
          </w:p>
        </w:tc>
        <w:tc>
          <w:tcPr>
            <w:tcW w:w="3016" w:type="dxa"/>
            <w:noWrap/>
            <w:hideMark/>
          </w:tcPr>
          <w:p w:rsidR="00483B07" w:rsidRPr="00AF500B" w:rsidRDefault="00483B07" w:rsidP="00FA124D">
            <w:pPr>
              <w:rPr>
                <w:b/>
                <w:bCs/>
                <w:sz w:val="16"/>
                <w:szCs w:val="16"/>
              </w:rPr>
            </w:pPr>
            <w:r w:rsidRPr="00A3383F">
              <w:rPr>
                <w:b/>
                <w:bCs/>
                <w:sz w:val="16"/>
                <w:szCs w:val="16"/>
                <w:highlight w:val="yellow"/>
              </w:rPr>
              <w:t>Novel PCTFP</w:t>
            </w:r>
          </w:p>
        </w:tc>
        <w:tc>
          <w:tcPr>
            <w:tcW w:w="2475" w:type="dxa"/>
            <w:noWrap/>
            <w:hideMark/>
          </w:tcPr>
          <w:p w:rsidR="00483B07" w:rsidRPr="00AF500B" w:rsidRDefault="00483B07" w:rsidP="00FA124D">
            <w:pPr>
              <w:rPr>
                <w:sz w:val="16"/>
                <w:szCs w:val="16"/>
              </w:rPr>
            </w:pPr>
            <w:r w:rsidRPr="00AF500B">
              <w:rPr>
                <w:sz w:val="16"/>
                <w:szCs w:val="16"/>
              </w:rPr>
              <w:t xml:space="preserve">　</w:t>
            </w:r>
          </w:p>
        </w:tc>
      </w:tr>
    </w:tbl>
    <w:p w:rsidR="00483B07" w:rsidRDefault="00483B07">
      <w:pPr>
        <w:rPr>
          <w:sz w:val="16"/>
          <w:szCs w:val="16"/>
        </w:rPr>
      </w:pPr>
    </w:p>
    <w:tbl>
      <w:tblPr>
        <w:tblW w:w="8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0"/>
        <w:gridCol w:w="480"/>
        <w:gridCol w:w="1080"/>
        <w:gridCol w:w="2360"/>
        <w:gridCol w:w="2980"/>
      </w:tblGrid>
      <w:tr w:rsidR="00AC11DB" w:rsidRPr="00AC11DB" w:rsidTr="00AC11DB">
        <w:trPr>
          <w:trHeight w:val="315"/>
        </w:trPr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  <w:t>References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新細明體" w:hAnsi="Times New Roman" w:cs="Times New Roman"/>
                <w:b/>
                <w:bCs/>
                <w:kern w:val="0"/>
                <w:szCs w:val="24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[1]: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Balaji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S,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Babu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MM,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Iyer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LM,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Luscombe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NM,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Aravind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L: Comprehensive analysis of combinatorial regulation using the transcriptional regulatory network of yeast. J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Mol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Biol. 2006, 360(1):213-227.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[2]: Banerjee N, Zhang MQ: Identifying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cooperativity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among transcription factors controlling the cell cycle in yeast. Nucleic Acids Res 2003, 31:7024-7031.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[3]: Chang YH, Wang YC, 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Chen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BS: Identification of transcription factor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cooperativity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via stochastic system model. Bioinformatics 2006, 22:2276-2282.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[4]: Chen MJ, Chou LC, Hsieh TT, Lee DD, Liu KW, Yu CY,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Oyang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YJ, Tsai HK, 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Chen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CY: De novo motif discovery facilitates identification of interactions between transcription factors in Saccharomyces cerevisiae. Bioinformatics 2012, 28:701-708.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[5]: Chuang CL, Hung K, Chen CM, Shieh GS: Uncovering transcriptional interactions via an adaptive fuzzy logic approach. BMC Bioinformatics 2009, 10:400.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[6]: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Datta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D, Zhao H: Statistical methods to infer cooperative binding among transcription factors in Saccharomyces cerevisiae. Bioinformatics 2008, 24:545-552.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lastRenderedPageBreak/>
              <w:t xml:space="preserve">[7]: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Elati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Neuvial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P,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Bolotin-Fukuhara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Barillot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E, </w:t>
            </w:r>
            <w:proofErr w:type="spellStart"/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Radvanyi</w:t>
            </w:r>
            <w:proofErr w:type="spellEnd"/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F,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Rouveirol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C: LICORN: learning cooperative regulation networks from gene expression data. Bioinformatics 2007, 23:2407-2414.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[8]: Harbison CT, Gordon DB, Lee TI, Rinaldi NJ,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Macisaac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KD,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Danford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TW,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Hannett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NM,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Tagne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JB, Reynolds DB,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Yoo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J, Jennings EG,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Zeitlinger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J,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Pokholok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DK,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Kellis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M, Rolfe PA,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Takusagawa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KT, Lander ES, Gifford DK,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Fraenkel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E, Young RA: Transcriptional regulatory code of a eukaryotic genome. Nature 2004, 431:99-104.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480" w:hangingChars="200" w:hanging="48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[9]: He D, Zhou D, Zhou Y: Identifying synergistic transcriptional factors involved in the yeast cell cycle using Microarray and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ChIP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-chip data. In Proceedings of the Fifth International Conference on Grid and Cooperative Computing Workshops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:21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-23 October 2006; Hunan. Edited by Xiao N,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Buyya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R, Liu Y, Yang G. Los Alamitos: IEEE Computer Society; 1996:357-360.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[10]: Lai FJ,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Jhu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MH, Chiu CC, Huang YM, 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Wu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WS: Identifying cooperative transcription factors in yeast using multiple data sources. BMC Systems Biology 2014, 8(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Suppl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5):S2.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[11]: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Nagamine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N, Kawada Y, </w:t>
            </w:r>
            <w:proofErr w:type="spellStart"/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Sakakibara</w:t>
            </w:r>
            <w:proofErr w:type="spellEnd"/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Y: Identifying cooperative transcriptional regulations using protein-protein interactions. Nucleic Acids Res 2005, 33:4828-4837.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[12]: Tsai HK, Lu HHS, 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Li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WH: Statistical methods for identifying yeast cell cycle transcription factors.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Proc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Natl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Acad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Sci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USA 2005, 102:13532-13537.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[13]: Wang J: A new framework for identifying combinatorial regulation of transcription factors: a case study of the yeast cell cycle. J Biomedical Informatics 2006, 40:707-725.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[14]: Wang Y, Zhang XS, Xia Y: Predicting eukaryotic transcriptional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cooperativity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by Bayesian network integration of genome-wide data. Nucleic Acids Res 2009, 37:5943-5958.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[15]: Yang Y, Zhang Z, Li Y, </w:t>
            </w:r>
            <w:proofErr w:type="gram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Zhu</w:t>
            </w:r>
            <w:proofErr w:type="gram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XG, Liu Q: Identifying cooperative transcription factors by combining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ChIP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-chip data and knockout data. Cell Res 2010, 20:1276-1278.</w:t>
            </w:r>
          </w:p>
        </w:tc>
      </w:tr>
      <w:tr w:rsidR="00AC11DB" w:rsidRPr="00AC11DB" w:rsidTr="00AC11DB">
        <w:trPr>
          <w:trHeight w:val="315"/>
        </w:trPr>
        <w:tc>
          <w:tcPr>
            <w:tcW w:w="8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715E3F">
            <w:pPr>
              <w:widowControl/>
              <w:ind w:left="720" w:hangingChars="300" w:hanging="720"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[16]: Yu X, Lin J, Masuda T, </w:t>
            </w:r>
            <w:proofErr w:type="spellStart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>Esumi</w:t>
            </w:r>
            <w:proofErr w:type="spellEnd"/>
            <w:r w:rsidRPr="00AC11DB">
              <w:rPr>
                <w:rFonts w:ascii="Times New Roman" w:eastAsia="新細明體" w:hAnsi="Times New Roman" w:cs="Times New Roman"/>
                <w:kern w:val="0"/>
                <w:szCs w:val="24"/>
              </w:rPr>
              <w:t xml:space="preserve"> N, Zack DJ, Qian J: Genome-wide prediction and characterization of interactions between transcription factors in Saccharomyces cerevisiae. Nucleic Acids Res 2006, 34:917-927.</w:t>
            </w:r>
          </w:p>
        </w:tc>
      </w:tr>
      <w:tr w:rsidR="00AC11DB" w:rsidRPr="00AC11DB" w:rsidTr="00AC11DB">
        <w:trPr>
          <w:trHeight w:val="315"/>
        </w:trPr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新細明體" w:hAnsi="Times New Roman" w:cs="Times New Roman"/>
                <w:kern w:val="0"/>
                <w:szCs w:val="24"/>
              </w:rPr>
            </w:pP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C11DB" w:rsidRPr="00AC11DB" w:rsidRDefault="00AC11DB" w:rsidP="00AC11DB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AC11DB" w:rsidRPr="00AF500B" w:rsidRDefault="00AC11DB">
      <w:pPr>
        <w:rPr>
          <w:rFonts w:hint="eastAsia"/>
          <w:sz w:val="16"/>
          <w:szCs w:val="16"/>
        </w:rPr>
      </w:pPr>
      <w:bookmarkStart w:id="0" w:name="_GoBack"/>
      <w:bookmarkEnd w:id="0"/>
    </w:p>
    <w:sectPr w:rsidR="00AC11DB" w:rsidRPr="00AF50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B07"/>
    <w:rsid w:val="000004A9"/>
    <w:rsid w:val="00004D22"/>
    <w:rsid w:val="00022BE1"/>
    <w:rsid w:val="00024FE9"/>
    <w:rsid w:val="00046330"/>
    <w:rsid w:val="0006009B"/>
    <w:rsid w:val="00061E51"/>
    <w:rsid w:val="000624F8"/>
    <w:rsid w:val="00072EAF"/>
    <w:rsid w:val="0008047D"/>
    <w:rsid w:val="00090C8F"/>
    <w:rsid w:val="0009135F"/>
    <w:rsid w:val="00092F5E"/>
    <w:rsid w:val="00096EC6"/>
    <w:rsid w:val="000A00A4"/>
    <w:rsid w:val="000E7EB4"/>
    <w:rsid w:val="00101153"/>
    <w:rsid w:val="00102B37"/>
    <w:rsid w:val="00107DF6"/>
    <w:rsid w:val="00110160"/>
    <w:rsid w:val="00111208"/>
    <w:rsid w:val="00114B3D"/>
    <w:rsid w:val="00117928"/>
    <w:rsid w:val="00122A7F"/>
    <w:rsid w:val="00123984"/>
    <w:rsid w:val="00130AA8"/>
    <w:rsid w:val="00144071"/>
    <w:rsid w:val="00151563"/>
    <w:rsid w:val="0016383D"/>
    <w:rsid w:val="0016628D"/>
    <w:rsid w:val="00175E44"/>
    <w:rsid w:val="001771E6"/>
    <w:rsid w:val="00182C6D"/>
    <w:rsid w:val="001B0926"/>
    <w:rsid w:val="001C7A17"/>
    <w:rsid w:val="001D50A3"/>
    <w:rsid w:val="001E0B61"/>
    <w:rsid w:val="001E5697"/>
    <w:rsid w:val="00210854"/>
    <w:rsid w:val="00211495"/>
    <w:rsid w:val="002153F7"/>
    <w:rsid w:val="002225D1"/>
    <w:rsid w:val="0023687B"/>
    <w:rsid w:val="0025191A"/>
    <w:rsid w:val="00256FED"/>
    <w:rsid w:val="0028220F"/>
    <w:rsid w:val="002A0DB3"/>
    <w:rsid w:val="002C14C1"/>
    <w:rsid w:val="002C3C4F"/>
    <w:rsid w:val="002C41D8"/>
    <w:rsid w:val="002D1CCC"/>
    <w:rsid w:val="002D6EDA"/>
    <w:rsid w:val="002E0F53"/>
    <w:rsid w:val="002E2331"/>
    <w:rsid w:val="002E7B9E"/>
    <w:rsid w:val="002F3FEB"/>
    <w:rsid w:val="002F46EC"/>
    <w:rsid w:val="00303BAE"/>
    <w:rsid w:val="00306D5A"/>
    <w:rsid w:val="00307481"/>
    <w:rsid w:val="0031197D"/>
    <w:rsid w:val="003120C5"/>
    <w:rsid w:val="0032185B"/>
    <w:rsid w:val="00341D2A"/>
    <w:rsid w:val="00347E1E"/>
    <w:rsid w:val="00350C1A"/>
    <w:rsid w:val="00353F8E"/>
    <w:rsid w:val="00362F88"/>
    <w:rsid w:val="003862CC"/>
    <w:rsid w:val="003A3D97"/>
    <w:rsid w:val="003C1C12"/>
    <w:rsid w:val="003C4075"/>
    <w:rsid w:val="003C5133"/>
    <w:rsid w:val="003D37E1"/>
    <w:rsid w:val="003D4315"/>
    <w:rsid w:val="003F15A7"/>
    <w:rsid w:val="003F6456"/>
    <w:rsid w:val="00400819"/>
    <w:rsid w:val="004126C7"/>
    <w:rsid w:val="00430886"/>
    <w:rsid w:val="00473969"/>
    <w:rsid w:val="00481BBC"/>
    <w:rsid w:val="00483B07"/>
    <w:rsid w:val="00497504"/>
    <w:rsid w:val="004A7FC2"/>
    <w:rsid w:val="004B3B83"/>
    <w:rsid w:val="004B3E24"/>
    <w:rsid w:val="004C095A"/>
    <w:rsid w:val="004C61A2"/>
    <w:rsid w:val="004D62BD"/>
    <w:rsid w:val="004E7E3B"/>
    <w:rsid w:val="00522404"/>
    <w:rsid w:val="00541374"/>
    <w:rsid w:val="00566036"/>
    <w:rsid w:val="0056702B"/>
    <w:rsid w:val="00597AF1"/>
    <w:rsid w:val="005B0C13"/>
    <w:rsid w:val="005B466D"/>
    <w:rsid w:val="005B53D8"/>
    <w:rsid w:val="005B6F98"/>
    <w:rsid w:val="005C2C91"/>
    <w:rsid w:val="005D733A"/>
    <w:rsid w:val="005E2C3C"/>
    <w:rsid w:val="005F2A91"/>
    <w:rsid w:val="005F2C79"/>
    <w:rsid w:val="005F337B"/>
    <w:rsid w:val="005F745C"/>
    <w:rsid w:val="00615DF3"/>
    <w:rsid w:val="006265C7"/>
    <w:rsid w:val="00630555"/>
    <w:rsid w:val="00633E94"/>
    <w:rsid w:val="006344DB"/>
    <w:rsid w:val="00655ECA"/>
    <w:rsid w:val="00671BFF"/>
    <w:rsid w:val="00685FC5"/>
    <w:rsid w:val="00693129"/>
    <w:rsid w:val="006933DC"/>
    <w:rsid w:val="00693D2E"/>
    <w:rsid w:val="006978E1"/>
    <w:rsid w:val="006B204D"/>
    <w:rsid w:val="006C121E"/>
    <w:rsid w:val="006C153C"/>
    <w:rsid w:val="006F1EE6"/>
    <w:rsid w:val="006F46C8"/>
    <w:rsid w:val="006F4FE9"/>
    <w:rsid w:val="006F5802"/>
    <w:rsid w:val="00713027"/>
    <w:rsid w:val="00714522"/>
    <w:rsid w:val="00715E3F"/>
    <w:rsid w:val="007350F2"/>
    <w:rsid w:val="007532E9"/>
    <w:rsid w:val="00770E4A"/>
    <w:rsid w:val="007812C6"/>
    <w:rsid w:val="00791ABD"/>
    <w:rsid w:val="007A67DE"/>
    <w:rsid w:val="007C050A"/>
    <w:rsid w:val="007E0CB7"/>
    <w:rsid w:val="007E0ECC"/>
    <w:rsid w:val="007F6298"/>
    <w:rsid w:val="007F7A4C"/>
    <w:rsid w:val="00810434"/>
    <w:rsid w:val="00814020"/>
    <w:rsid w:val="00823199"/>
    <w:rsid w:val="008355EC"/>
    <w:rsid w:val="00847E99"/>
    <w:rsid w:val="00852D05"/>
    <w:rsid w:val="00855E17"/>
    <w:rsid w:val="00864666"/>
    <w:rsid w:val="00875C31"/>
    <w:rsid w:val="00890D26"/>
    <w:rsid w:val="008A5FB8"/>
    <w:rsid w:val="008C19BF"/>
    <w:rsid w:val="008C50C7"/>
    <w:rsid w:val="008D1E53"/>
    <w:rsid w:val="008E0A6F"/>
    <w:rsid w:val="008E13B5"/>
    <w:rsid w:val="008F7129"/>
    <w:rsid w:val="00904389"/>
    <w:rsid w:val="00911E4B"/>
    <w:rsid w:val="00913FF3"/>
    <w:rsid w:val="009239B7"/>
    <w:rsid w:val="0095402D"/>
    <w:rsid w:val="00961DB6"/>
    <w:rsid w:val="00967B4B"/>
    <w:rsid w:val="00975283"/>
    <w:rsid w:val="00991986"/>
    <w:rsid w:val="00992868"/>
    <w:rsid w:val="00993F4E"/>
    <w:rsid w:val="009A0E57"/>
    <w:rsid w:val="009C1C23"/>
    <w:rsid w:val="009C60AB"/>
    <w:rsid w:val="009E1B77"/>
    <w:rsid w:val="00A12316"/>
    <w:rsid w:val="00A23191"/>
    <w:rsid w:val="00A3383F"/>
    <w:rsid w:val="00A5033D"/>
    <w:rsid w:val="00A5128E"/>
    <w:rsid w:val="00A6277E"/>
    <w:rsid w:val="00A851D7"/>
    <w:rsid w:val="00A86801"/>
    <w:rsid w:val="00A912EA"/>
    <w:rsid w:val="00A950DF"/>
    <w:rsid w:val="00AC02CA"/>
    <w:rsid w:val="00AC11DB"/>
    <w:rsid w:val="00AD5265"/>
    <w:rsid w:val="00AF500B"/>
    <w:rsid w:val="00B16061"/>
    <w:rsid w:val="00B20D0E"/>
    <w:rsid w:val="00B23BA9"/>
    <w:rsid w:val="00B26838"/>
    <w:rsid w:val="00B41515"/>
    <w:rsid w:val="00B42C75"/>
    <w:rsid w:val="00B45E5A"/>
    <w:rsid w:val="00B614E6"/>
    <w:rsid w:val="00B640C5"/>
    <w:rsid w:val="00B65BBD"/>
    <w:rsid w:val="00B8452B"/>
    <w:rsid w:val="00B85C90"/>
    <w:rsid w:val="00BA6B9F"/>
    <w:rsid w:val="00BD236A"/>
    <w:rsid w:val="00BD4631"/>
    <w:rsid w:val="00BF4E2A"/>
    <w:rsid w:val="00C06365"/>
    <w:rsid w:val="00C20C5B"/>
    <w:rsid w:val="00C26FAE"/>
    <w:rsid w:val="00C34D51"/>
    <w:rsid w:val="00C367E2"/>
    <w:rsid w:val="00C51943"/>
    <w:rsid w:val="00C535F7"/>
    <w:rsid w:val="00C63E34"/>
    <w:rsid w:val="00C63F83"/>
    <w:rsid w:val="00C652CA"/>
    <w:rsid w:val="00C66CC7"/>
    <w:rsid w:val="00C777E6"/>
    <w:rsid w:val="00C90E09"/>
    <w:rsid w:val="00CB6D3B"/>
    <w:rsid w:val="00CE075E"/>
    <w:rsid w:val="00CE7466"/>
    <w:rsid w:val="00CF3020"/>
    <w:rsid w:val="00CF41CF"/>
    <w:rsid w:val="00CF4C54"/>
    <w:rsid w:val="00D02F21"/>
    <w:rsid w:val="00D24C5F"/>
    <w:rsid w:val="00D25410"/>
    <w:rsid w:val="00D31D3C"/>
    <w:rsid w:val="00D356AC"/>
    <w:rsid w:val="00D53AFF"/>
    <w:rsid w:val="00D57F44"/>
    <w:rsid w:val="00D6769A"/>
    <w:rsid w:val="00D70DDD"/>
    <w:rsid w:val="00D74B9F"/>
    <w:rsid w:val="00D75124"/>
    <w:rsid w:val="00D9004E"/>
    <w:rsid w:val="00D9076C"/>
    <w:rsid w:val="00DA143D"/>
    <w:rsid w:val="00DA2B3E"/>
    <w:rsid w:val="00DA41B4"/>
    <w:rsid w:val="00DC46B5"/>
    <w:rsid w:val="00DC7EAE"/>
    <w:rsid w:val="00E24D50"/>
    <w:rsid w:val="00E3104E"/>
    <w:rsid w:val="00E60D7B"/>
    <w:rsid w:val="00E64026"/>
    <w:rsid w:val="00E86113"/>
    <w:rsid w:val="00E965F6"/>
    <w:rsid w:val="00EA1906"/>
    <w:rsid w:val="00EB1124"/>
    <w:rsid w:val="00EB3A9E"/>
    <w:rsid w:val="00EC6933"/>
    <w:rsid w:val="00EE2AAB"/>
    <w:rsid w:val="00EE4998"/>
    <w:rsid w:val="00EF4055"/>
    <w:rsid w:val="00F12561"/>
    <w:rsid w:val="00F24B7A"/>
    <w:rsid w:val="00F35385"/>
    <w:rsid w:val="00F35E3C"/>
    <w:rsid w:val="00F5296F"/>
    <w:rsid w:val="00F701E2"/>
    <w:rsid w:val="00F91D47"/>
    <w:rsid w:val="00F971EC"/>
    <w:rsid w:val="00FA16B0"/>
    <w:rsid w:val="00FB6109"/>
    <w:rsid w:val="00FC2AA5"/>
    <w:rsid w:val="00FD534F"/>
    <w:rsid w:val="00FE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4A560-33F2-41C1-8748-B85DD3F0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3B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Wesson Wu</dc:creator>
  <cp:keywords/>
  <dc:description/>
  <cp:lastModifiedBy>Wesson Wu</cp:lastModifiedBy>
  <cp:revision>8</cp:revision>
  <dcterms:created xsi:type="dcterms:W3CDTF">2015-01-05T19:07:00Z</dcterms:created>
  <dcterms:modified xsi:type="dcterms:W3CDTF">2015-01-05T19:21:00Z</dcterms:modified>
</cp:coreProperties>
</file>