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77777777" w:rsidR="00E758F7" w:rsidRDefault="00E758F7" w:rsidP="00E758F7">
      <w:pPr>
        <w:pStyle w:val="Heading1"/>
        <w:rPr>
          <w:rFonts w:eastAsia="Times New Roman"/>
        </w:rPr>
      </w:pPr>
      <w:r>
        <w:rPr>
          <w:rFonts w:eastAsia="Times New Roman"/>
        </w:rPr>
        <w:t>Background and role of the ISO/IEC 10646/MA</w:t>
      </w:r>
    </w:p>
    <w:p w14:paraId="0933ECD1" w14:textId="77777777" w:rsidR="00E758F7" w:rsidRDefault="00E758F7" w:rsidP="00E758F7">
      <w:pPr>
        <w:pStyle w:val="Heading2"/>
        <w:rPr>
          <w:rFonts w:eastAsia="Times New Roman"/>
        </w:rPr>
      </w:pPr>
      <w:r>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7777777" w:rsidR="00E758F7" w:rsidRDefault="00E758F7" w:rsidP="00E758F7">
      <w:pPr>
        <w:pStyle w:val="Heading2"/>
        <w:rPr>
          <w:rFonts w:eastAsia="Times New Roman"/>
        </w:rPr>
      </w:pPr>
      <w:r>
        <w:rPr>
          <w:rFonts w:eastAsia="Times New Roman"/>
        </w:rPr>
        <w:t>Role of ISO/IEC 10646/MA</w:t>
      </w:r>
    </w:p>
    <w:p w14:paraId="2890E222" w14:textId="77777777" w:rsidR="00E758F7" w:rsidRDefault="00E758F7" w:rsidP="00E758F7">
      <w:pPr>
        <w:pStyle w:val="NormalWeb"/>
      </w:pPr>
      <w:r>
        <w:t>The primary role of the ISO/IEC 10646/MA is to maintain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77777777" w:rsidR="00E758F7" w:rsidRDefault="00E758F7" w:rsidP="00E758F7">
      <w:pPr>
        <w:pStyle w:val="Heading1"/>
        <w:rPr>
          <w:rFonts w:eastAsia="Times New Roman"/>
        </w:rPr>
      </w:pPr>
      <w:r>
        <w:rPr>
          <w:rFonts w:eastAsia="Times New Roman"/>
        </w:rPr>
        <w:t>Composition of the ISO/IEC 10646/MA</w:t>
      </w:r>
    </w:p>
    <w:p w14:paraId="0935377E" w14:textId="77777777" w:rsidR="00E758F7" w:rsidRDefault="00E758F7" w:rsidP="00E758F7">
      <w:pPr>
        <w:pStyle w:val="Heading2"/>
        <w:rPr>
          <w:rFonts w:eastAsia="Times New Roman"/>
        </w:rPr>
      </w:pPr>
      <w:r>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77777777" w:rsidR="00E758F7" w:rsidRDefault="00E758F7" w:rsidP="00E758F7">
      <w:pPr>
        <w:pStyle w:val="Heading2"/>
        <w:rPr>
          <w:rFonts w:eastAsia="Times New Roman"/>
        </w:rPr>
      </w:pPr>
      <w:r>
        <w:rPr>
          <w:rFonts w:eastAsia="Times New Roman"/>
        </w:rPr>
        <w:t>Character Coding Agencies</w:t>
      </w:r>
    </w:p>
    <w:p w14:paraId="01E7A9DE" w14:textId="77777777" w:rsidR="00E758F7" w:rsidRDefault="00E758F7" w:rsidP="00E758F7">
      <w:pPr>
        <w:pStyle w:val="NormalWeb"/>
      </w:pPr>
      <w:r>
        <w:t>Two entities are designated as Character Coding Agencies (CCAs):</w:t>
      </w:r>
    </w:p>
    <w:p w14:paraId="2F6C51BD"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The Unicode Consortium</w:t>
      </w:r>
    </w:p>
    <w:p w14:paraId="698879F4"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 xml:space="preserve">ISO/IEC JTC 1/SC 2/AG 1, </w:t>
      </w:r>
      <w:r>
        <w:rPr>
          <w:rFonts w:eastAsia="Times New Roman"/>
          <w:i/>
          <w:iCs/>
        </w:rPr>
        <w:t>Ideographic Research Group</w:t>
      </w:r>
    </w:p>
    <w:p w14:paraId="33BB829F" w14:textId="77777777" w:rsidR="00E758F7" w:rsidRDefault="00E758F7" w:rsidP="00E758F7">
      <w:pPr>
        <w:pStyle w:val="NormalWeb"/>
      </w:pPr>
      <w:r>
        <w:t>These CCAs process and evaluate proposed changes to the UCS repertoire and provide recommendations to a Voting Group. See Clause 4 for details.</w:t>
      </w:r>
    </w:p>
    <w:p w14:paraId="3B8EE6B4" w14:textId="77777777" w:rsidR="00E758F7" w:rsidRDefault="00E758F7" w:rsidP="00E758F7">
      <w:pPr>
        <w:pStyle w:val="Heading2"/>
        <w:rPr>
          <w:rFonts w:eastAsia="Times New Roman"/>
        </w:rPr>
      </w:pPr>
      <w:r>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lastRenderedPageBreak/>
        <w:t>The IA shall be a Category A liaison with ISO/IEC JTC 1/SC 2.</w:t>
      </w:r>
    </w:p>
    <w:p w14:paraId="19424F41" w14:textId="77777777" w:rsidR="00E758F7" w:rsidRDefault="00E758F7" w:rsidP="00E758F7">
      <w:pPr>
        <w:pStyle w:val="Heading2"/>
        <w:rPr>
          <w:rFonts w:eastAsia="Times New Roman"/>
        </w:rPr>
      </w:pPr>
      <w:r>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77777777" w:rsidR="00E758F7" w:rsidRDefault="00E758F7" w:rsidP="00E758F7">
      <w:pPr>
        <w:pStyle w:val="NormalWeb"/>
      </w:pPr>
      <w:r>
        <w:t xml:space="preserve">The MA is not required to publicly document the names of </w:t>
      </w:r>
      <w:proofErr w:type="spellStart"/>
      <w:r>
        <w:t>theRepresentatives</w:t>
      </w:r>
      <w:proofErr w:type="spellEnd"/>
      <w:r>
        <w:t xml:space="preserve">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56744057" w14:textId="77777777" w:rsidR="00E758F7" w:rsidRDefault="00E758F7" w:rsidP="00E758F7">
      <w:pPr>
        <w:pStyle w:val="Heading2"/>
        <w:rPr>
          <w:rFonts w:eastAsia="Times New Roman"/>
        </w:rPr>
      </w:pPr>
      <w:r>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 xml:space="preserve">The Chairperson should communicate with the MAS regarding any concerns hindering successful functioning of the Voting Group. If a Representative is not participating </w:t>
      </w:r>
      <w:r>
        <w:lastRenderedPageBreak/>
        <w:t>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77777777" w:rsidR="00E758F7" w:rsidRPr="00B67EDC" w:rsidRDefault="00E758F7" w:rsidP="00E758F7">
      <w:pPr>
        <w:pStyle w:val="Heading1"/>
        <w:rPr>
          <w:rFonts w:eastAsia="Times New Roman"/>
          <w:lang w:val="fr-FR"/>
        </w:rPr>
      </w:pPr>
      <w:r w:rsidRPr="00B67EDC">
        <w:rPr>
          <w:rFonts w:eastAsia="Times New Roman"/>
          <w:lang w:val="fr-FR"/>
        </w:rPr>
        <w:t xml:space="preserve">ISO/IEC 10646/MA </w:t>
      </w:r>
      <w:proofErr w:type="spellStart"/>
      <w:r w:rsidRPr="00B67EDC">
        <w:rPr>
          <w:rFonts w:eastAsia="Times New Roman"/>
          <w:lang w:val="fr-FR"/>
        </w:rPr>
        <w:t>Secretariat</w:t>
      </w:r>
      <w:proofErr w:type="spellEnd"/>
      <w:r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 xml:space="preserve">Producing </w:t>
      </w:r>
      <w:proofErr w:type="gramStart"/>
      <w:r>
        <w:rPr>
          <w:rFonts w:eastAsia="Times New Roman"/>
        </w:rPr>
        <w:t>a</w:t>
      </w:r>
      <w:proofErr w:type="gramEnd"/>
      <w:r>
        <w:rPr>
          <w:rFonts w:eastAsia="Times New Roman"/>
        </w:rPr>
        <w:t xml:space="preserve">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77777777" w:rsidR="00E758F7" w:rsidRDefault="00E758F7" w:rsidP="00E758F7">
      <w:pPr>
        <w:pStyle w:val="Heading1"/>
        <w:rPr>
          <w:rFonts w:eastAsia="Times New Roman"/>
        </w:rPr>
      </w:pPr>
      <w:r>
        <w:rPr>
          <w:rFonts w:eastAsia="Times New Roman"/>
        </w:rPr>
        <w:t>Character Coding Agencies (CCAs)</w:t>
      </w:r>
    </w:p>
    <w:p w14:paraId="1951D2BF" w14:textId="77777777" w:rsidR="00E758F7" w:rsidRDefault="00E758F7" w:rsidP="00E758F7">
      <w:pPr>
        <w:pStyle w:val="Heading2"/>
        <w:rPr>
          <w:rFonts w:eastAsia="Times New Roman"/>
        </w:rPr>
      </w:pPr>
      <w:r>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 xml:space="preserve">The two CCAs may collaborate on any topics regardless of the categories listed above and shall assist one another in evaluation of proposed changes whenever necessary. The CCAs develop </w:t>
      </w:r>
      <w:r>
        <w:lastRenderedPageBreak/>
        <w:t>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77777777" w:rsidR="00E758F7" w:rsidRDefault="00E758F7" w:rsidP="00E758F7">
      <w:pPr>
        <w:pStyle w:val="Heading2"/>
        <w:rPr>
          <w:rFonts w:eastAsia="Times New Roman"/>
        </w:rPr>
      </w:pPr>
      <w:r>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lastRenderedPageBreak/>
        <w:t>IRG information and documents can be found at the IRG website: https://www.unicode.org/irg/.</w:t>
      </w:r>
    </w:p>
    <w:p w14:paraId="6AF7AC89" w14:textId="77777777" w:rsidR="00E758F7" w:rsidRDefault="00E758F7" w:rsidP="00E758F7">
      <w:pPr>
        <w:pStyle w:val="Heading2"/>
        <w:rPr>
          <w:rFonts w:eastAsia="Times New Roman"/>
        </w:rPr>
      </w:pPr>
      <w:r>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77777777" w:rsidR="00E758F7" w:rsidRDefault="00E758F7" w:rsidP="00E758F7">
      <w:pPr>
        <w:pStyle w:val="Heading1"/>
        <w:rPr>
          <w:rFonts w:eastAsia="Times New Roman"/>
        </w:rPr>
      </w:pPr>
      <w:r>
        <w:rPr>
          <w:rFonts w:eastAsia="Times New Roman"/>
        </w:rPr>
        <w:t>Procedures for the maintenance of the UCS character repertoire</w:t>
      </w:r>
    </w:p>
    <w:p w14:paraId="46C7B681" w14:textId="77777777" w:rsidR="00E758F7" w:rsidRDefault="00E758F7" w:rsidP="00E758F7">
      <w:pPr>
        <w:pStyle w:val="Heading2"/>
        <w:rPr>
          <w:rFonts w:eastAsia="Times New Roman"/>
        </w:rPr>
      </w:pPr>
      <w:r>
        <w:rPr>
          <w:rFonts w:eastAsia="Times New Roman"/>
        </w:rPr>
        <w:t>Overview</w:t>
      </w:r>
    </w:p>
    <w:p w14:paraId="76B15265" w14:textId="77777777" w:rsidR="00E758F7" w:rsidRDefault="00E758F7" w:rsidP="00E758F7">
      <w:pPr>
        <w:pStyle w:val="NormalWeb"/>
      </w:pPr>
      <w:proofErr w:type="gramStart"/>
      <w:r>
        <w:t>In order to</w:t>
      </w:r>
      <w:proofErr w:type="gramEnd"/>
      <w:r>
        <w:t xml:space="preserve">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proofErr w:type="gramStart"/>
      <w:r>
        <w:rPr>
          <w:i/>
          <w:iCs/>
        </w:rPr>
        <w:t>commenting</w:t>
      </w:r>
      <w:r>
        <w:t xml:space="preserve">, </w:t>
      </w:r>
      <w:r>
        <w:rPr>
          <w:i/>
          <w:iCs/>
        </w:rPr>
        <w:t> resolution</w:t>
      </w:r>
      <w:proofErr w:type="gramEnd"/>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representative glyphs</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lastRenderedPageBreak/>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77777777" w:rsidR="00E758F7" w:rsidRDefault="00E758F7" w:rsidP="00E758F7">
      <w:pPr>
        <w:pStyle w:val="Heading2"/>
        <w:rPr>
          <w:rFonts w:eastAsia="Times New Roman"/>
        </w:rPr>
      </w:pPr>
      <w:r>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2A236102" w14:textId="77777777" w:rsidR="00B67ED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r w:rsidR="00B67EDC">
        <w:rPr>
          <w:rFonts w:eastAsia="Times New Roman"/>
        </w:rPr>
        <w:br/>
      </w:r>
      <w:r>
        <w:t xml:space="preserve">The Submitter may submit a revised CR that addresses the reasons for </w:t>
      </w:r>
      <w:r>
        <w:lastRenderedPageBreak/>
        <w:t>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77777777" w:rsidR="00E758F7" w:rsidRDefault="00E758F7" w:rsidP="00E758F7">
      <w:pPr>
        <w:pStyle w:val="Heading2"/>
        <w:rPr>
          <w:rFonts w:eastAsia="Times New Roman"/>
        </w:rPr>
      </w:pPr>
      <w:r>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this may be reduced to six weeks, provided that the accelerated commenting period is clearly communicated. National body experts are expected to respond within the specified commenting </w:t>
      </w:r>
      <w:r w:rsidRPr="00B67EDC">
        <w:rPr>
          <w:rFonts w:eastAsia="Times New Roman"/>
        </w:rPr>
        <w:lastRenderedPageBreak/>
        <w:t>period. If needed, national bodies may request one 40-day extension to submit comments.</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 xml:space="preserve">During the commenting phase, Representatives shall read the CR and any preliminary recommendations of the CCA. </w:t>
      </w:r>
      <w:proofErr w:type="gramStart"/>
      <w:r w:rsidRPr="00B67EDC">
        <w:rPr>
          <w:rFonts w:eastAsia="Times New Roman"/>
        </w:rPr>
        <w:t>The  Representatives</w:t>
      </w:r>
      <w:proofErr w:type="gramEnd"/>
      <w:r w:rsidRPr="00B67EDC">
        <w:rPr>
          <w:rFonts w:eastAsia="Times New Roman"/>
        </w:rPr>
        <w:t xml:space="preserve">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27D8FF18" w14:textId="77777777" w:rsidR="00E758F7" w:rsidRDefault="00E758F7" w:rsidP="00E758F7">
      <w:pPr>
        <w:pStyle w:val="Heading2"/>
        <w:rPr>
          <w:rFonts w:eastAsia="Times New Roman"/>
        </w:rPr>
      </w:pPr>
      <w:r>
        <w:rPr>
          <w:rFonts w:eastAsia="Times New Roman"/>
        </w:rPr>
        <w:t>Resolution phase</w:t>
      </w:r>
    </w:p>
    <w:p w14:paraId="4ABF0E11" w14:textId="77777777" w:rsidR="00E758F7" w:rsidRDefault="00E758F7" w:rsidP="00E758F7">
      <w:pPr>
        <w:pStyle w:val="Heading3"/>
        <w:rPr>
          <w:rFonts w:eastAsia="Times New Roman"/>
        </w:rPr>
      </w:pPr>
      <w:r>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0682F383" w14:textId="77777777" w:rsidR="00B67EDC" w:rsidRDefault="00E758F7" w:rsidP="00B67EDC">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6403B216" w14:textId="77777777" w:rsid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The Primary Representative of the IA communicates that the position of the IA is in favour of the Decision.</w:t>
      </w:r>
    </w:p>
    <w:p w14:paraId="4FA486D3" w14:textId="4496B0A6" w:rsidR="00E758F7" w:rsidRP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Two-thirds of the votes from P-member Representatives, excluding abstentions, are in favour of the Decision.</w:t>
      </w:r>
    </w:p>
    <w:p w14:paraId="75D53792" w14:textId="77777777" w:rsidR="00E758F7" w:rsidRDefault="00E758F7" w:rsidP="00E758F7">
      <w:pPr>
        <w:pStyle w:val="NormalWeb"/>
      </w:pPr>
      <w:r>
        <w:lastRenderedPageBreak/>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t>NOTE 2        Consensus is defined by ISO/IEC Guide 2:2004, entry 1.7, and the ISO Directives, part 1, subclause 2.5.6.</w:t>
      </w:r>
    </w:p>
    <w:p w14:paraId="1C531B07" w14:textId="77777777" w:rsidR="00E758F7" w:rsidRDefault="00E758F7" w:rsidP="00E758F7">
      <w:pPr>
        <w:pStyle w:val="Heading3"/>
        <w:rPr>
          <w:rFonts w:eastAsia="Times New Roman"/>
        </w:rPr>
      </w:pPr>
      <w:r>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33C2F123" w14:textId="77777777" w:rsidR="00B67EDC"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At the discretion of the Chairperson or by request of a </w:t>
      </w:r>
      <w:proofErr w:type="gramStart"/>
      <w:r>
        <w:rPr>
          <w:rFonts w:eastAsia="Times New Roman"/>
        </w:rPr>
        <w:t>Representative ,</w:t>
      </w:r>
      <w:proofErr w:type="gramEnd"/>
      <w:r>
        <w:rPr>
          <w:rFonts w:eastAsia="Times New Roman"/>
        </w:rPr>
        <w:t xml:space="preserve">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r w:rsidR="00B67EDC">
        <w:rPr>
          <w:rFonts w:eastAsia="Times New Roman"/>
        </w:rPr>
        <w:br/>
      </w:r>
      <w:r>
        <w:t>NOTE        As meetings are scheduled at least seven days prior to the end of the deliberation period, it is possible to initiate a Decision to extend the deliberation period at these meetings.</w:t>
      </w:r>
    </w:p>
    <w:p w14:paraId="17995ABA"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Within 40 days, the Chairperson will query the Voting Group to assess readiness to proceed to a vote. If any </w:t>
      </w:r>
      <w:proofErr w:type="gramStart"/>
      <w:r w:rsidRPr="00B67EDC">
        <w:rPr>
          <w:rFonts w:eastAsia="Times New Roman"/>
        </w:rPr>
        <w:t>Representative  requests</w:t>
      </w:r>
      <w:proofErr w:type="gramEnd"/>
      <w:r w:rsidRPr="00B67EDC">
        <w:rPr>
          <w:rFonts w:eastAsia="Times New Roman"/>
        </w:rPr>
        <w:t xml:space="preserve">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w:t>
      </w:r>
      <w:proofErr w:type="gramStart"/>
      <w:r w:rsidRPr="00B67EDC">
        <w:rPr>
          <w:rFonts w:eastAsia="Times New Roman"/>
        </w:rPr>
        <w:t>by  consensus</w:t>
      </w:r>
      <w:proofErr w:type="gramEnd"/>
      <w:r w:rsidRPr="00B67EDC">
        <w:rPr>
          <w:rFonts w:eastAsia="Times New Roman"/>
        </w:rPr>
        <w:t xml:space="preserve"> of the Representatives other than the Chairperson present at a meeting, or by a Decision of the Voting Group taken prior to the end of the deliberation period. After the first extension, further 20-day extensions shall be required only if requested </w:t>
      </w:r>
      <w:proofErr w:type="gramStart"/>
      <w:r w:rsidRPr="00B67EDC">
        <w:rPr>
          <w:rFonts w:eastAsia="Times New Roman"/>
        </w:rPr>
        <w:t>by  consensus</w:t>
      </w:r>
      <w:proofErr w:type="gramEnd"/>
      <w:r w:rsidRPr="00B67EDC">
        <w:rPr>
          <w:rFonts w:eastAsia="Times New Roman"/>
        </w:rPr>
        <w:t xml:space="preserve"> of the Representatives present at a meeting or by a Decision of the Voting Group taken prior to the end of the deliberation period.</w:t>
      </w:r>
    </w:p>
    <w:p w14:paraId="1F62FBA6"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42E000B"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 xml:space="preserve">When there is consensus that the CR is ready for </w:t>
      </w:r>
      <w:proofErr w:type="gramStart"/>
      <w:r w:rsidRPr="00B67EDC">
        <w:rPr>
          <w:rFonts w:eastAsia="Times New Roman"/>
        </w:rPr>
        <w:t>a  Resolution</w:t>
      </w:r>
      <w:proofErr w:type="gramEnd"/>
      <w:r w:rsidRPr="00B67EDC">
        <w:rPr>
          <w:rFonts w:eastAsia="Times New Roman"/>
        </w:rPr>
        <w:t>, the Chairperson shall initiate a Decision. The ballot shall clearly communicate the proposed changes to be decided. The Voting Period shall normally be 20 days; if more time is requested, the Chairperson may extend the Voting Period up to 40 days total; in exceptional cases involving urgently needed characters, this may be accelerated to 7 days.</w:t>
      </w:r>
    </w:p>
    <w:p w14:paraId="0E1EE675"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 vote opposing the proposed change shall be accompanied by written reasons for opposing the change.</w:t>
      </w:r>
    </w:p>
    <w:p w14:paraId="675B8ABE"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lastRenderedPageBreak/>
        <w:t>After the Voting Period has concluded, the following are possible outcomes:</w:t>
      </w:r>
    </w:p>
    <w:p w14:paraId="575B6E1D"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taken, then the proposed changes are approved, and the CR progresses to the Implementation phase (5.5).</w:t>
      </w:r>
    </w:p>
    <w:p w14:paraId="53A8E302"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rejected, then:</w:t>
      </w:r>
    </w:p>
    <w:p w14:paraId="6A885FA8"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By consensus within the Voting Group, the CR may be reset to the Commenting phase, with written instructions to the CCA for further information or revisions to the CR; or</w:t>
      </w:r>
    </w:p>
    <w:p w14:paraId="6A0E9FA2"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The CR is rejected, and the case is resolved.</w:t>
      </w:r>
    </w:p>
    <w:p w14:paraId="7C7C4C6E" w14:textId="04E897A7" w:rsidR="00E758F7" w:rsidRP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Pr="00B67EDC" w:rsidRDefault="00E758F7" w:rsidP="00E758F7">
      <w:pPr>
        <w:pStyle w:val="NormalWeb"/>
        <w:rPr>
          <w:b/>
          <w:bCs/>
        </w:rPr>
      </w:pPr>
      <w:r w:rsidRPr="00B67EDC">
        <w:rPr>
          <w:b/>
          <w:bCs/>
        </w:rPr>
        <w:t>Output: A formal CR vote has been carried out, usually resulting in its acceptance or rejection. On Acceptance, a CR progresses to the Implementation phase.</w:t>
      </w:r>
    </w:p>
    <w:p w14:paraId="08A30F14" w14:textId="77777777" w:rsidR="00E758F7" w:rsidRDefault="00E758F7" w:rsidP="00E758F7">
      <w:pPr>
        <w:pStyle w:val="Heading2"/>
        <w:rPr>
          <w:rFonts w:eastAsia="Times New Roman"/>
        </w:rPr>
      </w:pPr>
      <w:r>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w:t>
      </w:r>
      <w:proofErr w:type="gramStart"/>
      <w:r>
        <w:t>IA(</w:t>
      </w:r>
      <w:proofErr w:type="gramEnd"/>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77777777" w:rsidR="00E758F7" w:rsidRDefault="00E758F7" w:rsidP="00E758F7">
      <w:pPr>
        <w:pStyle w:val="Heading2"/>
        <w:rPr>
          <w:rFonts w:eastAsia="Times New Roman"/>
        </w:rPr>
      </w:pPr>
      <w:r>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lastRenderedPageBreak/>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77777777" w:rsidR="00E758F7" w:rsidRDefault="00E758F7" w:rsidP="00E758F7">
      <w:pPr>
        <w:pStyle w:val="Heading1"/>
        <w:rPr>
          <w:rFonts w:eastAsia="Times New Roman"/>
        </w:rPr>
      </w:pPr>
      <w:r>
        <w:rPr>
          <w:rFonts w:eastAsia="Times New Roman"/>
        </w:rPr>
        <w:t xml:space="preserve">Facilities used by the ISO/IEC 10646/MA </w:t>
      </w:r>
    </w:p>
    <w:p w14:paraId="4654749C" w14:textId="77777777" w:rsidR="00E758F7" w:rsidRDefault="00E758F7" w:rsidP="00E758F7">
      <w:pPr>
        <w:pStyle w:val="Heading2"/>
        <w:rPr>
          <w:rFonts w:eastAsia="Times New Roman"/>
        </w:rPr>
      </w:pPr>
      <w:r>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77777777" w:rsidR="00E758F7" w:rsidRDefault="00E758F7" w:rsidP="00E758F7">
      <w:pPr>
        <w:pStyle w:val="Heading2"/>
        <w:rPr>
          <w:rFonts w:eastAsia="Times New Roman"/>
        </w:rPr>
      </w:pPr>
      <w:r>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lastRenderedPageBreak/>
        <w:t>A regular newsletter summarizing status and outcomes of CRs.</w:t>
      </w:r>
    </w:p>
    <w:p w14:paraId="3A64D754" w14:textId="0F52BF71" w:rsidR="00C20DBB" w:rsidRPr="00B67EDC" w:rsidRDefault="00E758F7" w:rsidP="00B67ED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6224C" w14:textId="77777777" w:rsidR="0019233B" w:rsidRDefault="0019233B" w:rsidP="00E758F7">
      <w:r>
        <w:separator/>
      </w:r>
    </w:p>
  </w:endnote>
  <w:endnote w:type="continuationSeparator" w:id="0">
    <w:p w14:paraId="1C75E136" w14:textId="77777777" w:rsidR="0019233B" w:rsidRDefault="0019233B"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47B3D" w14:textId="77777777" w:rsidR="0019233B" w:rsidRDefault="0019233B" w:rsidP="00E758F7">
      <w:r>
        <w:separator/>
      </w:r>
    </w:p>
  </w:footnote>
  <w:footnote w:type="continuationSeparator" w:id="0">
    <w:p w14:paraId="01A53CD7" w14:textId="77777777" w:rsidR="0019233B" w:rsidRDefault="0019233B"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0"/>
  </w:num>
  <w:num w:numId="2" w16cid:durableId="1420908134">
    <w:abstractNumId w:val="2"/>
  </w:num>
  <w:num w:numId="3" w16cid:durableId="781068373">
    <w:abstractNumId w:val="20"/>
  </w:num>
  <w:num w:numId="4" w16cid:durableId="1587226508">
    <w:abstractNumId w:val="5"/>
  </w:num>
  <w:num w:numId="5" w16cid:durableId="800462382">
    <w:abstractNumId w:val="25"/>
  </w:num>
  <w:num w:numId="6" w16cid:durableId="539245390">
    <w:abstractNumId w:val="4"/>
  </w:num>
  <w:num w:numId="7" w16cid:durableId="1903507">
    <w:abstractNumId w:val="17"/>
  </w:num>
  <w:num w:numId="8" w16cid:durableId="2134059008">
    <w:abstractNumId w:val="13"/>
  </w:num>
  <w:num w:numId="9" w16cid:durableId="1239901597">
    <w:abstractNumId w:val="14"/>
  </w:num>
  <w:num w:numId="10" w16cid:durableId="1720549218">
    <w:abstractNumId w:val="1"/>
  </w:num>
  <w:num w:numId="11" w16cid:durableId="1887836728">
    <w:abstractNumId w:val="8"/>
  </w:num>
  <w:num w:numId="12" w16cid:durableId="1332029813">
    <w:abstractNumId w:val="6"/>
  </w:num>
  <w:num w:numId="13" w16cid:durableId="1398431161">
    <w:abstractNumId w:val="9"/>
  </w:num>
  <w:num w:numId="14" w16cid:durableId="942610525">
    <w:abstractNumId w:val="16"/>
  </w:num>
  <w:num w:numId="15" w16cid:durableId="1053040374">
    <w:abstractNumId w:val="23"/>
  </w:num>
  <w:num w:numId="16" w16cid:durableId="1962304180">
    <w:abstractNumId w:val="26"/>
  </w:num>
  <w:num w:numId="17" w16cid:durableId="1421029698">
    <w:abstractNumId w:val="22"/>
  </w:num>
  <w:num w:numId="18" w16cid:durableId="515997301">
    <w:abstractNumId w:val="0"/>
  </w:num>
  <w:num w:numId="19" w16cid:durableId="1216701755">
    <w:abstractNumId w:val="12"/>
  </w:num>
  <w:num w:numId="20" w16cid:durableId="53816294">
    <w:abstractNumId w:val="21"/>
  </w:num>
  <w:num w:numId="21" w16cid:durableId="248083307">
    <w:abstractNumId w:val="15"/>
  </w:num>
  <w:num w:numId="22" w16cid:durableId="551307801">
    <w:abstractNumId w:val="11"/>
  </w:num>
  <w:num w:numId="23" w16cid:durableId="1071388968">
    <w:abstractNumId w:val="24"/>
  </w:num>
  <w:num w:numId="24" w16cid:durableId="764306324">
    <w:abstractNumId w:val="18"/>
  </w:num>
  <w:num w:numId="25" w16cid:durableId="624115409">
    <w:abstractNumId w:val="27"/>
  </w:num>
  <w:num w:numId="26" w16cid:durableId="240988673">
    <w:abstractNumId w:val="7"/>
  </w:num>
  <w:num w:numId="27" w16cid:durableId="2047484308">
    <w:abstractNumId w:val="30"/>
  </w:num>
  <w:num w:numId="28" w16cid:durableId="472648270">
    <w:abstractNumId w:val="3"/>
  </w:num>
  <w:num w:numId="29" w16cid:durableId="612785163">
    <w:abstractNumId w:val="28"/>
  </w:num>
  <w:num w:numId="30" w16cid:durableId="309988381">
    <w:abstractNumId w:val="19"/>
  </w:num>
  <w:num w:numId="31" w16cid:durableId="52240537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561B5"/>
    <w:rsid w:val="0019233B"/>
    <w:rsid w:val="0077100C"/>
    <w:rsid w:val="00825B65"/>
    <w:rsid w:val="00B24F39"/>
    <w:rsid w:val="00B67EDC"/>
    <w:rsid w:val="00C20DBB"/>
    <w:rsid w:val="00E758F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13</Pages>
  <Words>4872</Words>
  <Characters>27774</Characters>
  <Application>Microsoft Office Word</Application>
  <DocSecurity>0</DocSecurity>
  <Lines>231</Lines>
  <Paragraphs>65</Paragraphs>
  <ScaleCrop>false</ScaleCrop>
  <Company/>
  <LinksUpToDate>false</LinksUpToDate>
  <CharactersWithSpaces>32581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4</cp:revision>
  <dcterms:created xsi:type="dcterms:W3CDTF">2026-05-14T17:10:00Z</dcterms:created>
  <dcterms:modified xsi:type="dcterms:W3CDTF">2026-05-14T17:47:00Z</dcterms:modified>
</cp:coreProperties>
</file>