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Q1 2026 Donor Stewardship Report</w:t>
      </w:r>
    </w:p>
    <w:p>
      <w:pPr>
        <w:spacing w:after="400"/>
        <w:jc w:val="center"/>
      </w:pPr>
      <w:r>
        <w:rPr>
          <w:rFonts w:ascii="Arial" w:cs="Arial" w:eastAsia="Arial" w:hAnsi="Arial"/>
          <w:color w:val="666666"/>
          <w:sz w:val="22"/>
          <w:szCs w:val="22"/>
        </w:rPr>
        <w:t xml:space="preserve">Prepared by Development Office | April 2026</w:t>
      </w:r>
    </w:p>
    <w:p>
      <w:pPr>
        <w:pStyle w:val="Heading1"/>
      </w:pPr>
      <w:r>
        <w:t xml:space="preserve">Executive Summary</w:t>
      </w:r>
    </w:p>
    <w:p>
      <w:pPr>
        <w:spacing w:after="200"/>
      </w:pPr>
      <w:r>
        <w:t xml:space="preserve">Q1 2026 has been a strong quarter for fundraising. Total donations reached $1,640,000 across 12 donors, representing a 23% increase over Q1 2025. Our stewardship efforts with key donors including Margaret Chen of the Chen Family Foundation and David &amp; Rachel Kim of the Kim Family Trust have yielded significant returns, with the Kim family increasing their annual commitment to $500,000.</w:t>
      </w:r>
    </w:p>
    <w:p>
      <w:pPr>
        <w:spacing w:after="200"/>
      </w:pPr>
      <w:r>
        <w:t xml:space="preserve">Notably, we welcomed Robert Blackwell III as a first-time major donor through a board referral from Thomas Fitzgerald of Fitzgerald &amp; Moore LLP. Mr. Blackwell’s initial gift of $150,000 through the Blackwell Giving Fund at Schwab positions him as a promising prospect for multi-year engagement.</w:t>
      </w:r>
    </w:p>
    <w:p>
      <w:pPr>
        <w:pStyle w:val="Heading1"/>
      </w:pPr>
      <w:r>
        <w:t xml:space="preserve">Major Gift Highlights</w:t>
      </w:r>
    </w:p>
    <w:p>
      <w:pPr>
        <w:spacing w:after="200"/>
      </w:pPr>
      <w:r>
        <w:t xml:space="preserve">The following donors contributed gifts of $100,000 or more in 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Donor</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Organization</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Amount</w:t>
            </w:r>
          </w:p>
        </w:tc>
        <w:tc>
          <w:tcPr>
            <w:tcW w:type="dxa" w:w="2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Fund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David &amp; Rachel Kim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Kim Family 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Kim Family DAF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Margaret Chen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Chen Family Foundation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$250,000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Chen Family DAF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Alicia Gutierrez-Santos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Santos Foundation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Santos Foundation DAF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Robert Blackwell III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Blackwell Industries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$150,000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Blackwell Giving Fund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Naomi Ashford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Ashford Philanthropic 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$125,000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Ashford DAF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James &amp; Dorothy Whitfield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Whitfield Group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$100,000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Whitfield Family DAF</w:t>
            </w:r>
          </w:p>
        </w:tc>
      </w:tr>
    </w:tbl>
    <w:p>
      <w:pPr>
        <w:spacing w:after="200" w:before="200"/>
      </w:pPr>
    </w:p>
    <w:p>
      <w:pPr>
        <w:pStyle w:val="Heading1"/>
      </w:pPr>
      <w:r>
        <w:t xml:space="preserve">Relationship Updates</w:t>
      </w:r>
    </w:p>
    <w:p>
      <w:pPr>
        <w:pStyle w:val="Heading2"/>
      </w:pPr>
      <w:r>
        <w:t xml:space="preserve">Kim Family Trust</w:t>
      </w:r>
    </w:p>
    <w:p>
      <w:pPr>
        <w:spacing w:after="200"/>
      </w:pPr>
      <w:r>
        <w:t xml:space="preserve">David &amp; Rachel Kim have been supporters for 10 years and continue to be our single largest donors. Their $500,000 gift through the Goldman Sachs Philanthropy Fund was the largest individual contribution in Q1. David Kim expressed interest in expanding support to our new West Coast expansion initiative during a February meeting. Rachel Kim will attend the annual gala in May and has offered to host a cultivation event at their Malibu residence for prospective donors.</w:t>
      </w:r>
    </w:p>
    <w:p>
      <w:pPr>
        <w:pStyle w:val="Heading2"/>
      </w:pPr>
      <w:r>
        <w:t xml:space="preserve">Chen Family Foundation</w:t>
      </w:r>
    </w:p>
    <w:p>
      <w:pPr>
        <w:spacing w:after="200"/>
      </w:pPr>
      <w:r>
        <w:t xml:space="preserve">Margaret Chen’s $250,000 gift represents year 3 of a 5-year pledge through the Chen Family DAF at Fidelity Charitable. Ms. Chen has been increasingly engaged in our STEM education programs and recently connected us with Priya Ramanathan of Ramanathan &amp; Associates, who subsequently increased her own commitment from $50,000 to $75,000. Margaret has indicated willingness to join our advisory board pending her schedule review. Contact: margaret.chen@chenfamilyfdn.org, (415) 555-2891.</w:t>
      </w:r>
    </w:p>
    <w:p>
      <w:pPr>
        <w:pStyle w:val="Heading2"/>
      </w:pPr>
      <w:r>
        <w:t xml:space="preserve">Santos Foundation</w:t>
      </w:r>
    </w:p>
    <w:p>
      <w:pPr>
        <w:spacing w:after="200"/>
      </w:pPr>
      <w:r>
        <w:t xml:space="preserve">Alicia Gutierrez-Santos of the Santos Foundation contributed $180,000 through the National Philanthropic Trust, earmarked specifically for our STEM education pipeline program. Ms. Gutierrez-Santos has requested quarterly impact reports and has expressed interest in site visits to our Southwest region programs. She mentioned that Sandra Okonkwo of Okonkwo Ventures (a $50,000 donor this quarter) shares her interest in the scholarship program and suggested a joint site visit.</w:t>
      </w:r>
    </w:p>
    <w:p>
      <w:pPr>
        <w:pStyle w:val="Heading2"/>
      </w:pPr>
      <w:r>
        <w:t xml:space="preserve">New Donor: Robert Blackwell III</w:t>
      </w:r>
    </w:p>
    <w:p>
      <w:pPr>
        <w:spacing w:after="200"/>
      </w:pPr>
      <w:r>
        <w:t xml:space="preserve">Robert Blackwell III of Blackwell Industries made a first-time major gift of $150,000 through the Blackwell Giving Fund at Schwab. The introduction came through Thomas Fitzgerald of Fitzgerald &amp; Moore LLP, who has also provided pro bono legal support. Mr. Blackwell is based in New York and has expressed interest in our Northeast programs. His assistant can be reached at r.blackwell@blackwellindustries.com or (212) 555-7634 for scheduling.</w:t>
      </w:r>
    </w:p>
    <w:p>
      <w:pPr>
        <w:pStyle w:val="Heading1"/>
      </w:pPr>
      <w:r>
        <w:t xml:space="preserve">Prospect Pipeline</w:t>
      </w:r>
    </w:p>
    <w:p>
      <w:pPr>
        <w:spacing w:after="200"/>
      </w:pPr>
      <w:r>
        <w:t xml:space="preserve">William R. Thornton of Thornton Capital Partners ($60,000 this quarter) has been identified as a strong prospect for board membership. His engagement has deepened since attending the fall donor reception, and he recently requested a one-on-one meeting with the Executive Director. Contact: wthornton@thorntoncap.com, (646) 555-5521.</w:t>
      </w:r>
    </w:p>
    <w:p>
      <w:pPr>
        <w:spacing w:after="200"/>
      </w:pPr>
      <w:r>
        <w:t xml:space="preserve">Evelyn Tran of Tran Holdings LLC is an alumni donor (Class of 2005) who contributed $35,000 this quarter. While her current giving level is modest, her company recently completed a successful Series C funding round, and she has indicated interest in establishing a named scholarship fund. Her email is evelyn.tran@tranholdings.com.</w:t>
      </w:r>
    </w:p>
    <w:p>
      <w:pPr>
        <w:spacing w:after="200"/>
      </w:pPr>
      <w:r>
        <w:t xml:space="preserve">Michael &amp; Patricia Novak of the Novak Family Foundation ($90,000) have specifically requested that their DAF distributions through the Community Foundation be directed toward Pell-eligible students in the Midwest region. This aligns with our scholarship criteria and represents an opportunity for deeper programmatic partnership.</w:t>
      </w:r>
    </w:p>
    <w:p>
      <w:pPr>
        <w:pStyle w:val="Heading1"/>
      </w:pPr>
      <w:r>
        <w:t xml:space="preserve">Scholarship Program Impact</w:t>
      </w:r>
    </w:p>
    <w:p>
      <w:pPr>
        <w:spacing w:after="200"/>
      </w:pPr>
      <w:r>
        <w:t xml:space="preserve">Our scholarship program currently supports 8 students across multiple regions. Notable updates: Maria Gonzalez (Southwest, Pell recipient) has been accepted to a summer research fellowship; Jaylen Washington (Midwest, Pell recipient) presented at a national conference; and Anh Nguyen (West Coast, Pell recipient, Class of 2024) successfully graduated and secured employment in her field. DeShawn Harris (Southeast, Pell recipient) and Fatima Al-Rashid (Midwest, Pell recipient) are both on track for their expected graduation dates.</w:t>
      </w:r>
    </w:p>
    <w:p>
      <w:pPr>
        <w:pStyle w:val="Heading1"/>
      </w:pPr>
      <w:r>
        <w:t xml:space="preserve">Next Steps for Q2</w:t>
      </w:r>
    </w:p>
    <w:p>
      <w:pPr>
        <w:spacing w:after="200"/>
      </w:pPr>
      <w:r>
        <w:t xml:space="preserve">Key action items for Q2 include: schedule cultivation event at the Kim residence; finalize advisory board invitation for Margaret Chen; coordinate joint site visit for Alicia Gutierrez-Santos and Sandra Okonkwo; prepare board nomination package for William Thornton; follow up with Evelyn Tran regarding named scholarship fund; send impact reports to all Q1 donors; and prepare renewal proposals for Priya Ramanathan and the Novak Family Foundation. Development Director to connect with Thomas Fitzgerald regarding additional pro bono capacity for the upcoming fiscal year.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tabs>
        <w:tab w:val="right" w:pos="9026"/>
      </w:tabs>
    </w:pPr>
    <w:r>
      <w:rPr>
        <w:rFonts w:ascii="Arial" w:cs="Arial" w:eastAsia="Arial" w:hAnsi="Arial"/>
        <w:color w:val="999999"/>
        <w:sz w:val="18"/>
        <w:szCs w:val="18"/>
      </w:rPr>
      <w:t xml:space="preserve">CONFIDENTIAL</w:t>
    </w:r>
    <w:r>
      <w:rPr>
        <w:rFonts w:ascii="Arial" w:cs="Arial" w:eastAsia="Arial" w:hAnsi="Arial"/>
        <w:color w:val="999999"/>
        <w:sz w:val="18"/>
        <w:szCs w:val="18"/>
      </w:rPr>
      <w:t xml:space="preserve">	Q1 2026 Donor Stewardship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2026-04-05T15:05:19.022Z</dcterms:created>
  <dcterms:modified xsi:type="dcterms:W3CDTF">2026-04-05T15:05:19.022Z</dcterms:modified>
</cp:coreProperties>
</file>

<file path=docProps/custom.xml><?xml version="1.0" encoding="utf-8"?>
<Properties xmlns="http://schemas.openxmlformats.org/officeDocument/2006/custom-properties" xmlns:vt="http://schemas.openxmlformats.org/officeDocument/2006/docPropsVTypes"/>
</file>