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0.png" ContentType="image/png"/>
  <Override PartName="/word/media/rId118.png" ContentType="image/png"/>
  <Override PartName="/word/media/rId121.png" ContentType="image/png"/>
  <Override PartName="/word/media/rId146.png" ContentType="image/png"/>
  <Override PartName="/word/media/rId39.jpg" ContentType="image/jpeg"/>
  <Override PartName="/word/media/rId68.jpg" ContentType="image/jpeg"/>
  <Override PartName="/word/media/rId87.jpg" ContentType="image/jpeg"/>
  <Override PartName="/word/media/rId71.jpg" ContentType="image/jpeg"/>
  <Override PartName="/word/media/rId28.jpg" ContentType="image/jpeg"/>
  <Override PartName="/word/media/rId65.jpg" ContentType="image/jpeg"/>
  <Override PartName="/word/media/rId75.png" ContentType="image/png"/>
  <Override PartName="/word/media/rId49.jpg" ContentType="image/jpeg"/>
  <Override PartName="/word/media/rId31.jpg" ContentType="image/jpeg"/>
  <Override PartName="/word/media/rId95.jpg" ContentType="image/jpeg"/>
  <Override PartName="/word/media/rId53.png" ContentType="image/png"/>
  <Override PartName="/word/media/rId15.jpg" ContentType="image/jpeg"/>
  <Override PartName="/word/media/rId21.jpg" ContentType="image/jpeg"/>
  <Override PartName="/word/media/rId25.jpg" ContentType="image/jpeg"/>
  <Override PartName="/word/media/rId98.jpg" ContentType="image/jpeg"/>
  <Override PartName="/word/media/rId113.jpg" ContentType="image/jpeg"/>
  <Override PartName="/word/media/rId130.jpg" ContentType="image/jpeg"/>
  <Override PartName="/word/media/rId59.jpg" ContentType="image/jpeg"/>
  <Override PartName="/word/media/rId106.jpg" ContentType="image/jpeg"/>
  <Override PartName="/word/media/rId84.jpg" ContentType="image/jpeg"/>
  <Override PartName="/word/media/rId46.jpg" ContentType="image/jpeg"/>
  <Override PartName="/word/media/rId133.jpg" ContentType="image/jpeg"/>
  <Override PartName="/word/media/rId62.jpg" ContentType="image/jpeg"/>
  <Override PartName="/word/media/rId56.jpg" ContentType="image/jpeg"/>
  <Override PartName="/word/media/rId81.jpg" ContentType="image/jpeg"/>
  <Override PartName="/word/media/rId110.jpg" ContentType="image/jpeg"/>
  <Override PartName="/word/media/rId18.jpg" ContentType="image/jpeg"/>
  <Override PartName="/word/media/rId103.jpg" ContentType="image/jpeg"/>
  <Override PartName="/word/media/rId78.jpg" ContentType="image/jpeg"/>
  <Override PartName="/word/media/rId92.jpg" ContentType="image/jpeg"/>
  <Override PartName="/word/media/rId127.png" ContentType="image/png"/>
  <Override PartName="/word/media/rId34.jpg" ContentType="image/jpe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Power-System Rebuild and Hardware Reverse-Engineering of a Spot Hip Actuator</w:t>
      </w:r>
    </w:p>
    <w:p>
      <w:pPr>
        <w:pStyle w:val="Subtitle"/>
      </w:pPr>
      <w:r>
        <w:t xml:space="preserve">CDE2605 Undergraduate Research Opportunities Programme (UROP) · AY2025/2026 Special Term</w:t>
      </w:r>
    </w:p>
    <w:p>
      <w:pPr>
        <w:pStyle w:val="Author"/>
      </w:pPr>
      <w:r>
        <w:t xml:space="preserve">Yizhang [full name — TBC] · [Matriculation No. — TBC]</w:t>
      </w:r>
    </w:p>
    <w:p>
      <w:pPr>
        <w:pStyle w:val="Date"/>
      </w:pPr>
      <w:r>
        <w:t xml:space="preserve">AY2025/2026 Special Term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list-of-figures"/>
    <w:p>
      <w:pPr>
        <w:pStyle w:val="Heading1"/>
      </w:pPr>
      <w:r>
        <w:t xml:space="preserve">List of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</w:t>
      </w:r>
      <w:r>
        <w:t xml:space="preserve"> </w:t>
      </w:r>
      <w:r>
        <w:t xml:space="preserve">— Charge refusal on the OEM charger.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</w:t>
      </w:r>
      <w:r>
        <w:t xml:space="preserve"> </w:t>
      </w:r>
      <w:r>
        <w:t xml:space="preserve">— Staged bench recovery of the over-discharged cell groups.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3</w:t>
      </w:r>
      <w:r>
        <w:t xml:space="preserve"> </w:t>
      </w:r>
      <w:r>
        <w:t xml:space="preserve">— The OEM charger reporting a false</w:t>
      </w:r>
      <w:r>
        <w:t xml:space="preserve"> </w:t>
      </w:r>
      <w:r>
        <w:t xml:space="preserve">“full”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4</w:t>
      </w:r>
      <w:r>
        <w:t xml:space="preserve"> </w:t>
      </w:r>
      <w:r>
        <w:t xml:space="preserve">— The fully disassembled battery module.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5</w:t>
      </w:r>
      <w:r>
        <w:t xml:space="preserve"> </w:t>
      </w:r>
      <w:r>
        <w:t xml:space="preserve">— The irregular OEM cell layout.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6</w:t>
      </w:r>
      <w:r>
        <w:t xml:space="preserve"> </w:t>
      </w:r>
      <w:r>
        <w:t xml:space="preserve">— The BMS PCB and its pad layout.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7</w:t>
      </w:r>
      <w:r>
        <w:t xml:space="preserve"> </w:t>
      </w:r>
      <w:r>
        <w:t xml:space="preserve">— One of the two flexible NTC-thermistor PCBs.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8</w:t>
      </w:r>
      <w:r>
        <w:t xml:space="preserve"> </w:t>
      </w:r>
      <w:r>
        <w:t xml:space="preserve">— The four 3D-printed PC-CF cell spacers.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9</w:t>
      </w:r>
      <w:r>
        <w:t xml:space="preserve"> </w:t>
      </w:r>
      <w:r>
        <w:t xml:space="preserve">— A cell sub-pack spot-welded with nickel strip.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10</w:t>
      </w:r>
      <w:r>
        <w:t xml:space="preserve"> </w:t>
      </w:r>
      <w:r>
        <w:t xml:space="preserve">— The handheld spot-welder used after the bench welder failed.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11</w:t>
      </w:r>
      <w:r>
        <w:t xml:space="preserve"> </w:t>
      </w:r>
      <w:r>
        <w:t xml:space="preserve">— BMS indicator LEDs responding during welding.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12</w:t>
      </w:r>
      <w:r>
        <w:t xml:space="preserve"> </w:t>
      </w:r>
      <w:r>
        <w:t xml:space="preserve">— Per-group voltage sweep after the first full charge.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13</w:t>
      </w:r>
      <w:r>
        <w:t xml:space="preserve"> </w:t>
      </w:r>
      <w:r>
        <w:t xml:space="preserve">— A defective / popped weld joint.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14</w:t>
      </w:r>
      <w:r>
        <w:t xml:space="preserve"> </w:t>
      </w:r>
      <w:r>
        <w:t xml:space="preserve">— Sound versus poor weld resistance.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15</w:t>
      </w:r>
      <w:r>
        <w:t xml:space="preserve"> </w:t>
      </w:r>
      <w:r>
        <w:t xml:space="preserve">— Third voltage sweep: group 1 phantom −0.5 V.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16</w:t>
      </w:r>
      <w:r>
        <w:t xml:space="preserve"> </w:t>
      </w:r>
      <w:r>
        <w:t xml:space="preserve">— Phantom −0.5 V at the pads versus 3.71 V probed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17</w:t>
      </w:r>
      <w:r>
        <w:t xml:space="preserve"> </w:t>
      </w:r>
      <w:r>
        <w:t xml:space="preserve">— The sheared SoC flex cable and its repair.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18</w:t>
      </w:r>
      <w:r>
        <w:t xml:space="preserve"> </w:t>
      </w:r>
      <w:r>
        <w:t xml:space="preserve">— Pack #2 V2 bracket CAD.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19</w:t>
      </w:r>
      <w:r>
        <w:t xml:space="preserve"> </w:t>
      </w:r>
      <w:r>
        <w:t xml:space="preserve">— Pack #2 laser-cut nickel strips and welded BMS.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20</w:t>
      </w:r>
      <w:r>
        <w:t xml:space="preserve"> </w:t>
      </w:r>
      <w:r>
        <w:t xml:space="preserve">— Spot opened for hind-leg removal.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21</w:t>
      </w:r>
      <w:r>
        <w:t xml:space="preserve"> </w:t>
      </w:r>
      <w:r>
        <w:t xml:space="preserve">— The two hind hip-X motor driver boards compared.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22</w:t>
      </w:r>
      <w:r>
        <w:t xml:space="preserve"> </w:t>
      </w:r>
      <w:r>
        <w:t xml:space="preserve">— The driver board, encoder side.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23</w:t>
      </w:r>
      <w:r>
        <w:t xml:space="preserve"> </w:t>
      </w:r>
      <w:r>
        <w:t xml:space="preserve">— The secondary output-encoder Hall-IC at the harmonic-drive output.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24</w:t>
      </w:r>
      <w:r>
        <w:t xml:space="preserve"> </w:t>
      </w:r>
      <w:r>
        <w:t xml:space="preserve">— The 50:1 harmonic drive.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25</w:t>
      </w:r>
      <w:r>
        <w:t xml:space="preserve"> </w:t>
      </w:r>
      <w:r>
        <w:t xml:space="preserve">— The rotor / output-encoder assemblies during the swap.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26</w:t>
      </w:r>
      <w:r>
        <w:t xml:space="preserve"> </w:t>
      </w:r>
      <w:r>
        <w:t xml:space="preserve">— The secondary output-encoder PCB, close 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27</w:t>
      </w:r>
      <w:r>
        <w:t xml:space="preserve"> </w:t>
      </w:r>
      <w:r>
        <w:t xml:space="preserve">— The secondary output-encoder PCB components.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28</w:t>
      </w:r>
      <w:r>
        <w:t xml:space="preserve"> </w:t>
      </w:r>
      <w:r>
        <w:t xml:space="preserve">— The iC-MU pinout and connections.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29</w:t>
      </w:r>
      <w:r>
        <w:t xml:space="preserve"> </w:t>
      </w:r>
      <w:r>
        <w:t xml:space="preserve">— The connector-flex test pads.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30</w:t>
      </w:r>
      <w:r>
        <w:t xml:space="preserve"> </w:t>
      </w:r>
      <w:r>
        <w:t xml:space="preserve">— Test-pad map used for the bench read attempt.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31</w:t>
      </w:r>
      <w:r>
        <w:t xml:space="preserve"> </w:t>
      </w:r>
      <w:r>
        <w:t xml:space="preserve">— Wires soldered to the flex-PCB test pads.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32</w:t>
      </w:r>
      <w:r>
        <w:t xml:space="preserve"> </w:t>
      </w:r>
      <w:r>
        <w:t xml:space="preserve">— The oscilloscope bench read attempt.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33</w:t>
      </w:r>
      <w:r>
        <w:t xml:space="preserve"> </w:t>
      </w:r>
      <w:r>
        <w:t xml:space="preserve">— The DB25 payload-port cover pin shorts (Appendix D).</w:t>
      </w:r>
    </w:p>
    <w:p>
      <w:r>
        <w:br w:type="page"/>
      </w:r>
    </w:p>
    <w:bookmarkEnd w:id="9"/>
    <w:bookmarkStart w:id="10" w:name="list-of-tables"/>
    <w:p>
      <w:pPr>
        <w:pStyle w:val="Heading1"/>
      </w:pPr>
      <w:r>
        <w:t xml:space="preserve">List of Tables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1</w:t>
      </w:r>
      <w:r>
        <w:t xml:space="preserve"> </w:t>
      </w:r>
      <w:r>
        <w:t xml:space="preserve">— OEM battery module architecture (as found).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2</w:t>
      </w:r>
      <w:r>
        <w:t xml:space="preserve"> </w:t>
      </w:r>
      <w:r>
        <w:t xml:space="preserve">— Replacement-cell sourcing comparison.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3</w:t>
      </w:r>
      <w:r>
        <w:t xml:space="preserve"> </w:t>
      </w:r>
      <w:r>
        <w:t xml:space="preserve">— Inter-cell conductor sizing.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4</w:t>
      </w:r>
      <w:r>
        <w:t xml:space="preserve"> </w:t>
      </w:r>
      <w:r>
        <w:t xml:space="preserve">— Battery pack #1 state before and after the weld rework.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5</w:t>
      </w:r>
      <w:r>
        <w:t xml:space="preserve"> </w:t>
      </w:r>
      <w:r>
        <w:t xml:space="preserve">— Actuator component-swap actions and physical observations.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6</w:t>
      </w:r>
      <w:r>
        <w:t xml:space="preserve"> </w:t>
      </w:r>
      <w:r>
        <w:t xml:space="preserve">— iC-MU Port-A (ExtSSI) pinout, as wired.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7</w:t>
      </w:r>
      <w:r>
        <w:t xml:space="preserve"> </w:t>
      </w:r>
      <w:r>
        <w:t xml:space="preserve">— Hind hip-X full-range-of-motion mechanical offsets.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8</w:t>
      </w:r>
      <w:r>
        <w:t xml:space="preserve"> </w:t>
      </w:r>
      <w:r>
        <w:t xml:space="preserve">— Selected iC-MU EEPROM configuration registers (full map in Appendix B).</w:t>
      </w:r>
    </w:p>
    <w:p>
      <w:r>
        <w:br w:type="page"/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Boston Dynamics</w:t>
      </w:r>
      <w:r>
        <w:t xml:space="preserve"> </w:t>
      </w:r>
      <w:r>
        <w:rPr>
          <w:i/>
          <w:iCs/>
        </w:rPr>
        <w:t xml:space="preserve">Spot</w:t>
      </w:r>
      <w:r>
        <w:t xml:space="preserve"> </w:t>
      </w:r>
      <w:r>
        <w:t xml:space="preserve">quadruped (hereafter</w:t>
      </w:r>
      <w:r>
        <w:t xml:space="preserve"> </w:t>
      </w:r>
      <w:r>
        <w:rPr>
          <w:b/>
          <w:bCs/>
        </w:rPr>
        <w:t xml:space="preserve">Spot</w:t>
      </w:r>
      <w:r>
        <w:t xml:space="preserve">) held by the programme was</w:t>
      </w:r>
      <w:r>
        <w:t xml:space="preserve"> </w:t>
      </w:r>
      <w:r>
        <w:t xml:space="preserve">received non-operational, and this report documents the hardware-level work carried out to</w:t>
      </w:r>
      <w:r>
        <w:t xml:space="preserve"> </w:t>
      </w:r>
      <w:r>
        <w:t xml:space="preserve">return it toward service. Two independent faults were present on arrival. First, the power</w:t>
      </w:r>
      <w:r>
        <w:t xml:space="preserve"> </w:t>
      </w:r>
      <w:r>
        <w:t xml:space="preserve">subsystem was dead: both of Spot’s battery modules refused to charge, so the robot could not</w:t>
      </w:r>
      <w:r>
        <w:t xml:space="preserve"> </w:t>
      </w:r>
      <w:r>
        <w:t xml:space="preserve">be powered from its own packs at all. Second, once external power was restored, one leg</w:t>
      </w:r>
      <w:r>
        <w:t xml:space="preserve"> </w:t>
      </w:r>
      <w:r>
        <w:t xml:space="preserve">actuator, the</w:t>
      </w:r>
      <w:r>
        <w:t xml:space="preserve"> </w:t>
      </w:r>
      <w:r>
        <w:rPr>
          <w:b/>
          <w:bCs/>
        </w:rPr>
        <w:t xml:space="preserve">left hind hip-X (abduction/adduction) joint</w:t>
      </w:r>
      <w:r>
        <w:t xml:space="preserve"> </w:t>
      </w:r>
      <w:r>
        <w:t xml:space="preserve">(hereafter</w:t>
      </w:r>
      <w:r>
        <w:t xml:space="preserve"> </w:t>
      </w:r>
      <w:r>
        <w:rPr>
          <w:b/>
          <w:bCs/>
        </w:rPr>
        <w:t xml:space="preserve">hip-X</w:t>
      </w:r>
      <w:r>
        <w:t xml:space="preserve">, and</w:t>
      </w:r>
      <w:r>
        <w:t xml:space="preserve"> </w:t>
      </w:r>
      <w:r>
        <w:t xml:space="preserve">specifically</w:t>
      </w:r>
      <w:r>
        <w:t xml:space="preserve"> </w:t>
      </w:r>
      <w:r>
        <w:rPr>
          <w:rStyle w:val="VerbatimChar"/>
        </w:rPr>
        <w:t xml:space="preserve">left_hind_x</w:t>
      </w:r>
      <w:r>
        <w:t xml:space="preserve">), behaved abnormally, with the joint failing to reach commanded</w:t>
      </w:r>
      <w:r>
        <w:t xml:space="preserve"> </w:t>
      </w:r>
      <w:r>
        <w:t xml:space="preserve">positions while the other three legs moved normally. The mechanical and electrical nature of</w:t>
      </w:r>
      <w:r>
        <w:t xml:space="preserve"> </w:t>
      </w:r>
      <w:r>
        <w:t xml:space="preserve">that actuator was, at the outset, entirely unknown: it had never been opened, and no internal</w:t>
      </w:r>
      <w:r>
        <w:t xml:space="preserve"> </w:t>
      </w:r>
      <w:r>
        <w:t xml:space="preserve">documentation was available.</w:t>
      </w:r>
    </w:p>
    <w:p>
      <w:pPr>
        <w:pStyle w:val="BodyText"/>
      </w:pPr>
      <w:r>
        <w:t xml:space="preserve">The work reported here pursues two objectives that together serve a single thesis:</w:t>
      </w:r>
      <w: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i/>
          <w:iCs/>
        </w:rPr>
        <w:t xml:space="preserve">rebuild Spot’s power system and to physically and electrically reverse-engineer its faulty hip</w:t>
      </w:r>
      <w:r>
        <w:rPr>
          <w:i/>
          <w:iCs/>
        </w:rPr>
        <w:t xml:space="preserve"> </w:t>
      </w:r>
      <w:r>
        <w:rPr>
          <w:i/>
          <w:iCs/>
        </w:rPr>
        <w:t xml:space="preserve">actuator so that the hardware is characterised and the fault is localised to a physical part.</w:t>
      </w:r>
      <w:r>
        <w:t xml:space="preserve"> </w:t>
      </w:r>
      <w:r>
        <w:t xml:space="preserve">The first objective was to restore the power subsystem by diagnosing the charge fault and,</w:t>
      </w:r>
      <w:r>
        <w:t xml:space="preserve"> </w:t>
      </w:r>
      <w:r>
        <w:t xml:space="preserve">should the cells prove unrecoverable, rebuilding each pack on its original battery management</w:t>
      </w:r>
      <w:r>
        <w:t xml:space="preserve"> </w:t>
      </w:r>
      <w:r>
        <w:t xml:space="preserve">system (BMS) in the OEM form factor. The second objective was to characterise the hip-X</w:t>
      </w:r>
      <w:r>
        <w:t xml:space="preserve"> </w:t>
      </w:r>
      <w:r>
        <w:t xml:space="preserve">actuator as a piece of hardware, covering its mechanical construction, its dual-encoder</w:t>
      </w:r>
      <w:r>
        <w:t xml:space="preserve"> </w:t>
      </w:r>
      <w:r>
        <w:t xml:space="preserve">architecture, and the electrical design of its output-encoder board, and then, through a</w:t>
      </w:r>
      <w:r>
        <w:t xml:space="preserve"> </w:t>
      </w:r>
      <w:r>
        <w:t xml:space="preserve">sequence of physical component swaps and bench measurements, to narrow the fault down to a</w:t>
      </w:r>
      <w:r>
        <w:t xml:space="preserve"> </w:t>
      </w:r>
      <w:r>
        <w:t xml:space="preserve">specific physical part.</w:t>
      </w:r>
    </w:p>
    <w:p>
      <w:pPr>
        <w:pStyle w:val="BodyText"/>
      </w:pPr>
      <w:r>
        <w:t xml:space="preserve">The scope of this report is deliberately confined to the</w:t>
      </w:r>
      <w:r>
        <w:t xml:space="preserve"> </w:t>
      </w:r>
      <w:r>
        <w:rPr>
          <w:b/>
          <w:bCs/>
        </w:rPr>
        <w:t xml:space="preserve">hardware layer</w:t>
      </w:r>
      <w:r>
        <w:t xml:space="preserve">. It describes</w:t>
      </w:r>
      <w:r>
        <w:t xml:space="preserve"> </w:t>
      </w:r>
      <w:r>
        <w:t xml:space="preserve">physical acts (teardown, cell replacement, spot-welding, component interchange, board probing)</w:t>
      </w:r>
      <w:r>
        <w:t xml:space="preserve"> </w:t>
      </w:r>
      <w:r>
        <w:t xml:space="preserve">and the hardware and electrical facts observed during them. The complementary</w:t>
      </w:r>
      <w:r>
        <w:t xml:space="preserve"> </w:t>
      </w:r>
      <w:r>
        <w:rPr>
          <w:i/>
          <w:iCs/>
        </w:rPr>
        <w:t xml:space="preserve">diagnostic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interpretation</w:t>
      </w:r>
      <w:r>
        <w:t xml:space="preserve"> </w:t>
      </w:r>
      <w:r>
        <w:t xml:space="preserve">of the actuator’s control-signal behaviour, together with the eventual encoder</w:t>
      </w:r>
      <w:r>
        <w:t xml:space="preserve"> </w:t>
      </w:r>
      <w:r>
        <w:t xml:space="preserve">repair, was carried out on the signal/software layer and is reported in the companion report</w:t>
      </w:r>
      <w:r>
        <w:t xml:space="preserve"> </w:t>
      </w:r>
      <w:r>
        <w:t xml:space="preserve">[Ming, SS-TBD]; those results are cited here as single premise sentences and are never</w:t>
      </w:r>
      <w:r>
        <w:t xml:space="preserve"> </w:t>
      </w:r>
      <w:r>
        <w:t xml:space="preserve">re-derived. Every factual claim in this report is drawn from the project’s own dated session</w:t>
      </w:r>
      <w:r>
        <w:t xml:space="preserve"> </w:t>
      </w:r>
      <w:r>
        <w:t xml:space="preserve">logs and reference pages; no external measurements were introduced.</w:t>
      </w:r>
    </w:p>
    <w:p>
      <w:pPr>
        <w:pStyle w:val="BodyText"/>
      </w:pPr>
      <w:r>
        <w:t xml:space="preserve">The working approach throughout was bench-based and comparative. Because Spot’s two hind legs</w:t>
      </w:r>
      <w:r>
        <w:t xml:space="preserve"> </w:t>
      </w:r>
      <w:r>
        <w:t xml:space="preserve">are nominally identical, the healthy hind leg served as a reference against which the faulty</w:t>
      </w:r>
      <w:r>
        <w:t xml:space="preserve"> </w:t>
      </w:r>
      <w:r>
        <w:t xml:space="preserve">one could be compared part by part, a strategy that recurs across the actuator chapters. The</w:t>
      </w:r>
      <w:r>
        <w:t xml:space="preserve"> </w:t>
      </w:r>
      <w:r>
        <w:t xml:space="preserve">remainder of the report is organised as follows.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section establishes the</w:t>
      </w:r>
      <w:r>
        <w:t xml:space="preserve"> </w:t>
      </w:r>
      <w:r>
        <w:t xml:space="preserve">battery and actuator architectures as found. Three methodology chapters then cover, in turn,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power-system rebuild</w:t>
      </w:r>
      <w:r>
        <w:t xml:space="preserve">, the</w:t>
      </w:r>
      <w:r>
        <w:t xml:space="preserve"> </w:t>
      </w:r>
      <w:r>
        <w:rPr>
          <w:b/>
          <w:bCs/>
        </w:rPr>
        <w:t xml:space="preserve">actuator mechanical investigation</w:t>
      </w:r>
      <w:r>
        <w:t xml:space="preserve">, and the</w:t>
      </w:r>
      <w:r>
        <w:t xml:space="preserve"> </w:t>
      </w:r>
      <w:r>
        <w:rPr>
          <w:b/>
          <w:bCs/>
        </w:rPr>
        <w:t xml:space="preserve">encoder</w:t>
      </w:r>
      <w:r>
        <w:rPr>
          <w:b/>
          <w:bCs/>
        </w:rPr>
        <w:t xml:space="preserve"> </w:t>
      </w:r>
      <w:r>
        <w:rPr>
          <w:b/>
          <w:bCs/>
        </w:rPr>
        <w:t xml:space="preserve">electrical reverse-engineering</w:t>
      </w:r>
      <w:r>
        <w:t xml:space="preserve">. A combined</w:t>
      </w:r>
      <w:r>
        <w:t xml:space="preserve"> </w:t>
      </w:r>
      <w:r>
        <w:rPr>
          <w:b/>
          <w:bCs/>
        </w:rPr>
        <w:t xml:space="preserve">Evaluation, Limitations and Improvements</w:t>
      </w:r>
      <w:r>
        <w:t xml:space="preserve"> </w:t>
      </w:r>
      <w:r>
        <w:t xml:space="preserve">section assesses what was achieved and what the bench work could not resolve, and the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summarises the outcome and the planned future work.</w:t>
      </w:r>
    </w:p>
    <w:bookmarkEnd w:id="11"/>
    <w:bookmarkStart w:id="14" w:name="background"/>
    <w:p>
      <w:pPr>
        <w:pStyle w:val="Heading1"/>
      </w:pPr>
      <w:r>
        <w:t xml:space="preserve">Background</w:t>
      </w:r>
    </w:p>
    <w:bookmarkStart w:id="12" w:name="battery-module-architecture"/>
    <w:p>
      <w:pPr>
        <w:pStyle w:val="Heading2"/>
      </w:pPr>
      <w:r>
        <w:t xml:space="preserve">Battery module architecture</w:t>
      </w:r>
    </w:p>
    <w:p>
      <w:pPr>
        <w:pStyle w:val="FirstParagraph"/>
      </w:pPr>
      <w:r>
        <w:t xml:space="preserve">Spot is powered by two identical, hot-swappable battery modules. Each module is a sealed</w:t>
      </w:r>
      <w:r>
        <w:t xml:space="preserve"> </w:t>
      </w:r>
      <w:r>
        <w:t xml:space="preserve">assembly whose perimeter is held closed by a tough adhesive bead. The internal architecture was</w:t>
      </w:r>
      <w:r>
        <w:t xml:space="preserve"> </w:t>
      </w:r>
      <w:r>
        <w:t xml:space="preserve">first established from a published third-party teardown of the Spot platform [3] and then</w:t>
      </w:r>
      <w:r>
        <w:t xml:space="preserve"> </w:t>
      </w:r>
      <w:r>
        <w:t xml:space="preserve">confirmed directly during the project’s own disassembly (Section 4). Each module carries</w:t>
      </w:r>
      <w:r>
        <w:t xml:space="preserve"> </w:t>
      </w:r>
      <w:r>
        <w:rPr>
          <w:b/>
          <w:bCs/>
        </w:rPr>
        <w:t xml:space="preserve">56 Samsung INR18650-30Q lithium-ion cells</w:t>
      </w:r>
      <w:r>
        <w:t xml:space="preserve">, a 3000 mAh cell rated 15 A continuous / 30 A</w:t>
      </w:r>
      <w:r>
        <w:t xml:space="preserve"> </w:t>
      </w:r>
      <w:r>
        <w:t xml:space="preserve">peak, identified from Boston Dynamics’ Spot Battery Safety Data Sheet [1], arranged in a</w:t>
      </w:r>
      <w:r>
        <w:t xml:space="preserve"> </w:t>
      </w:r>
      <w:r>
        <w:rPr>
          <w:b/>
          <w:bCs/>
        </w:rPr>
        <w:t xml:space="preserve">14s4p</w:t>
      </w:r>
      <w:r>
        <w:t xml:space="preserve"> </w:t>
      </w:r>
      <w:r>
        <w:t xml:space="preserve">configuration and physically built as</w:t>
      </w:r>
      <w:r>
        <w:t xml:space="preserve"> </w:t>
      </w:r>
      <w:r>
        <w:rPr>
          <w:b/>
          <w:bCs/>
        </w:rPr>
        <w:t xml:space="preserve">two 7s4p sub-packs</w:t>
      </w:r>
      <w:r>
        <w:t xml:space="preserve"> </w:t>
      </w:r>
      <w:r>
        <w:t xml:space="preserve">(labelled A and B). A</w:t>
      </w:r>
      <w:r>
        <w:t xml:space="preserve"> </w:t>
      </w:r>
      <w:r>
        <w:t xml:space="preserve">single BMS PCB, built around an STM32 microcontroller, manages the module and communicates with</w:t>
      </w:r>
      <w:r>
        <w:t xml:space="preserve"> </w:t>
      </w:r>
      <w:r>
        <w:t xml:space="preserve">the robot over a</w:t>
      </w:r>
      <w:r>
        <w:t xml:space="preserve"> </w:t>
      </w:r>
      <w:r>
        <w:rPr>
          <w:b/>
          <w:bCs/>
        </w:rPr>
        <w:t xml:space="preserve">CAN bus</w:t>
      </w:r>
      <w:r>
        <w:t xml:space="preserve">. Table 1 summarises the construction as found.</w:t>
      </w:r>
    </w:p>
    <w:p>
      <w:pPr>
        <w:pStyle w:val="TableCaption"/>
      </w:pPr>
      <w:r>
        <w:rPr>
          <w:b/>
          <w:bCs/>
        </w:rPr>
        <w:t xml:space="preserve">Table 1 —</w:t>
      </w:r>
      <w:r>
        <w:t xml:space="preserve"> </w:t>
      </w:r>
      <w:r>
        <w:t xml:space="preserve">OEM battery module architecture, as established from the teardown report [3] and confirmed on disassembly.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 — OEM battery module architecture, as established from the teardown report [3] and confirmed on disassembly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 energy</w:t>
            </w:r>
          </w:p>
        </w:tc>
        <w:tc>
          <w:tcPr/>
          <w:p>
            <w:pPr>
              <w:pStyle w:val="Compact"/>
            </w:pPr>
            <w:r>
              <w:t xml:space="preserve">~500 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Rated runtime</w:t>
            </w:r>
          </w:p>
        </w:tc>
        <w:tc>
          <w:tcPr/>
          <w:p>
            <w:pPr>
              <w:pStyle w:val="Compact"/>
            </w:pPr>
            <w:r>
              <w:t xml:space="preserve">~1.5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Samsung INR18650-30Q (3000 mAh, 15 A cont. / 30 A peak)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count &amp; topology</w:t>
            </w:r>
          </w:p>
        </w:tc>
        <w:tc>
          <w:tcPr/>
          <w:p>
            <w:pPr>
              <w:pStyle w:val="Compact"/>
            </w:pPr>
            <w:r>
              <w:t xml:space="preserve">56 cells in 14s4p, built as two 7s4p sub-packs (A &amp;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BMS</w:t>
            </w:r>
          </w:p>
        </w:tc>
        <w:tc>
          <w:tcPr/>
          <w:p>
            <w:pPr>
              <w:pStyle w:val="Compact"/>
            </w:pPr>
            <w:r>
              <w:t xml:space="preserve">Single PCB, STM32 MCU, CAN bus to the robot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pads</w:t>
            </w:r>
          </w:p>
        </w:tc>
        <w:tc>
          <w:tcPr/>
          <w:p>
            <w:pPr>
              <w:pStyle w:val="Compact"/>
            </w:pPr>
            <w:r>
              <w:t xml:space="preserve">28 pads: positives along the long PCB edges, common negative down the centre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sensing</w:t>
            </w:r>
          </w:p>
        </w:tc>
        <w:tc>
          <w:tcPr/>
          <w:p>
            <w:pPr>
              <w:pStyle w:val="Compact"/>
            </w:pPr>
            <w:r>
              <w:t xml:space="preserve">One flexible PCB per sub-pack, each carrying five SMD NTC thermistors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/ safety</w:t>
            </w:r>
          </w:p>
        </w:tc>
        <w:tc>
          <w:tcPr/>
          <w:p>
            <w:pPr>
              <w:pStyle w:val="Compact"/>
            </w:pPr>
            <w:r>
              <w:t xml:space="preserve">Phase-change material around the cells; fish-paper terminal insulation; foam seating</w:t>
            </w:r>
          </w:p>
        </w:tc>
      </w:tr>
    </w:tbl>
    <w:p>
      <w:pPr>
        <w:pStyle w:val="BodyText"/>
      </w:pPr>
      <w:r>
        <w:t xml:space="preserve">Two construction details established here proved decisive for the rebuild. The cell layout is</w:t>
      </w:r>
      <w:r>
        <w:t xml:space="preserve"> </w:t>
      </w:r>
      <w:r>
        <w:t xml:space="preserve">deliberately</w:t>
      </w:r>
      <w:r>
        <w:t xml:space="preserve"> </w:t>
      </w:r>
      <w:r>
        <w:rPr>
          <w:b/>
          <w:bCs/>
        </w:rPr>
        <w:t xml:space="preserve">irregular</w:t>
      </w:r>
      <w:r>
        <w:t xml:space="preserve">: cells are unevenly spaced and are not even collinear within a row,</w:t>
      </w:r>
      <w:r>
        <w:t xml:space="preserve"> </w:t>
      </w:r>
      <w:r>
        <w:t xml:space="preserve">the centre cells sitting slightly proud of their neighbours, so any replacement spacer had to</w:t>
      </w:r>
      <w:r>
        <w:t xml:space="preserve"> </w:t>
      </w:r>
      <w:r>
        <w:t xml:space="preserve">reproduce those exact positions rather than assume a regular lattice. Thermal management is</w:t>
      </w:r>
      <w:r>
        <w:t xml:space="preserve"> </w:t>
      </w:r>
      <w:r>
        <w:t xml:space="preserve">provided by a phase-change material packed around the cells, which absorbs heat through its</w:t>
      </w:r>
      <w:r>
        <w:t xml:space="preserve"> </w:t>
      </w:r>
      <w:r>
        <w:t xml:space="preserve">latent heat of fusion and buffers thermal-runaway energy, supplemented by the two five-element</w:t>
      </w:r>
      <w:r>
        <w:t xml:space="preserve"> </w:t>
      </w:r>
      <w:r>
        <w:t xml:space="preserve">NTC-thermistor strips that monitor temperature across each sub-pack.</w:t>
      </w:r>
    </w:p>
    <w:bookmarkEnd w:id="12"/>
    <w:bookmarkStart w:id="13" w:name="hip-x-actuator-architecture"/>
    <w:p>
      <w:pPr>
        <w:pStyle w:val="Heading2"/>
      </w:pPr>
      <w:r>
        <w:t xml:space="preserve">Hip-X actuator architecture</w:t>
      </w:r>
    </w:p>
    <w:p>
      <w:pPr>
        <w:pStyle w:val="FirstParagraph"/>
      </w:pPr>
      <w:r>
        <w:t xml:space="preserve">Each of Spot’s legs is driven by three actuators; the one of interest here is the</w:t>
      </w:r>
      <w:r>
        <w:t xml:space="preserve"> </w:t>
      </w:r>
      <w:r>
        <w:rPr>
          <w:b/>
          <w:bCs/>
        </w:rPr>
        <w:t xml:space="preserve">hip-X</w:t>
      </w:r>
      <w:r>
        <w:t xml:space="preserve"> </w:t>
      </w:r>
      <w:r>
        <w:t xml:space="preserve">actuator, which abducts and adducts the leg. Its mechanical output is produced by a</w:t>
      </w:r>
      <w:r>
        <w:t xml:space="preserve"> </w:t>
      </w:r>
      <w:r>
        <w:t xml:space="preserve">brushless motor turning through a</w:t>
      </w:r>
      <w:r>
        <w:t xml:space="preserve"> </w:t>
      </w:r>
      <w:r>
        <w:rPr>
          <w:b/>
          <w:bCs/>
        </w:rPr>
        <w:t xml:space="preserve">50:1 harmonic drive (strain-wave reducer)</w:t>
      </w:r>
      <w:r>
        <w:t xml:space="preserve">, so that a</w:t>
      </w:r>
      <w:r>
        <w:t xml:space="preserve"> </w:t>
      </w:r>
      <w:r>
        <w:t xml:space="preserve">large number of motor revolutions map to a small, high-torque motion of the leg. Bench</w:t>
      </w:r>
      <w:r>
        <w:t xml:space="preserve"> </w:t>
      </w:r>
      <w:r>
        <w:t xml:space="preserve">measurements on the hip motor established a</w:t>
      </w:r>
      <w:r>
        <w:t xml:space="preserve"> </w:t>
      </w:r>
      <w:r>
        <w:rPr>
          <w:b/>
          <w:bCs/>
        </w:rPr>
        <w:t xml:space="preserve">20-pole, 18-slot</w:t>
      </w:r>
      <w:r>
        <w:t xml:space="preserve"> </w:t>
      </w:r>
      <w:r>
        <w:t xml:space="preserve">machine (a slot/pole ratio of</w:t>
      </w:r>
      <w:r>
        <w:t xml:space="preserve"> </w:t>
      </w:r>
      <w:r>
        <w:t xml:space="preserve">0.9) with a phase resistance of approximately</w:t>
      </w:r>
      <w:r>
        <w:t xml:space="preserve"> </w:t>
      </w:r>
      <w:r>
        <w:rPr>
          <w:b/>
          <w:bCs/>
        </w:rPr>
        <w:t xml:space="preserve">0.5 Ω</w:t>
      </w:r>
      <w:r>
        <w:t xml:space="preserve">.</w:t>
      </w:r>
    </w:p>
    <w:p>
      <w:pPr>
        <w:pStyle w:val="BodyText"/>
      </w:pPr>
      <w:r>
        <w:t xml:space="preserve">The actuator carries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angle sensors rather than one, a fact that only became apparent</w:t>
      </w:r>
      <w:r>
        <w:t xml:space="preserve"> </w:t>
      </w:r>
      <w:r>
        <w:t xml:space="preserve">once the motor was opened (Section 6). The</w:t>
      </w:r>
      <w:r>
        <w:t xml:space="preserve"> </w:t>
      </w:r>
      <w:r>
        <w:rPr>
          <w:b/>
          <w:bCs/>
        </w:rPr>
        <w:t xml:space="preserve">primary encoder</w:t>
      </w:r>
      <w:r>
        <w:t xml:space="preserve"> </w:t>
      </w:r>
      <w:r>
        <w:t xml:space="preserve">is a motor-side</w:t>
      </w:r>
      <w:r>
        <w:t xml:space="preserve"> </w:t>
      </w:r>
      <w:r>
        <w:rPr>
          <w:b/>
          <w:bCs/>
        </w:rPr>
        <w:t xml:space="preserve">iC-MHM 14-bit</w:t>
      </w:r>
      <w:r>
        <w:rPr>
          <w:b/>
          <w:bCs/>
        </w:rPr>
        <w:t xml:space="preserve"> </w:t>
      </w:r>
      <w:r>
        <w:rPr>
          <w:b/>
          <w:bCs/>
        </w:rPr>
        <w:t xml:space="preserve">absolute Hall encoder</w:t>
      </w:r>
      <w:r>
        <w:t xml:space="preserve"> </w:t>
      </w:r>
      <w:r>
        <w:t xml:space="preserve">that reads rotor angle before the reduction. The</w:t>
      </w:r>
      <w:r>
        <w:t xml:space="preserve"> </w:t>
      </w:r>
      <w:r>
        <w:rPr>
          <w:b/>
          <w:bCs/>
        </w:rPr>
        <w:t xml:space="preserve">secondary output</w:t>
      </w:r>
      <w:r>
        <w:rPr>
          <w:b/>
          <w:bCs/>
        </w:rPr>
        <w:t xml:space="preserve"> </w:t>
      </w:r>
      <w:r>
        <w:rPr>
          <w:b/>
          <w:bCs/>
        </w:rPr>
        <w:t xml:space="preserve">encoder</w:t>
      </w:r>
      <w:r>
        <w:t xml:space="preserve"> </w:t>
      </w:r>
      <w:r>
        <w:t xml:space="preserve">is a separate</w:t>
      </w:r>
      <w:r>
        <w:t xml:space="preserve"> </w:t>
      </w:r>
      <w:r>
        <w:rPr>
          <w:b/>
          <w:bCs/>
        </w:rPr>
        <w:t xml:space="preserve">iC-Haus iC-MU Hall-IC</w:t>
      </w:r>
      <w:r>
        <w:t xml:space="preserve"> </w:t>
      </w:r>
      <w:r>
        <w:t xml:space="preserve">mounted at the harmonic-drive output stage,</w:t>
      </w:r>
      <w:r>
        <w:t xml:space="preserve"> </w:t>
      </w:r>
      <w:r>
        <w:t xml:space="preserve">reading the actual joint angle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50:1 reduction. The secondary encoder sits on its</w:t>
      </w:r>
      <w:r>
        <w:t xml:space="preserve"> </w:t>
      </w:r>
      <w:r>
        <w:t xml:space="preserve">own small PCB, which also carries an external configuration EEPROM and an RS-485/RS-422</w:t>
      </w:r>
      <w:r>
        <w:t xml:space="preserve"> </w:t>
      </w:r>
      <w:r>
        <w:t xml:space="preserve">differential transceiver, stacked with the joint’s load-cell PCB behind the main motor</w:t>
      </w:r>
      <w:r>
        <w:t xml:space="preserve"> </w:t>
      </w:r>
      <w:r>
        <w:t xml:space="preserve">connector. The physical construction and electrical routing of that board are characterised in</w:t>
      </w:r>
      <w:r>
        <w:t xml:space="preserve"> </w:t>
      </w:r>
      <w:r>
        <w:t xml:space="preserve">this report (Sections 6 and 7); the</w:t>
      </w:r>
      <w:r>
        <w:t xml:space="preserve"> </w:t>
      </w:r>
      <w:r>
        <w:rPr>
          <w:i/>
          <w:iCs/>
        </w:rPr>
        <w:t xml:space="preserve">functional role</w:t>
      </w:r>
      <w:r>
        <w:t xml:space="preserve"> </w:t>
      </w:r>
      <w:r>
        <w:t xml:space="preserve">of the two encoders within Spot’s</w:t>
      </w:r>
      <w:r>
        <w:t xml:space="preserve"> </w:t>
      </w:r>
      <w:r>
        <w:t xml:space="preserve">joint-control signalling is described in [Ming, SS-TBD].</w:t>
      </w:r>
    </w:p>
    <w:bookmarkEnd w:id="13"/>
    <w:bookmarkEnd w:id="14"/>
    <w:bookmarkStart w:id="91" w:name="methodology-1-power-system-rebuild"/>
    <w:p>
      <w:pPr>
        <w:pStyle w:val="Heading1"/>
      </w:pPr>
      <w:r>
        <w:t xml:space="preserve">Methodology 1 — Power-system rebuild</w:t>
      </w:r>
    </w:p>
    <w:bookmarkStart w:id="24" w:name="X73117c5fa28ca0d82bfb00bf56690c89d6e4057"/>
    <w:p>
      <w:pPr>
        <w:pStyle w:val="Heading2"/>
      </w:pPr>
      <w:r>
        <w:t xml:space="preserve">Fault diagnosis and the decision to rebuild</w:t>
      </w:r>
    </w:p>
    <w:p>
      <w:pPr>
        <w:pStyle w:val="FirstParagraph"/>
      </w:pPr>
      <w:r>
        <w:t xml:space="preserve">The power subsystem was the first blocker: with both modules unable to charge, Spot could not</w:t>
      </w:r>
      <w:r>
        <w:t xml:space="preserve"> </w:t>
      </w:r>
      <w:r>
        <w:t xml:space="preserve">be run from its own batteries. On the OEM charger the charge indicator flashed red briefly and</w:t>
      </w:r>
      <w:r>
        <w:t xml:space="preserve"> </w:t>
      </w:r>
      <w:r>
        <w:t xml:space="preserve">then went dark, rather than the steady green blink that signals normal charging. The handheld</w:t>
      </w:r>
      <w:r>
        <w:t xml:space="preserve"> </w:t>
      </w:r>
      <w:r>
        <w:t xml:space="preserve">controller, by contrast, powered on and connected normally (though it drained quickly),</w:t>
      </w:r>
      <w:r>
        <w:t xml:space="preserve"> </w:t>
      </w:r>
      <w:r>
        <w:t xml:space="preserve">confirming that the fault was specific to the battery modules rather than the wider system.</w:t>
      </w:r>
    </w:p>
    <w:p>
      <w:pPr>
        <w:pStyle w:val="BodyText"/>
      </w:pPr>
      <w:r>
        <w:t xml:space="preserve">To gain direct access to the cells and the BMS measurement pads, a module was opened along its</w:t>
      </w:r>
      <w:r>
        <w:t xml:space="preserve"> </w:t>
      </w:r>
      <w:r>
        <w:t xml:space="preserve">adhesive seam. The initial cell-group voltages averaged only about</w:t>
      </w:r>
      <w:r>
        <w:t xml:space="preserve"> </w:t>
      </w:r>
      <w:r>
        <w:rPr>
          <w:b/>
          <w:bCs/>
        </w:rPr>
        <w:t xml:space="preserve">90 mV</w:t>
      </w:r>
      <w:r>
        <w:t xml:space="preserve">, far below the</w:t>
      </w:r>
      <w:r>
        <w:t xml:space="preserve"> </w:t>
      </w:r>
      <w:r>
        <w:t xml:space="preserve">2.5 V minimum safe voltage for an 18650 cell, indicating severe over-discharge. A staged</w:t>
      </w:r>
      <w:r>
        <w:t xml:space="preserve"> </w:t>
      </w:r>
      <w:r>
        <w:t xml:space="preserve">recovery was nonetheless attempted before any decision to scrap the cells: each accessible</w:t>
      </w:r>
      <w:r>
        <w:t xml:space="preserve"> </w:t>
      </w:r>
      <w:r>
        <w:t xml:space="preserve">group was bench-charged slowly at 2.0 V / 1.5 A, and once groups reached roughly 2.0 V the</w:t>
      </w:r>
      <w:r>
        <w:t xml:space="preserve"> </w:t>
      </w:r>
      <w:r>
        <w:t xml:space="preserve">limits were raised to 16 V / 5 A across up to five groups at a time (Figure 2). The pack rose to</w:t>
      </w:r>
      <w:r>
        <w:t xml:space="preserve"> </w:t>
      </w:r>
      <w:r>
        <w:t xml:space="preserve">about 14.5 V on the supply (P1-GND measured 13.3 V combined), demonstrating that it would</w:t>
      </w:r>
      <w:r>
        <w:t xml:space="preserve"> </w:t>
      </w:r>
      <w:r>
        <w:rPr>
          <w:i/>
          <w:iCs/>
        </w:rPr>
        <w:t xml:space="preserve">take</w:t>
      </w:r>
      <w:r>
        <w:t xml:space="preserve"> </w:t>
      </w:r>
      <w:r>
        <w:t xml:space="preserve">charge.</w:t>
      </w:r>
    </w:p>
    <w:p>
      <w:pPr>
        <w:pStyle w:val="BodyText"/>
      </w:pPr>
      <w:r>
        <w:drawing>
          <wp:inline>
            <wp:extent cx="2560320" cy="192023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build-assets/docs_assets_charge-test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92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 —</w:t>
      </w:r>
      <w:r>
        <w:t xml:space="preserve"> </w:t>
      </w:r>
      <w:r>
        <w:t xml:space="preserve">Connecting a module to the OEM charger. The indicator flashes red and dies</w:t>
      </w:r>
      <w:r>
        <w:t xml:space="preserve"> </w:t>
      </w:r>
      <w:r>
        <w:t xml:space="preserve">rather than blinking steady green, signalling a refused charge.</w:t>
      </w:r>
    </w:p>
    <w:p>
      <w:pPr>
        <w:pStyle w:val="BodyText"/>
      </w:pPr>
      <w:r>
        <w:drawing>
          <wp:inline>
            <wp:extent cx="2933700" cy="391508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.build-assets/docs_assets_royston-charge-test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1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 —</w:t>
      </w:r>
      <w:r>
        <w:t xml:space="preserve"> </w:t>
      </w:r>
      <w:r>
        <w:t xml:space="preserve">Staged bench-charging of the individual cell groups, an attempt to nurse them</w:t>
      </w:r>
      <w:r>
        <w:t xml:space="preserve"> </w:t>
      </w:r>
      <w:r>
        <w:t xml:space="preserve">back above the safe minimum before committing to a rebuild.</w:t>
      </w:r>
    </w:p>
    <w:p>
      <w:pPr>
        <w:pStyle w:val="BodyText"/>
      </w:pPr>
      <w:r>
        <w:t xml:space="preserve">The recovery did not hold, and the manner of its failure was itself the diagnosis. Returned to</w:t>
      </w:r>
      <w:r>
        <w:t xml:space="preserve"> </w:t>
      </w:r>
      <w:r>
        <w:t xml:space="preserve">the OEM charger, the BMS status LED blinked, a successful CAN handshake, but the charge</w:t>
      </w:r>
      <w:r>
        <w:t xml:space="preserve"> </w:t>
      </w:r>
      <w:r>
        <w:t xml:space="preserve">indicator went green and then static, reporting a</w:t>
      </w:r>
      <w:r>
        <w:t xml:space="preserve"> </w:t>
      </w:r>
      <w:r>
        <w:rPr>
          <w:i/>
          <w:iCs/>
        </w:rPr>
        <w:t xml:space="preserve">“full”</w:t>
      </w:r>
      <w:r>
        <w:t xml:space="preserve"> </w:t>
      </w:r>
      <w:r>
        <w:t xml:space="preserve">charge on cells that were plainly</w:t>
      </w:r>
      <w:r>
        <w:t xml:space="preserve"> </w:t>
      </w:r>
      <w:r>
        <w:t xml:space="preserve">empty (Figure 3). The Spot manual attributes a false</w:t>
      </w:r>
      <w:r>
        <w:t xml:space="preserve"> </w:t>
      </w:r>
      <w:r>
        <w:t xml:space="preserve">“full”</w:t>
      </w:r>
      <w:r>
        <w:t xml:space="preserve"> </w:t>
      </w:r>
      <w:r>
        <w:t xml:space="preserve">to highly imbalanced cells and</w:t>
      </w:r>
      <w:r>
        <w:t xml:space="preserve"> </w:t>
      </w:r>
      <w:r>
        <w:t xml:space="preserve">suggests leaving the pack plugged in to auto-rebalance, which had no effect. After idling, the</w:t>
      </w:r>
      <w:r>
        <w:t xml:space="preserve"> </w:t>
      </w:r>
      <w:r>
        <w:t xml:space="preserve">cells were warm to the touch and pack voltage collapsed from about 1.6 V to 0.6 V. The</w:t>
      </w:r>
      <w:r>
        <w:t xml:space="preserve"> </w:t>
      </w:r>
      <w:r>
        <w:t xml:space="preserve">combination of warmth and rapid voltage collapse is consistent with resistive self-discharge</w:t>
      </w:r>
      <w:r>
        <w:t xml:space="preserve"> </w:t>
      </w:r>
      <w:r>
        <w:t xml:space="preserve">through dead cells now behaving as internal short circuits; the cells were therefore judged</w:t>
      </w:r>
      <w:r>
        <w:t xml:space="preserve"> </w:t>
      </w:r>
      <w:r>
        <w:t xml:space="preserve">degraded beyond recovery. The decision followed directly: replace the cells rather than recover</w:t>
      </w:r>
      <w:r>
        <w:t xml:space="preserve"> </w:t>
      </w:r>
      <w:r>
        <w:t xml:space="preserve">them and, to preserve the OEM BMS, CAN interface and casing, rebuild onto the original board</w:t>
      </w:r>
      <w:r>
        <w:t xml:space="preserve"> </w:t>
      </w:r>
      <w:r>
        <w:t xml:space="preserve">in the standard 14s4p configuration by spot-welding replacement cells onto the original pads.</w:t>
      </w:r>
    </w:p>
    <w:p>
      <w:pPr>
        <w:pStyle w:val="BodyText"/>
      </w:pPr>
      <w:r>
        <w:drawing>
          <wp:inline>
            <wp:extent cx="2560320" cy="192023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.build-assets/docs_assets_charger-static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92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 —</w:t>
      </w:r>
      <w:r>
        <w:t xml:space="preserve"> </w:t>
      </w:r>
      <w:r>
        <w:t xml:space="preserve">The OEM charge indicator sitting static green (</w:t>
      </w:r>
      <w:r>
        <w:t xml:space="preserve">“full”</w:t>
      </w:r>
      <w:r>
        <w:t xml:space="preserve">) moments after the pack</w:t>
      </w:r>
      <w:r>
        <w:t xml:space="preserve"> </w:t>
      </w:r>
      <w:r>
        <w:t xml:space="preserve">measured near-empty: the signature of dead, imbalanced cells.</w:t>
      </w:r>
    </w:p>
    <w:bookmarkEnd w:id="24"/>
    <w:bookmarkStart w:id="37" w:name="teardown-and-oem-construction"/>
    <w:p>
      <w:pPr>
        <w:pStyle w:val="Heading2"/>
      </w:pPr>
      <w:r>
        <w:t xml:space="preserve">Teardown and OEM construction</w:t>
      </w:r>
    </w:p>
    <w:p>
      <w:pPr>
        <w:pStyle w:val="FirstParagraph"/>
      </w:pPr>
      <w:r>
        <w:t xml:space="preserve">Having resolved to rebuild, the module was fully disassembled, both to strip out the dead cells</w:t>
      </w:r>
      <w:r>
        <w:t xml:space="preserve"> </w:t>
      </w:r>
      <w:r>
        <w:t xml:space="preserve">and to document the OEM construction so the replacement pack could match it (Figure 4). The</w:t>
      </w:r>
      <w:r>
        <w:t xml:space="preserve"> </w:t>
      </w:r>
      <w:r>
        <w:t xml:space="preserve">power cables were freed by cutting away a large securing glue blob piece by piece, then</w:t>
      </w:r>
      <w:r>
        <w:t xml:space="preserve"> </w:t>
      </w:r>
      <w:r>
        <w:t xml:space="preserve">unscrewing the leads and unplugging the CAN cable; a plastic insulator covering three of the</w:t>
      </w:r>
      <w:r>
        <w:t xml:space="preserve"> </w:t>
      </w:r>
      <w:r>
        <w:t xml:space="preserve">BMS pad sets was removed. The nickel strips are spot-welded to the BMS pads and could not be cut</w:t>
      </w:r>
      <w:r>
        <w:t xml:space="preserve"> </w:t>
      </w:r>
      <w:r>
        <w:t xml:space="preserve">cleanly because the plastic frame blocked the cutter, so they were pried off the pads, leaving</w:t>
      </w:r>
      <w:r>
        <w:t xml:space="preserve"> </w:t>
      </w:r>
      <w:r>
        <w:t xml:space="preserve">small welded-nickel bumps that required clean-up before re-welding. The two 7s4p sub-packs were</w:t>
      </w:r>
      <w:r>
        <w:t xml:space="preserve"> </w:t>
      </w:r>
      <w:r>
        <w:t xml:space="preserve">then separated: a long plastic snap-connector releases by prying both ends and twisting the</w:t>
      </w:r>
      <w:r>
        <w:t xml:space="preserve"> </w:t>
      </w:r>
      <w:r>
        <w:t xml:space="preserve">centre clips, and a shorter connector by pushing its centre axle out from below. The two</w:t>
      </w:r>
      <w:r>
        <w:t xml:space="preserve"> </w:t>
      </w:r>
      <w:r>
        <w:t xml:space="preserve">flexible thermistor strips (Figure 7) were unplugged and labelled A and B to preserve their</w:t>
      </w:r>
      <w:r>
        <w:t xml:space="preserve"> </w:t>
      </w:r>
      <w:r>
        <w:t xml:space="preserve">original sides.</w:t>
      </w:r>
    </w:p>
    <w:p>
      <w:pPr>
        <w:pStyle w:val="BodyText"/>
      </w:pPr>
      <w:r>
        <w:drawing>
          <wp:inline>
            <wp:extent cx="3200400" cy="24003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build-assets/docs_assets_disassembled-pack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 —</w:t>
      </w:r>
      <w:r>
        <w:t xml:space="preserve"> </w:t>
      </w:r>
      <w:r>
        <w:t xml:space="preserve">The module fully separated into its sub-packs, BMS, frame, connectors and</w:t>
      </w:r>
      <w:r>
        <w:t xml:space="preserve"> </w:t>
      </w:r>
      <w:r>
        <w:t xml:space="preserve">thermistor strips.</w:t>
      </w:r>
    </w:p>
    <w:p>
      <w:pPr>
        <w:pStyle w:val="BodyText"/>
      </w:pPr>
      <w:r>
        <w:t xml:space="preserve">The teardown confirmed the topology of Table 1 and fixed the two design constraints noted in</w:t>
      </w:r>
      <w:r>
        <w:t xml:space="preserve"> </w:t>
      </w:r>
      <w:r>
        <w:t xml:space="preserve">the Background: the irregular, non-collinear cell layout (Figure 5) that the replacement spacer</w:t>
      </w:r>
      <w:r>
        <w:t xml:space="preserve"> </w:t>
      </w:r>
      <w:r>
        <w:t xml:space="preserve">would have to reproduce, and the 28-pad BMS layout (Figure 6), positives along the long edges,</w:t>
      </w:r>
      <w:r>
        <w:t xml:space="preserve"> </w:t>
      </w:r>
      <w:r>
        <w:t xml:space="preserve">common negative down the centre, with three pad sets awkwardly recessed beneath the power-wire</w:t>
      </w:r>
      <w:r>
        <w:t xml:space="preserve"> </w:t>
      </w:r>
      <w:r>
        <w:t xml:space="preserve">insulator, onto which the new pack would weld.</w:t>
      </w:r>
    </w:p>
    <w:p>
      <w:pPr>
        <w:pStyle w:val="BodyText"/>
      </w:pPr>
      <w:r>
        <w:drawing>
          <wp:inline>
            <wp:extent cx="2933700" cy="22002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build-assets/docs_assets_battery-layout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 —</w:t>
      </w:r>
      <w:r>
        <w:t xml:space="preserve"> </w:t>
      </w:r>
      <w:r>
        <w:t xml:space="preserve">The OEM cell arrangement. Spacing is irregular and the centre cells in each row</w:t>
      </w:r>
      <w:r>
        <w:t xml:space="preserve"> </w:t>
      </w:r>
      <w:r>
        <w:t xml:space="preserve">sit proud of their neighbours.</w:t>
      </w:r>
    </w:p>
    <w:p>
      <w:pPr>
        <w:pStyle w:val="BodyText"/>
      </w:pPr>
      <w:r>
        <w:drawing>
          <wp:inline>
            <wp:extent cx="2933700" cy="219831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build-assets/docs_assets_bms-no-cable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98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 —</w:t>
      </w:r>
      <w:r>
        <w:t xml:space="preserve"> </w:t>
      </w:r>
      <w:r>
        <w:t xml:space="preserve">The BMS PCB with cabling removed, showing the pad layout onto which the</w:t>
      </w:r>
      <w:r>
        <w:t xml:space="preserve"> </w:t>
      </w:r>
      <w:r>
        <w:t xml:space="preserve">replacement packs weld.</w:t>
      </w:r>
    </w:p>
    <w:p>
      <w:pPr>
        <w:pStyle w:val="BodyText"/>
      </w:pPr>
      <w:r>
        <w:drawing>
          <wp:inline>
            <wp:extent cx="2667000" cy="2000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.build-assets/docs_assets_thermistor-closeup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7 —</w:t>
      </w:r>
      <w:r>
        <w:t xml:space="preserve"> </w:t>
      </w:r>
      <w:r>
        <w:t xml:space="preserve">One of the two flexible PCBs, each carrying five SMD NTC thermistors thermally</w:t>
      </w:r>
      <w:r>
        <w:t xml:space="preserve"> </w:t>
      </w:r>
      <w:r>
        <w:t xml:space="preserve">bonded to the cells.</w:t>
      </w:r>
    </w:p>
    <w:bookmarkEnd w:id="37"/>
    <w:bookmarkStart w:id="38" w:name="cell-sourcing"/>
    <w:p>
      <w:pPr>
        <w:pStyle w:val="Heading2"/>
      </w:pPr>
      <w:r>
        <w:t xml:space="preserve">Cell sourcing</w:t>
      </w:r>
    </w:p>
    <w:p>
      <w:pPr>
        <w:pStyle w:val="FirstParagraph"/>
      </w:pPr>
      <w:r>
        <w:t xml:space="preserve">The replacement cell was fixed by the OEM specification: the Samsung INR18650-30Q identified</w:t>
      </w:r>
      <w:r>
        <w:t xml:space="preserve"> </w:t>
      </w:r>
      <w:r>
        <w:t xml:space="preserve">from the Spot Battery Safety Data Sheet [1], of which 56 were required per module. Because local</w:t>
      </w:r>
      <w:r>
        <w:t xml:space="preserve"> </w:t>
      </w:r>
      <w:r>
        <w:t xml:space="preserve">suppliers did not stock the exact cell, several options were compared (Table 2). The original</w:t>
      </w:r>
      <w:r>
        <w:t xml:space="preserve"> </w:t>
      </w:r>
      <w:r>
        <w:t xml:space="preserve">30Q was selected to keep the rebuild electrically identical to stock, the cheapest source being</w:t>
      </w:r>
      <w:r>
        <w:t xml:space="preserve"> </w:t>
      </w:r>
      <w:r>
        <w:t xml:space="preserve">Falcon PEV [2]; higher-capacity alternatives were rejected as unnecessary deviations from the</w:t>
      </w:r>
      <w:r>
        <w:t xml:space="preserve"> </w:t>
      </w:r>
      <w:r>
        <w:t xml:space="preserve">OEM design.</w:t>
      </w:r>
    </w:p>
    <w:p>
      <w:pPr>
        <w:pStyle w:val="TableCaption"/>
      </w:pPr>
      <w:r>
        <w:rPr>
          <w:b/>
          <w:bCs/>
        </w:rPr>
        <w:t xml:space="preserve">Table 2 —</w:t>
      </w:r>
      <w:r>
        <w:t xml:space="preserve"> </w:t>
      </w:r>
      <w:r>
        <w:t xml:space="preserve">Replacement-cell sourcing comparison. The OEM cell was chosen to keep the pack identical to stock.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 — Replacement-cell sourcing comparison. The OEM cell was chosen to keep the pack identical to stock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Samsung INR18650-30Q</w:t>
            </w:r>
            <w:r>
              <w:t xml:space="preserve"> </w:t>
            </w:r>
            <w:r>
              <w:rPr>
                <w:i/>
                <w:iCs/>
              </w:rPr>
              <w:t xml:space="preserve">(chosen)</w:t>
            </w:r>
          </w:p>
        </w:tc>
        <w:tc>
          <w:tcPr/>
          <w:p>
            <w:pPr>
              <w:pStyle w:val="Compact"/>
            </w:pPr>
            <w:r>
              <w:t xml:space="preserve">3000 mAh</w:t>
            </w:r>
          </w:p>
        </w:tc>
        <w:tc>
          <w:tcPr/>
          <w:p>
            <w:pPr>
              <w:pStyle w:val="Compact"/>
            </w:pPr>
            <w:r>
              <w:t xml:space="preserve">15 A / 30 A peak</w:t>
            </w:r>
          </w:p>
        </w:tc>
        <w:tc>
          <w:tcPr/>
          <w:p>
            <w:pPr>
              <w:pStyle w:val="Compact"/>
            </w:pPr>
            <w:r>
              <w:t xml:space="preserve">OEM spec; cheapest source found (Falcon PEV) [2].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 HG2</w:t>
            </w:r>
          </w:p>
        </w:tc>
        <w:tc>
          <w:tcPr/>
          <w:p>
            <w:pPr>
              <w:pStyle w:val="Compact"/>
            </w:pPr>
            <w:r>
              <w:t xml:space="preserve">3000 mAh</w:t>
            </w:r>
          </w:p>
        </w:tc>
        <w:tc>
          <w:tcPr/>
          <w:p>
            <w:pPr>
              <w:pStyle w:val="Compact"/>
            </w:pPr>
            <w:r>
              <w:t xml:space="preserve">20 A</w:t>
            </w:r>
          </w:p>
        </w:tc>
        <w:tc>
          <w:tcPr/>
          <w:p>
            <w:pPr>
              <w:pStyle w:val="Compact"/>
            </w:pPr>
            <w:r>
              <w:t xml:space="preserve">Same capacity, slightly higher rating (~S$663 for 56).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Samsung INR18650-35E</w:t>
            </w:r>
          </w:p>
        </w:tc>
        <w:tc>
          <w:tcPr/>
          <w:p>
            <w:pPr>
              <w:pStyle w:val="Compact"/>
            </w:pPr>
            <w:r>
              <w:t xml:space="preserve">3500 mAh</w:t>
            </w:r>
          </w:p>
        </w:tc>
        <w:tc>
          <w:tcPr/>
          <w:p>
            <w:pPr>
              <w:pStyle w:val="Compact"/>
            </w:pPr>
            <w:r>
              <w:t xml:space="preserve">higher</w:t>
            </w:r>
          </w:p>
        </w:tc>
        <w:tc>
          <w:tcPr/>
          <w:p>
            <w:pPr>
              <w:pStyle w:val="Compact"/>
            </w:pPr>
            <w:r>
              <w:t xml:space="preserve">More capacity and current, but pricier.</w:t>
            </w:r>
          </w:p>
        </w:tc>
      </w:tr>
    </w:tbl>
    <w:bookmarkEnd w:id="38"/>
    <w:bookmarkStart w:id="42" w:name="pack-design"/>
    <w:p>
      <w:pPr>
        <w:pStyle w:val="Heading2"/>
      </w:pPr>
      <w:r>
        <w:t xml:space="preserve">Pack design</w:t>
      </w:r>
    </w:p>
    <w:p>
      <w:pPr>
        <w:pStyle w:val="FirstParagraph"/>
      </w:pPr>
      <w:r>
        <w:t xml:space="preserve">Two design questions had to be settled before assembly: how to size the inter-cell conductors,</w:t>
      </w:r>
      <w:r>
        <w:t xml:space="preserve"> </w:t>
      </w:r>
      <w:r>
        <w:t xml:space="preserve">and how to hold the irregular cell lattice rigidly.</w:t>
      </w:r>
    </w:p>
    <w:p>
      <w:pPr>
        <w:pStyle w:val="BodyText"/>
      </w:pPr>
      <w:r>
        <w:t xml:space="preserve">The conductor sizing followed from an estimate of Spot’s power draw. With the pack rated at</w:t>
      </w:r>
      <w:r>
        <w:t xml:space="preserve"> </w:t>
      </w:r>
      <w:r>
        <w:t xml:space="preserve">about 500 Wh and a datasheet runtime of roughly 1.5 h, and assuming discharge to 20 % state of</w:t>
      </w:r>
      <w:r>
        <w:t xml:space="preserve"> </w:t>
      </w:r>
      <w:r>
        <w:t xml:space="preserve">charge over that time, the average power is approximately 0.8 × 500 / 1.5 ≈</w:t>
      </w:r>
      <w:r>
        <w:t xml:space="preserve"> </w:t>
      </w:r>
      <w:r>
        <w:rPr>
          <w:b/>
          <w:bCs/>
        </w:rPr>
        <w:t xml:space="preserve">267 W</w:t>
      </w:r>
      <w:r>
        <w:t xml:space="preserve">; against</w:t>
      </w:r>
      <w:r>
        <w:t xml:space="preserve"> </w:t>
      </w:r>
      <w:r>
        <w:t xml:space="preserve">the manual’s 38-52 V supply this implies an operating current of about</w:t>
      </w:r>
      <w:r>
        <w:t xml:space="preserve"> </w:t>
      </w:r>
      <w:r>
        <w:rPr>
          <w:b/>
          <w:bCs/>
        </w:rPr>
        <w:t xml:space="preserve">5.1-7.0 A</w:t>
      </w:r>
      <w:r>
        <w:t xml:space="preserve">. Sizing to</w:t>
      </w:r>
      <w:r>
        <w:t xml:space="preserve"> </w:t>
      </w:r>
      <w:r>
        <w:t xml:space="preserve">a 50 % margin (~400 W continuous) gives a peak pack current of about</w:t>
      </w:r>
      <w:r>
        <w:t xml:space="preserve"> </w:t>
      </w:r>
      <w:r>
        <w:rPr>
          <w:b/>
          <w:bCs/>
        </w:rPr>
        <w:t xml:space="preserve">10.5 A</w:t>
      </w:r>
      <w:r>
        <w:t xml:space="preserve">, or roughly</w:t>
      </w:r>
      <w:r>
        <w:t xml:space="preserve"> </w:t>
      </w:r>
      <w:r>
        <w:rPr>
          <w:b/>
          <w:bCs/>
        </w:rPr>
        <w:t xml:space="preserve">2.63 A per cell</w:t>
      </w:r>
      <w:r>
        <w:t xml:space="preserve"> </w:t>
      </w:r>
      <w:r>
        <w:t xml:space="preserve">across the four parallel cells in each group. Those figures set the strip</w:t>
      </w:r>
      <w:r>
        <w:t xml:space="preserve"> </w:t>
      </w:r>
      <w:r>
        <w:t xml:space="preserve">widths in Table 3; the OEM pack uses 12 mm strip throughout, which is comfortably conservative</w:t>
      </w:r>
      <w:r>
        <w:t xml:space="preserve"> </w:t>
      </w:r>
      <w:r>
        <w:t xml:space="preserve">for the actual current.</w:t>
      </w:r>
    </w:p>
    <w:p>
      <w:pPr>
        <w:pStyle w:val="TableCaption"/>
      </w:pPr>
      <w:r>
        <w:rPr>
          <w:b/>
          <w:bCs/>
        </w:rPr>
        <w:t xml:space="preserve">Table 3 —</w:t>
      </w:r>
      <w:r>
        <w:t xml:space="preserve"> </w:t>
      </w:r>
      <w:r>
        <w:t xml:space="preserve">Inter-cell conductor sizing, from the estimated ~10.5 A peak pack current.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 — Inter-cell conductor sizing, from the estimated ~10.5 A peak pack curren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Conductor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Inter-cell links</w:t>
            </w:r>
          </w:p>
        </w:tc>
        <w:tc>
          <w:tcPr/>
          <w:p>
            <w:pPr>
              <w:pStyle w:val="Compact"/>
            </w:pPr>
            <w:r>
              <w:t xml:space="preserve">0.1 × 8 mm pure nickel</w:t>
            </w:r>
          </w:p>
        </w:tc>
        <w:tc>
          <w:tcPr/>
          <w:p>
            <w:pPr>
              <w:pStyle w:val="Compact"/>
            </w:pPr>
            <w:r>
              <w:t xml:space="preserve">Per-cell current only ~2.63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4s pack leads</w:t>
            </w:r>
          </w:p>
        </w:tc>
        <w:tc>
          <w:tcPr/>
          <w:p>
            <w:pPr>
              <w:pStyle w:val="Compact"/>
            </w:pPr>
            <w:r>
              <w:t xml:space="preserve">0.15 × 12 mm pure nickel</w:t>
            </w:r>
          </w:p>
        </w:tc>
        <w:tc>
          <w:tcPr/>
          <w:p>
            <w:pPr>
              <w:pStyle w:val="Compact"/>
            </w:pPr>
            <w:r>
              <w:t xml:space="preserve">Rated ~17 A optimal / 25.5 A acceptable, ample for ~10.5 A pack max</w:t>
            </w:r>
          </w:p>
        </w:tc>
      </w:tr>
    </w:tbl>
    <w:p>
      <w:pPr>
        <w:pStyle w:val="BodyText"/>
      </w:pPr>
      <w:r>
        <w:t xml:space="preserve">The irregular OEM layout was replicated in CAD from direct measurement of the original pack and</w:t>
      </w:r>
      <w:r>
        <w:t xml:space="preserve"> </w:t>
      </w:r>
      <w:r>
        <w:t xml:space="preserve">3D-printed as a four-piece cell spacer in</w:t>
      </w:r>
      <w:r>
        <w:t xml:space="preserve"> </w:t>
      </w:r>
      <w:r>
        <w:rPr>
          <w:b/>
          <w:bCs/>
        </w:rPr>
        <w:t xml:space="preserve">PC-CF</w:t>
      </w:r>
      <w:r>
        <w:t xml:space="preserve"> </w:t>
      </w:r>
      <w:r>
        <w:t xml:space="preserve">(polycarbonate / carbon-fibre), chosen for</w:t>
      </w:r>
      <w:r>
        <w:t xml:space="preserve"> </w:t>
      </w:r>
      <w:r>
        <w:t xml:space="preserve">its high operating-temperature limit and strong inter-layer bond, which maximise rigidity</w:t>
      </w:r>
      <w:r>
        <w:t xml:space="preserve"> </w:t>
      </w:r>
      <w:r>
        <w:t xml:space="preserve">(Figure 8). The four spacers printed over roughly ten hours. Safety and thermal provisions</w:t>
      </w:r>
      <w:r>
        <w:t xml:space="preserve"> </w:t>
      </w:r>
      <w:r>
        <w:t xml:space="preserve">mirrored the OEM approach where practical: fish-paper insulation cut to shape across the cell</w:t>
      </w:r>
      <w:r>
        <w:t xml:space="preserve"> </w:t>
      </w:r>
      <w:r>
        <w:t xml:space="preserve">terminals to prevent accidental shorts, and a silicone thermal sheet between the pack and the</w:t>
      </w:r>
      <w:r>
        <w:t xml:space="preserve"> </w:t>
      </w:r>
      <w:r>
        <w:t xml:space="preserve">shell for heat transfer and to seat the cells firmly in the casing grooves. An off-the-shelf</w:t>
      </w:r>
      <w:r>
        <w:t xml:space="preserve"> </w:t>
      </w:r>
      <w:r>
        <w:t xml:space="preserve">phase-change material equivalent to the OEM latent-heat filler [4] was researched but none easy</w:t>
      </w:r>
      <w:r>
        <w:t xml:space="preserve"> </w:t>
      </w:r>
      <w:r>
        <w:t xml:space="preserve">to work with was found, so it was omitted from this rebuild, on the basis that the current-sizing</w:t>
      </w:r>
      <w:r>
        <w:t xml:space="preserve"> </w:t>
      </w:r>
      <w:r>
        <w:t xml:space="preserve">estimate above already showed the cells operating well under their rated capacity even at peak</w:t>
      </w:r>
      <w:r>
        <w:t xml:space="preserve"> </w:t>
      </w:r>
      <w:r>
        <w:t xml:space="preserve">load: a deviation from stock noted here as a limitation.</w:t>
      </w:r>
    </w:p>
    <w:p>
      <w:pPr>
        <w:pStyle w:val="BodyText"/>
      </w:pPr>
      <w:r>
        <w:drawing>
          <wp:inline>
            <wp:extent cx="2933700" cy="219831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build-assets/docs_assets_3D-printed-bracket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98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8 —</w:t>
      </w:r>
      <w:r>
        <w:t xml:space="preserve"> </w:t>
      </w:r>
      <w:r>
        <w:t xml:space="preserve">The four 3D-printed PC-CF cell spacers, which replicate the irregular OEM cell</w:t>
      </w:r>
      <w:r>
        <w:t xml:space="preserve"> </w:t>
      </w:r>
      <w:r>
        <w:t xml:space="preserve">positions.</w:t>
      </w:r>
    </w:p>
    <w:bookmarkEnd w:id="42"/>
    <w:bookmarkStart w:id="52" w:name="assembly-and-spot-welding"/>
    <w:p>
      <w:pPr>
        <w:pStyle w:val="Heading2"/>
      </w:pPr>
      <w:r>
        <w:t xml:space="preserve">Assembly and spot-welding</w:t>
      </w:r>
    </w:p>
    <w:p>
      <w:pPr>
        <w:pStyle w:val="FirstParagraph"/>
      </w:pPr>
      <w:r>
        <w:t xml:space="preserve">The cells were seated in the spacers and their terminals joined with nickel strip at a</w:t>
      </w:r>
      <w:r>
        <w:t xml:space="preserve"> </w:t>
      </w:r>
      <w:r>
        <w:t xml:space="preserve">partner facility, Sodion Energy. Only 10×0.15 mm strip was available, so it was trimmed to about</w:t>
      </w:r>
      <w:r>
        <w:t xml:space="preserve"> </w:t>
      </w:r>
      <w:r>
        <w:t xml:space="preserve">8 mm before use (Figure 9). The 12 mm BMS PCB tabs tended to</w:t>
      </w:r>
      <w:r>
        <w:t xml:space="preserve"> </w:t>
      </w:r>
      <w:r>
        <w:t xml:space="preserve">“explode”</w:t>
      </w:r>
      <w:r>
        <w:t xml:space="preserve"> </w:t>
      </w:r>
      <w:r>
        <w:t xml:space="preserve">when welded onto the</w:t>
      </w:r>
      <w:r>
        <w:t xml:space="preserve"> </w:t>
      </w:r>
      <w:r>
        <w:t xml:space="preserve">thinner strip beneath them, so some tabs that kept coming loose were</w:t>
      </w:r>
      <w:r>
        <w:t xml:space="preserve"> </w:t>
      </w:r>
      <w:r>
        <w:rPr>
          <w:b/>
          <w:bCs/>
        </w:rPr>
        <w:t xml:space="preserve">soldered</w:t>
      </w:r>
      <w:r>
        <w:t xml:space="preserve"> </w:t>
      </w:r>
      <w:r>
        <w:t xml:space="preserve">rather than</w:t>
      </w:r>
      <w:r>
        <w:t xml:space="preserve"> </w:t>
      </w:r>
      <w:r>
        <w:t xml:space="preserve">welded. A recurring practical constraint was that the welder could not reliably join more than</w:t>
      </w:r>
      <w:r>
        <w:t xml:space="preserve"> </w:t>
      </w:r>
      <w:r>
        <w:t xml:space="preserve">one nickel strip at a time, which ruled out strip-stacking and shaped the later V2 design.</w:t>
      </w:r>
    </w:p>
    <w:p>
      <w:pPr>
        <w:pStyle w:val="BodyText"/>
      </w:pPr>
      <w:r>
        <w:drawing>
          <wp:inline>
            <wp:extent cx="2933700" cy="220027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build-assets/docs_assets_welded-pack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9 —</w:t>
      </w:r>
      <w:r>
        <w:t xml:space="preserve"> </w:t>
      </w:r>
      <w:r>
        <w:t xml:space="preserve">A cell sub-pack with nickel strips spot-welded across the terminals.</w:t>
      </w:r>
    </w:p>
    <w:p>
      <w:pPr>
        <w:pStyle w:val="BodyText"/>
      </w:pPr>
      <w:r>
        <w:t xml:space="preserve">Welder reliability was in fact the dominant obstacle of the whole rebuild. Partway through, the</w:t>
      </w:r>
      <w:r>
        <w:t xml:space="preserve"> </w:t>
      </w:r>
      <w:r>
        <w:t xml:space="preserve">bench spot-welder failed with an</w:t>
      </w:r>
      <w:r>
        <w:t xml:space="preserve"> </w:t>
      </w:r>
      <w:r>
        <w:rPr>
          <w:i/>
          <w:iCs/>
        </w:rPr>
        <w:t xml:space="preserve">Error 22 (transistor fault)</w:t>
      </w:r>
      <w:r>
        <w:t xml:space="preserve">: after about thirty minutes of</w:t>
      </w:r>
      <w:r>
        <w:t xml:space="preserve"> </w:t>
      </w:r>
      <w:r>
        <w:t xml:space="preserve">use there was an audible pop and a smell of smoke from the supply. The immediate contributor was</w:t>
      </w:r>
      <w:r>
        <w:t xml:space="preserve"> </w:t>
      </w:r>
      <w:r>
        <w:t xml:space="preserve">assessed as thermal saturation of the welder’s IGBTs; the underlying cause was later traced, on</w:t>
      </w:r>
      <w:r>
        <w:t xml:space="preserve"> </w:t>
      </w:r>
      <w:r>
        <w:t xml:space="preserve">opening the unit, to a</w:t>
      </w:r>
      <w:r>
        <w:t xml:space="preserve"> </w:t>
      </w:r>
      <w:r>
        <w:rPr>
          <w:b/>
          <w:bCs/>
        </w:rPr>
        <w:t xml:space="preserve">cracked solder joint on a capacitor module</w:t>
      </w:r>
      <w:r>
        <w:t xml:space="preserve">, with burn marks on the PCB</w:t>
      </w:r>
      <w:r>
        <w:t xml:space="preserve"> </w:t>
      </w:r>
      <w:r>
        <w:t xml:space="preserve">beside an otherwise-healthy capacitor. A handheld spot-welder (Figure 10) was pressed into</w:t>
      </w:r>
      <w:r>
        <w:t xml:space="preserve"> </w:t>
      </w:r>
      <w:r>
        <w:t xml:space="preserve">service to finish both packs while the bench unit was out of action.</w:t>
      </w:r>
    </w:p>
    <w:p>
      <w:pPr>
        <w:pStyle w:val="BodyText"/>
      </w:pPr>
      <w:r>
        <w:drawing>
          <wp:inline>
            <wp:extent cx="2560320" cy="341376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build-assets/docs_assets_manual-spot-welder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10 —</w:t>
      </w:r>
      <w:r>
        <w:t xml:space="preserve"> </w:t>
      </w:r>
      <w:r>
        <w:t xml:space="preserve">The handheld spot-welder that completed the job after the bench welder failed</w:t>
      </w:r>
      <w:r>
        <w:t xml:space="preserve"> </w:t>
      </w:r>
      <w:r>
        <w:t xml:space="preserve">with an Error 22 transistor fault.</w:t>
      </w:r>
    </w:p>
    <w:p>
      <w:pPr>
        <w:pStyle w:val="BodyText"/>
      </w:pPr>
      <w:r>
        <w:t xml:space="preserve">The pack was then reattached to the BMS, ground ends first and positive ends second. As each</w:t>
      </w:r>
      <w:r>
        <w:t xml:space="preserve"> </w:t>
      </w:r>
      <w:r>
        <w:t xml:space="preserve">cell group was welded on, the BMS’s red indicator LEDs blinked in response, but in no</w:t>
      </w:r>
      <w:r>
        <w:t xml:space="preserve"> </w:t>
      </w:r>
      <w:r>
        <w:t xml:space="preserve">consistent order: static for a few groups, blinking for another few, unlit for the rest</w:t>
      </w:r>
      <w:r>
        <w:t xml:space="preserve"> </w:t>
      </w:r>
      <w:r>
        <w:t xml:space="preserve">(Figure 11). The module was finally closed with its original foam pieces reinserted to keep the</w:t>
      </w:r>
      <w:r>
        <w:t xml:space="preserve"> </w:t>
      </w:r>
      <w:r>
        <w:t xml:space="preserve">cells seated.</w:t>
      </w:r>
    </w:p>
    <w:p>
      <w:pPr>
        <w:pStyle w:val="BodyText"/>
      </w:pPr>
      <w:r>
        <w:drawing>
          <wp:inline>
            <wp:extent cx="2667000" cy="199847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build-assets/docs_assets_bms-indicator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9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11 —</w:t>
      </w:r>
      <w:r>
        <w:t xml:space="preserve"> </w:t>
      </w:r>
      <w:r>
        <w:t xml:space="preserve">BMS indicator LEDs responding as each cell group is welded onto the board.</w:t>
      </w:r>
    </w:p>
    <w:bookmarkEnd w:id="52"/>
    <w:bookmarkStart w:id="74" w:name="testing-fault-finding-and-rework"/>
    <w:p>
      <w:pPr>
        <w:pStyle w:val="Heading2"/>
      </w:pPr>
      <w:r>
        <w:t xml:space="preserve">Testing, fault-finding and rework</w:t>
      </w:r>
    </w:p>
    <w:p>
      <w:pPr>
        <w:pStyle w:val="FirstParagraph"/>
      </w:pPr>
      <w:r>
        <w:t xml:space="preserve">The first charge test exposed the rebuild’s central weakness. The state-of-charge (SoC) button</w:t>
      </w:r>
      <w:r>
        <w:t xml:space="preserve"> </w:t>
      </w:r>
      <w:r>
        <w:t xml:space="preserve">showed a single blinking green bar; the charger flashed green (charging) but, after about twenty</w:t>
      </w:r>
      <w:r>
        <w:t xml:space="preserve"> </w:t>
      </w:r>
      <w:r>
        <w:t xml:space="preserve">minutes, went static green (</w:t>
      </w:r>
      <w:r>
        <w:t xml:space="preserve">“full”</w:t>
      </w:r>
      <w:r>
        <w:t xml:space="preserve">) while the SoC still showed one bar. The BMS then flashed</w:t>
      </w:r>
      <w:r>
        <w:t xml:space="preserve"> </w:t>
      </w:r>
      <w:r>
        <w:t xml:space="preserve">three red LEDs and extinguished its green STM32 LED, halting the charge.</w:t>
      </w:r>
    </w:p>
    <w:p>
      <w:pPr>
        <w:pStyle w:val="BodyText"/>
      </w:pPr>
      <w:r>
        <w:t xml:space="preserve">From the admin console the battery balance index read</w:t>
      </w:r>
      <w:r>
        <w:t xml:space="preserve"> </w:t>
      </w:r>
      <w:r>
        <w:rPr>
          <w:b/>
          <w:bCs/>
        </w:rPr>
        <w:t xml:space="preserve">0.213</w:t>
      </w:r>
      <w:r>
        <w:t xml:space="preserve">, well above the 0.1 threshold</w:t>
      </w:r>
      <w:r>
        <w:t xml:space="preserve"> </w:t>
      </w:r>
      <w:r>
        <w:t xml:space="preserve">that calls for active balancing. Automatic balancing, however, requires battery firmware later</w:t>
      </w:r>
      <w:r>
        <w:t xml:space="preserve"> </w:t>
      </w:r>
      <w:r>
        <w:t xml:space="preserve">than V45, whereas the pack reported V33, so the legacy charger was never going to rebalance it</w:t>
      </w:r>
      <w:r>
        <w:t xml:space="preserve"> </w:t>
      </w:r>
      <w:r>
        <w:t xml:space="preserve">on its own, and the premature</w:t>
      </w:r>
      <w:r>
        <w:t xml:space="preserve"> </w:t>
      </w:r>
      <w:r>
        <w:t xml:space="preserve">“full”</w:t>
      </w:r>
      <w:r>
        <w:t xml:space="preserve"> </w:t>
      </w:r>
      <w:r>
        <w:t xml:space="preserve">reading was a symptom of that imbalance rather than a</w:t>
      </w:r>
      <w:r>
        <w:t xml:space="preserve"> </w:t>
      </w:r>
      <w:r>
        <w:t xml:space="preserve">genuine end of charge.</w:t>
      </w:r>
    </w:p>
    <w:p>
      <w:pPr>
        <w:pStyle w:val="BodyText"/>
      </w:pPr>
      <w:r>
        <w:t xml:space="preserve">The rebuilt pack did nonetheless power the robot through a boot cycle, confirming that it could</w:t>
      </w:r>
      <w:r>
        <w:t xml:space="preserve"> </w:t>
      </w:r>
      <w:r>
        <w:t xml:space="preserve">deliver load current even while imbalanced. That ruled out a dead pack outright and pointed the</w:t>
      </w:r>
      <w:r>
        <w:t xml:space="preserve"> </w:t>
      </w:r>
      <w:r>
        <w:t xml:space="preserve">investigation at the cells’ connections rather than at the charging system.</w:t>
      </w:r>
    </w:p>
    <w:p>
      <w:pPr>
        <w:pStyle w:val="BodyText"/>
      </w:pPr>
      <w:r>
        <w:t xml:space="preserve">After charging until the charger again reported</w:t>
      </w:r>
      <w:r>
        <w:t xml:space="preserve"> </w:t>
      </w:r>
      <w:r>
        <w:t xml:space="preserve">“full”</w:t>
      </w:r>
      <w:r>
        <w:t xml:space="preserve">, each group’s voltage was measured and</w:t>
      </w:r>
      <w:r>
        <w:t xml:space="preserve"> </w:t>
      </w:r>
      <w:r>
        <w:t xml:space="preserve">tabulated (Figure 12). Groups 1, 2 and 8 read abnormally while the remainder were well</w:t>
      </w:r>
      <w:r>
        <w:t xml:space="preserve"> </w:t>
      </w:r>
      <w:r>
        <w:t xml:space="preserve">balanced, and inspection tied every anomaly to a</w:t>
      </w:r>
      <w:r>
        <w:t xml:space="preserve"> </w:t>
      </w:r>
      <w:r>
        <w:rPr>
          <w:b/>
          <w:bCs/>
        </w:rPr>
        <w:t xml:space="preserve">bad weld on the positive side</w:t>
      </w:r>
      <w:r>
        <w:t xml:space="preserve">: on groups 2</w:t>
      </w:r>
      <w:r>
        <w:t xml:space="preserve"> </w:t>
      </w:r>
      <w:r>
        <w:t xml:space="preserve">and 8 the positive weld had popped off, leaving only two of the four parallel cells connected</w:t>
      </w:r>
      <w:r>
        <w:t xml:space="preserve"> </w:t>
      </w:r>
      <w:r>
        <w:t xml:space="preserve">and so raising the group’s relative voltage; on group 1 a defective weld loosely joined the</w:t>
      </w:r>
      <w:r>
        <w:t xml:space="preserve"> </w:t>
      </w:r>
      <w:r>
        <w:t xml:space="preserve">nickel strips, producing a high contact resistance. A resistance comparison across sound and</w:t>
      </w:r>
      <w:r>
        <w:t xml:space="preserve"> </w:t>
      </w:r>
      <w:r>
        <w:t xml:space="preserve">poor joints (Figure 14) confirmed that an inconsistent weld raises the trace resistance</w:t>
      </w:r>
      <w:r>
        <w:t xml:space="preserve"> </w:t>
      </w:r>
      <w:r>
        <w:t xml:space="preserve">substantially and unbalances the pack.</w:t>
      </w:r>
    </w:p>
    <w:p>
      <w:pPr>
        <w:pStyle w:val="BodyText"/>
      </w:pPr>
      <w:r>
        <w:drawing>
          <wp:inline>
            <wp:extent cx="3200400" cy="2827816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.build-assets/docs_assets_cell-voltag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27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12 —</w:t>
      </w:r>
      <w:r>
        <w:t xml:space="preserve"> </w:t>
      </w:r>
      <w:r>
        <w:t xml:space="preserve">Per-group voltage sweep after the first full charge; groups 1, 2 and 8 read</w:t>
      </w:r>
      <w:r>
        <w:t xml:space="preserve"> </w:t>
      </w:r>
      <w:r>
        <w:t xml:space="preserve">abnormally relative to the balanced remainder.</w:t>
      </w:r>
    </w:p>
    <w:p>
      <w:pPr>
        <w:pStyle w:val="BodyText"/>
      </w:pPr>
      <w:r>
        <w:drawing>
          <wp:inline>
            <wp:extent cx="2560320" cy="341376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.build-assets/docs_assets_poor-wel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13 —</w:t>
      </w:r>
      <w:r>
        <w:t xml:space="preserve"> </w:t>
      </w:r>
      <w:r>
        <w:t xml:space="preserve">A defective / popped weld joint of the type responsible for the group</w:t>
      </w:r>
      <w:r>
        <w:t xml:space="preserve"> </w:t>
      </w:r>
      <w:r>
        <w:t xml:space="preserve">imbalance.</w:t>
      </w:r>
    </w:p>
    <w:p>
      <w:pPr>
        <w:pStyle w:val="BodyText"/>
      </w:pPr>
      <w:r>
        <w:drawing>
          <wp:inline>
            <wp:extent cx="2240280" cy="298704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build-assets/docs_assets_good-weld-resistance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240280" cy="298704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.build-assets/docs_assets_poor-weld-resistance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14 —</w:t>
      </w:r>
      <w:r>
        <w:t xml:space="preserve"> </w:t>
      </w:r>
      <w:r>
        <w:t xml:space="preserve">Resistance across a sound weld (left) versus a poor one (right). The poor joint</w:t>
      </w:r>
      <w:r>
        <w:t xml:space="preserve"> </w:t>
      </w:r>
      <w:r>
        <w:t xml:space="preserve">reads a substantially higher resistance.</w:t>
      </w:r>
    </w:p>
    <w:p>
      <w:pPr>
        <w:pStyle w:val="BodyText"/>
      </w:pPr>
      <w:r>
        <w:t xml:space="preserve">The weld problem then escalated from imbalance to a hard lockout. After the pack was left</w:t>
      </w:r>
      <w:r>
        <w:t xml:space="preserve"> </w:t>
      </w:r>
      <w:r>
        <w:t xml:space="preserve">overnight, Spot reported a</w:t>
      </w:r>
      <w:r>
        <w:t xml:space="preserve"> </w:t>
      </w:r>
      <w:r>
        <w:rPr>
          <w:b/>
          <w:bCs/>
        </w:rPr>
        <w:t xml:space="preserve">battery fault</w:t>
      </w:r>
      <w:r>
        <w:t xml:space="preserve"> </w:t>
      </w:r>
      <w:r>
        <w:t xml:space="preserve">and refused to power on, and charging produced the</w:t>
      </w:r>
      <w:r>
        <w:t xml:space="preserve"> </w:t>
      </w:r>
      <w:r>
        <w:t xml:space="preserve">same fault with all SoC lights blinking. A third voltage sweep (Figure 15) showed group 1</w:t>
      </w:r>
      <w:r>
        <w:t xml:space="preserve"> </w:t>
      </w:r>
      <w:r>
        <w:t xml:space="preserve">reading an impossible</w:t>
      </w:r>
      <w:r>
        <w:t xml:space="preserve"> </w:t>
      </w:r>
      <w:r>
        <w:rPr>
          <w:b/>
          <w:bCs/>
        </w:rPr>
        <w:t xml:space="preserve">−0.5 V</w:t>
      </w:r>
      <w:r>
        <w:t xml:space="preserve"> </w:t>
      </w:r>
      <w:r>
        <w:t xml:space="preserve">while every other group, including the previously unbalanced</w:t>
      </w:r>
      <w:r>
        <w:t xml:space="preserve"> </w:t>
      </w:r>
      <w:r>
        <w:t xml:space="preserve">ones, sat at a healthy 3.71-3.72 V. Candidate failure modes were narrowed by elimination: no</w:t>
      </w:r>
      <w:r>
        <w:t xml:space="preserve"> </w:t>
      </w:r>
      <w:r>
        <w:t xml:space="preserve">visible BMS damage argued against a blown MOSFET or resistor; normal resistance along the</w:t>
      </w:r>
      <w:r>
        <w:t xml:space="preserve"> </w:t>
      </w:r>
      <w:r>
        <w:t xml:space="preserve">positive nickel strips ruled out a positive-side weld; and the group’s good service history made</w:t>
      </w:r>
      <w:r>
        <w:t xml:space="preserve"> </w:t>
      </w:r>
      <w:r>
        <w:t xml:space="preserve">cell degradation unlikely. Probing the group directly, with its negative terminal disconnected</w:t>
      </w:r>
      <w:r>
        <w:t xml:space="preserve"> </w:t>
      </w:r>
      <w:r>
        <w:t xml:space="preserve">from the BMS, gave 3.71 V, but only when the negative nickel strip was pressed down hard</w:t>
      </w:r>
      <w:r>
        <w:t xml:space="preserve"> </w:t>
      </w:r>
      <w:r>
        <w:t xml:space="preserve">(Figure 16). That intermittent contact isolated the fault to a</w:t>
      </w:r>
      <w:r>
        <w:t xml:space="preserve"> </w:t>
      </w:r>
      <w:r>
        <w:rPr>
          <w:b/>
          <w:bCs/>
        </w:rPr>
        <w:t xml:space="preserve">broken weld on the group’s</w:t>
      </w:r>
      <w:r>
        <w:rPr>
          <w:b/>
          <w:bCs/>
        </w:rPr>
        <w:t xml:space="preserve"> </w:t>
      </w:r>
      <w:r>
        <w:rPr>
          <w:b/>
          <w:bCs/>
        </w:rPr>
        <w:t xml:space="preserve">negative terminal</w:t>
      </w:r>
      <w:r>
        <w:t xml:space="preserve">: the group had effectively disconnected from the BMS, and the −0.5 V was a</w:t>
      </w:r>
      <w:r>
        <w:t xml:space="preserve"> </w:t>
      </w:r>
      <w:r>
        <w:t xml:space="preserve">phantom reading, most plausibly the reverse bias of an internal protection diode or the drop</w:t>
      </w:r>
      <w:r>
        <w:t xml:space="preserve"> </w:t>
      </w:r>
      <w:r>
        <w:t xml:space="preserve">across a balancing bleed-resistor on the BMS. The likely trigger was mechanical strain on the</w:t>
      </w:r>
      <w:r>
        <w:t xml:space="preserve"> </w:t>
      </w:r>
      <w:r>
        <w:t xml:space="preserve">joint during operation of the robot.</w:t>
      </w:r>
    </w:p>
    <w:p>
      <w:pPr>
        <w:pStyle w:val="BodyText"/>
      </w:pPr>
      <w:r>
        <w:drawing>
          <wp:inline>
            <wp:extent cx="2560320" cy="182477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.build-assets/docs_assets_battery-test-3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82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15 —</w:t>
      </w:r>
      <w:r>
        <w:t xml:space="preserve"> </w:t>
      </w:r>
      <w:r>
        <w:t xml:space="preserve">Third voltage sweep. Every group is balanced at ~3.71 V except group 1, which</w:t>
      </w:r>
      <w:r>
        <w:t xml:space="preserve"> </w:t>
      </w:r>
      <w:r>
        <w:t xml:space="preserve">reads a negative voltage.</w:t>
      </w:r>
    </w:p>
    <w:p>
      <w:pPr>
        <w:pStyle w:val="BodyText"/>
      </w:pPr>
      <w:r>
        <w:drawing>
          <wp:inline>
            <wp:extent cx="2240280" cy="168021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build-assets/docs_assets_battery-0.5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680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240280" cy="168021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.build-assets/docs_assets_battery-3.7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680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16 —</w:t>
      </w:r>
      <w:r>
        <w:t xml:space="preserve"> </w:t>
      </w:r>
      <w:r>
        <w:t xml:space="preserve">Group 1 reads a phantom −0.5 V at the BMS pads (left) while probing the cell</w:t>
      </w:r>
      <w:r>
        <w:t xml:space="preserve"> </w:t>
      </w:r>
      <w:r>
        <w:t xml:space="preserve">group directly reads a healthy 3.71 V (right), confirming a broken negative-terminal weld,</w:t>
      </w:r>
      <w:r>
        <w:t xml:space="preserve"> </w:t>
      </w:r>
      <w:r>
        <w:t xml:space="preserve">not a bad cell.</w:t>
      </w:r>
    </w:p>
    <w:p>
      <w:pPr>
        <w:pStyle w:val="BodyText"/>
      </w:pPr>
      <w:r>
        <w:t xml:space="preserve">Rather than repair only the known-bad joints, the pack was returned to the partner facility and</w:t>
      </w:r>
      <w:r>
        <w:t xml:space="preserve"> </w:t>
      </w:r>
      <w:r>
        <w:rPr>
          <w:b/>
          <w:bCs/>
        </w:rPr>
        <w:t xml:space="preserve">every weld was redone</w:t>
      </w:r>
      <w:r>
        <w:t xml:space="preserve"> </w:t>
      </w:r>
      <w:r>
        <w:t xml:space="preserve">to eliminate any further intermittent connections. After re-welding,</w:t>
      </w:r>
      <w:r>
        <w:t xml:space="preserve"> </w:t>
      </w:r>
      <w:r>
        <w:t xml:space="preserve">the SoC fault lights cleared, the pack charged normally, and it reached a</w:t>
      </w:r>
      <w:r>
        <w:t xml:space="preserve"> </w:t>
      </w:r>
      <w:r>
        <w:rPr>
          <w:b/>
          <w:bCs/>
        </w:rPr>
        <w:t xml:space="preserve">full, balanced</w:t>
      </w:r>
      <w:r>
        <w:rPr>
          <w:b/>
          <w:bCs/>
        </w:rPr>
        <w:t xml:space="preserve"> </w:t>
      </w:r>
      <w:r>
        <w:rPr>
          <w:b/>
          <w:bCs/>
        </w:rPr>
        <w:t xml:space="preserve">charge for the first time</w:t>
      </w:r>
      <w:r>
        <w:t xml:space="preserve">, the hallmark of sound welds allowing the cells to balance</w:t>
      </w:r>
      <w:r>
        <w:t xml:space="preserve"> </w:t>
      </w:r>
      <w:r>
        <w:t xml:space="preserve">correctly (Table 4). Battery module #1 was thereby repaired and verified.</w:t>
      </w:r>
    </w:p>
    <w:p>
      <w:pPr>
        <w:pStyle w:val="TableCaption"/>
      </w:pPr>
      <w:r>
        <w:rPr>
          <w:b/>
          <w:bCs/>
        </w:rPr>
        <w:t xml:space="preserve">Table 4 —</w:t>
      </w:r>
      <w:r>
        <w:t xml:space="preserve"> </w:t>
      </w:r>
      <w:r>
        <w:t xml:space="preserve">Battery pack #1 state before and after the weld rework.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 — Battery pack #1 state before and after the weld rework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 rework</w:t>
            </w:r>
          </w:p>
        </w:tc>
        <w:tc>
          <w:tcPr/>
          <w:p>
            <w:pPr>
              <w:pStyle w:val="Compact"/>
            </w:pPr>
            <w:r>
              <w:t xml:space="preserve">After rework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 (P1-P2)</w:t>
            </w:r>
          </w:p>
        </w:tc>
        <w:tc>
          <w:tcPr/>
          <w:p>
            <w:pPr>
              <w:pStyle w:val="Compact"/>
            </w:pPr>
            <w:r>
              <w:t xml:space="preserve">−0.5 V (disconnected)</w:t>
            </w:r>
          </w:p>
        </w:tc>
        <w:tc>
          <w:tcPr/>
          <w:p>
            <w:pPr>
              <w:pStyle w:val="Compact"/>
            </w:pPr>
            <w:r>
              <w:t xml:space="preserve">balanced, ~3.7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behaviour</w:t>
            </w:r>
          </w:p>
        </w:tc>
        <w:tc>
          <w:tcPr/>
          <w:p>
            <w:pPr>
              <w:pStyle w:val="Compact"/>
            </w:pPr>
            <w:r>
              <w:t xml:space="preserve">premature false</w:t>
            </w:r>
            <w:r>
              <w:t xml:space="preserve"> </w:t>
            </w:r>
            <w:r>
              <w:t xml:space="preserve">“full”</w:t>
            </w:r>
            <w:r>
              <w:t xml:space="preserve">, fault lockout</w:t>
            </w:r>
          </w:p>
        </w:tc>
        <w:tc>
          <w:tcPr/>
          <w:p>
            <w:pPr>
              <w:pStyle w:val="Compact"/>
            </w:pPr>
            <w:r>
              <w:t xml:space="preserve">charges to full, no 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balance</w:t>
            </w:r>
          </w:p>
        </w:tc>
        <w:tc>
          <w:tcPr/>
          <w:p>
            <w:pPr>
              <w:pStyle w:val="Compact"/>
            </w:pPr>
            <w:r>
              <w:t xml:space="preserve">groups 1 / 2 / 8 anomalous</w:t>
            </w:r>
          </w:p>
        </w:tc>
        <w:tc>
          <w:tcPr/>
          <w:p>
            <w:pPr>
              <w:pStyle w:val="Compact"/>
            </w:pPr>
            <w:r>
              <w:t xml:space="preserve">all groups balanced</w:t>
            </w:r>
          </w:p>
        </w:tc>
      </w:tr>
    </w:tbl>
    <w:bookmarkEnd w:id="74"/>
    <w:bookmarkStart w:id="90" w:name="X8f72d94104a4f2ce8d858b118ea12c651083a1d"/>
    <w:p>
      <w:pPr>
        <w:pStyle w:val="Heading2"/>
      </w:pPr>
      <w:r>
        <w:t xml:space="preserve">Second module: a V2 pack that validated the fixes</w:t>
      </w:r>
    </w:p>
    <w:p>
      <w:pPr>
        <w:pStyle w:val="FirstParagraph"/>
      </w:pPr>
      <w:r>
        <w:t xml:space="preserve">The single dominant lesson of pack #1, that reliability was governed almost entirely by</w:t>
      </w:r>
      <w:r>
        <w:t xml:space="preserve"> </w:t>
      </w:r>
      <w:r>
        <w:t xml:space="preserve">spot-weld quality and that weld failures traced to bends and stress points in the nickel-strip</w:t>
      </w:r>
      <w:r>
        <w:t xml:space="preserve"> </w:t>
      </w:r>
      <w:r>
        <w:t xml:space="preserve">routing imposed by the bracket design, was carried directly into a second module. The V2</w:t>
      </w:r>
      <w:r>
        <w:t xml:space="preserve"> </w:t>
      </w:r>
      <w:r>
        <w:t xml:space="preserve">brackets (Figure 18) added a further set of braces with tighter tolerances to hold the cell</w:t>
      </w:r>
      <w:r>
        <w:t xml:space="preserve"> </w:t>
      </w:r>
      <w:r>
        <w:t xml:space="preserve">lattice rigidly (pack #1’s brackets had allowed some play when flexed), reincorporated the OEM</w:t>
      </w:r>
      <w:r>
        <w:t xml:space="preserve"> </w:t>
      </w:r>
      <w:r>
        <w:t xml:space="preserve">injection-moulded spacer positions for rigidity, and were re-dimensioned to fit the casing and</w:t>
      </w:r>
      <w:r>
        <w:t xml:space="preserve"> </w:t>
      </w:r>
      <w:r>
        <w:t xml:space="preserve">PCB more accurately after the lessons of V1. They were printed in glass-filled ABS (ABS-GF) for</w:t>
      </w:r>
      <w:r>
        <w:t xml:space="preserve"> </w:t>
      </w:r>
      <w:r>
        <w:t xml:space="preserve">dimensional stability at temperature, and the BMS mounting was changed from expanding rivets,</w:t>
      </w:r>
      <w:r>
        <w:t xml:space="preserve"> </w:t>
      </w:r>
      <w:r>
        <w:t xml:space="preserve">which had split the printed layer lines, to captured M3 nuts under 1.2 mm of plastic, secured</w:t>
      </w:r>
      <w:r>
        <w:t xml:space="preserve"> </w:t>
      </w:r>
      <w:r>
        <w:t xml:space="preserve">with M3×6 mm screws.</w:t>
      </w:r>
    </w:p>
    <w:p>
      <w:pPr>
        <w:pStyle w:val="BodyText"/>
      </w:pPr>
      <w:r>
        <w:drawing>
          <wp:inline>
            <wp:extent cx="3200400" cy="198851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.build-assets/docs_assets_battery-v2-ca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988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18 —</w:t>
      </w:r>
      <w:r>
        <w:t xml:space="preserve"> </w:t>
      </w:r>
      <w:r>
        <w:t xml:space="preserve">The pack #2 V2 bracket CAD, adding braces, OEM spacer positions and captured-nut</w:t>
      </w:r>
      <w:r>
        <w:t xml:space="preserve"> </w:t>
      </w:r>
      <w:r>
        <w:t xml:space="preserve">BMS mounting.</w:t>
      </w:r>
    </w:p>
    <w:p>
      <w:pPr>
        <w:pStyle w:val="BodyText"/>
      </w:pPr>
      <w:r>
        <w:t xml:space="preserve">The improvement was borne out in assembly (Figure 19). Custom nickel strips, laser-cut and</w:t>
      </w:r>
      <w:r>
        <w:t xml:space="preserve"> </w:t>
      </w:r>
      <w:r>
        <w:t xml:space="preserve">sourced via Taobao, eliminated strip-stacking, with a narrow slot cut into each weld site so</w:t>
      </w:r>
      <w:r>
        <w:t xml:space="preserve"> </w:t>
      </w:r>
      <w:r>
        <w:t xml:space="preserve">that the welder’s current was directed through the layers rather than arcing across the</w:t>
      </w:r>
      <w:r>
        <w:t xml:space="preserve"> </w:t>
      </w:r>
      <w:r>
        <w:t xml:space="preserve">surface; the result was little to no sparking and joints that held firmly when the tabs were</w:t>
      </w:r>
      <w:r>
        <w:t xml:space="preserve"> </w:t>
      </w:r>
      <w:r>
        <w:t xml:space="preserve">pulled, with no re-welding required. Where pack #1 had taken two people three days, pack #2 was</w:t>
      </w:r>
      <w:r>
        <w:t xml:space="preserve"> </w:t>
      </w:r>
      <w:r>
        <w:t xml:space="preserve">completed by one person in a single afternoon. After assembly, the SoC button was initially</w:t>
      </w:r>
      <w:r>
        <w:t xml:space="preserve"> </w:t>
      </w:r>
      <w:r>
        <w:t xml:space="preserve">unresponsive; this was traced to a</w:t>
      </w:r>
      <w:r>
        <w:t xml:space="preserve"> </w:t>
      </w:r>
      <w:r>
        <w:rPr>
          <w:b/>
          <w:bCs/>
        </w:rPr>
        <w:t xml:space="preserve">sheared SoC flat-flex cable</w:t>
      </w:r>
      <w:r>
        <w:t xml:space="preserve"> </w:t>
      </w:r>
      <w:r>
        <w:t xml:space="preserve">near its base and a missing</w:t>
      </w:r>
      <w:r>
        <w:t xml:space="preserve"> </w:t>
      </w:r>
      <w:r>
        <w:t xml:space="preserve">connector fastener (Figure 17). The broken cable was repaired by scraping back the insulation on</w:t>
      </w:r>
      <w:r>
        <w:t xml:space="preserve"> </w:t>
      </w:r>
      <w:r>
        <w:t xml:space="preserve">both ends of the flex PCB and soldering the exposed traces, with kapton tape added as a strain</w:t>
      </w:r>
      <w:r>
        <w:t xml:space="preserve"> </w:t>
      </w:r>
      <w:r>
        <w:t xml:space="preserve">relief on the joints and a shim of cardboard standing in for the absent fastener; the SoC then</w:t>
      </w:r>
      <w:r>
        <w:t xml:space="preserve"> </w:t>
      </w:r>
      <w:r>
        <w:t xml:space="preserve">read correctly. Pack #2 charged to full within about an hour, reported a very healthy balance</w:t>
      </w:r>
      <w:r>
        <w:t xml:space="preserve"> </w:t>
      </w:r>
      <w:r>
        <w:t xml:space="preserve">index of</w:t>
      </w:r>
      <w:r>
        <w:t xml:space="preserve"> </w:t>
      </w:r>
      <w:r>
        <w:rPr>
          <w:b/>
          <w:bCs/>
        </w:rPr>
        <w:t xml:space="preserve">0.02</w:t>
      </w:r>
      <w:r>
        <w:t xml:space="preserve">, and accepted a battery firmware update once installed in Spot. Both modules</w:t>
      </w:r>
      <w:r>
        <w:t xml:space="preserve"> </w:t>
      </w:r>
      <w:r>
        <w:t xml:space="preserve">were thereby restored to a full, balanced charge, meeting the power-system objective.</w:t>
      </w:r>
    </w:p>
    <w:p>
      <w:pPr>
        <w:pStyle w:val="BodyText"/>
      </w:pPr>
      <w:r>
        <w:drawing>
          <wp:inline>
            <wp:extent cx="2240280" cy="298704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.build-assets/docs_assets_sheared-soc-cabl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240280" cy="298704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.build-assets/docs_assets_repaired-soc-cable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17 —</w:t>
      </w:r>
      <w:r>
        <w:t xml:space="preserve"> </w:t>
      </w:r>
      <w:r>
        <w:t xml:space="preserve">The sheared SoC flat-flex cable (left) and the soldered, kapton-secured repair</w:t>
      </w:r>
      <w:r>
        <w:t xml:space="preserve"> </w:t>
      </w:r>
      <w:r>
        <w:t xml:space="preserve">(right).</w:t>
      </w:r>
    </w:p>
    <w:p>
      <w:pPr>
        <w:pStyle w:val="BodyText"/>
      </w:pPr>
      <w:r>
        <w:drawing>
          <wp:inline>
            <wp:extent cx="2240280" cy="168021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.build-assets/docs_assets_improved-nickel-strips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680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240280" cy="1678716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.build-assets/docs_assets_battery-2-bms-welded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678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19 —</w:t>
      </w:r>
      <w:r>
        <w:t xml:space="preserve"> </w:t>
      </w:r>
      <w:r>
        <w:t xml:space="preserve">Pack #2’s laser-cut nickel strips (left) and the completed BMS weld (right),</w:t>
      </w:r>
      <w:r>
        <w:t xml:space="preserve"> </w:t>
      </w:r>
      <w:r>
        <w:t xml:space="preserve">both markedly cleaner than pack #1.</w:t>
      </w:r>
    </w:p>
    <w:bookmarkEnd w:id="90"/>
    <w:bookmarkEnd w:id="91"/>
    <w:bookmarkStart w:id="117" w:name="X46ada782ddc1fd4e18b0c90684a499bb17bcae7"/>
    <w:p>
      <w:pPr>
        <w:pStyle w:val="Heading1"/>
      </w:pPr>
      <w:r>
        <w:t xml:space="preserve">Methodology 2 — Actuator mechanical investigation</w:t>
      </w:r>
    </w:p>
    <w:p>
      <w:pPr>
        <w:pStyle w:val="FirstParagraph"/>
      </w:pPr>
      <w:r>
        <w:t xml:space="preserve">With power restored, attention turned to the faulty</w:t>
      </w:r>
      <w:r>
        <w:t xml:space="preserve"> </w:t>
      </w:r>
      <w:r>
        <w:rPr>
          <w:rStyle w:val="VerbatimChar"/>
        </w:rPr>
        <w:t xml:space="preserve">left_hind_x</w:t>
      </w:r>
      <w:r>
        <w:t xml:space="preserve"> </w:t>
      </w:r>
      <w:r>
        <w:t xml:space="preserve">actuator. The investigation</w:t>
      </w:r>
      <w:r>
        <w:t xml:space="preserve"> </w:t>
      </w:r>
      <w:r>
        <w:t xml:space="preserve">proceeded as a sequence of physical component swaps, each designed to move one candidate part</w:t>
      </w:r>
      <w:r>
        <w:t xml:space="preserve"> </w:t>
      </w:r>
      <w:r>
        <w:t xml:space="preserve">between the faulty left and the healthy right hind hip-X actuators and observe whether the</w:t>
      </w:r>
      <w:r>
        <w:t xml:space="preserve"> </w:t>
      </w:r>
      <w:r>
        <w:t xml:space="preserve">abnormal behaviour physically followed the part or stayed with the socket. This chapter reports</w:t>
      </w:r>
      <w:r>
        <w:t xml:space="preserve"> </w:t>
      </w:r>
      <w:r>
        <w:t xml:space="preserve">the swap</w:t>
      </w:r>
      <w:r>
        <w:t xml:space="preserve"> </w:t>
      </w:r>
      <w:r>
        <w:rPr>
          <w:i/>
          <w:iCs/>
        </w:rPr>
        <w:t xml:space="preserve">procedures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observations; for each swap, the corresponding</w:t>
      </w:r>
      <w:r>
        <w:t xml:space="preserve"> </w:t>
      </w:r>
      <w:r>
        <w:t xml:space="preserve">diagnostic reading and its interpretation belong to the signal layer and are reported in</w:t>
      </w:r>
      <w:r>
        <w:t xml:space="preserve"> </w:t>
      </w:r>
      <w:r>
        <w:t xml:space="preserve">[Ming, SS-TBD].</w:t>
      </w:r>
    </w:p>
    <w:bookmarkStart w:id="101" w:name="teardown-and-driver-comparison"/>
    <w:p>
      <w:pPr>
        <w:pStyle w:val="Heading2"/>
      </w:pPr>
      <w:r>
        <w:t xml:space="preserve">Teardown and driver comparison</w:t>
      </w:r>
    </w:p>
    <w:p>
      <w:pPr>
        <w:pStyle w:val="FirstParagraph"/>
      </w:pPr>
      <w:r>
        <w:t xml:space="preserve">Spot was disassembled to extract the left hind leg together with its hip-X motor and controller</w:t>
      </w:r>
      <w:r>
        <w:t xml:space="preserve"> </w:t>
      </w:r>
      <w:r>
        <w:t xml:space="preserve">(Figure 20). During teardown the leg wiring and controller board were inspected for physical</w:t>
      </w:r>
      <w:r>
        <w:t xml:space="preserve"> </w:t>
      </w:r>
      <w:r>
        <w:t xml:space="preserve">defects and none were found; a layer of what appeared to be epoxy coating over the controller</w:t>
      </w:r>
      <w:r>
        <w:t xml:space="preserve"> </w:t>
      </w:r>
      <w:r>
        <w:t xml:space="preserve">board frustrated any attempt to probe its test points, as contact could not be made without</w:t>
      </w:r>
      <w:r>
        <w:t xml:space="preserve"> </w:t>
      </w:r>
      <w:r>
        <w:t xml:space="preserve">forcibly scraping the coating away. Because a purely visual inspection could not distinguish a</w:t>
      </w:r>
      <w:r>
        <w:t xml:space="preserve"> </w:t>
      </w:r>
      <w:r>
        <w:t xml:space="preserve">mechanically sound motor from a magnetically faulty one, the investigation was framed around</w:t>
      </w:r>
      <w:r>
        <w:t xml:space="preserve"> </w:t>
      </w:r>
      <w:r>
        <w:t xml:space="preserve">comparison with the healthy right hind leg.</w:t>
      </w:r>
    </w:p>
    <w:p>
      <w:pPr>
        <w:pStyle w:val="BodyText"/>
      </w:pPr>
      <w:r>
        <w:drawing>
          <wp:inline>
            <wp:extent cx="2560320" cy="341679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.build-assets/docs_assets_spot-opened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6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20 —</w:t>
      </w:r>
      <w:r>
        <w:t xml:space="preserve"> </w:t>
      </w:r>
      <w:r>
        <w:t xml:space="preserve">Spot opened on the bench to remove the left hind leg and its hip-X actuator.</w:t>
      </w:r>
    </w:p>
    <w:p>
      <w:pPr>
        <w:pStyle w:val="BodyText"/>
      </w:pPr>
      <w:r>
        <w:t xml:space="preserve">Both hind legs were then removed and their hip-X motor driver boards compared side by side</w:t>
      </w:r>
      <w:r>
        <w:t xml:space="preserve"> </w:t>
      </w:r>
      <w:r>
        <w:t xml:space="preserve">(Figures 21 and 22). The two drivers were physically identical, with no sign of component</w:t>
      </w:r>
      <w:r>
        <w:t xml:space="preserve"> </w:t>
      </w:r>
      <w:r>
        <w:t xml:space="preserve">degradation on either. Rotating each motor by hand confirmed that the encoder’s diametric rotor</w:t>
      </w:r>
      <w:r>
        <w:t xml:space="preserve"> </w:t>
      </w:r>
      <w:r>
        <w:t xml:space="preserve">magnet was firmly seated, rotated freely, and stood at an identical protrusion height on both</w:t>
      </w:r>
      <w:r>
        <w:t xml:space="preserve"> </w:t>
      </w:r>
      <w:r>
        <w:t xml:space="preserve">sides, ruling out an obviously displaced or loose magnet as the cause.</w:t>
      </w:r>
    </w:p>
    <w:p>
      <w:pPr>
        <w:pStyle w:val="BodyText"/>
      </w:pPr>
      <w:r>
        <w:drawing>
          <wp:inline>
            <wp:extent cx="2560320" cy="341376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.build-assets/docs_assets_both-legs-driver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21 —</w:t>
      </w:r>
      <w:r>
        <w:t xml:space="preserve"> </w:t>
      </w:r>
      <w:r>
        <w:t xml:space="preserve">The two hind hip-X motor driver boards removed for direct comparison.</w:t>
      </w:r>
    </w:p>
    <w:p>
      <w:pPr>
        <w:pStyle w:val="BodyText"/>
      </w:pPr>
      <w:r>
        <w:drawing>
          <wp:inline>
            <wp:extent cx="2560320" cy="341679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.build-assets/docs_assets_driver-encoder-side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6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22 —</w:t>
      </w:r>
      <w:r>
        <w:t xml:space="preserve"> </w:t>
      </w:r>
      <w:r>
        <w:t xml:space="preserve">The driver board, encoder side, showing the motor-side primary encoder region.</w:t>
      </w:r>
    </w:p>
    <w:bookmarkEnd w:id="101"/>
    <w:bookmarkStart w:id="102" w:name="driver-and-cable-swaps"/>
    <w:p>
      <w:pPr>
        <w:pStyle w:val="Heading2"/>
      </w:pPr>
      <w:r>
        <w:t xml:space="preserve">Driver and cable swaps</w:t>
      </w:r>
    </w:p>
    <w:p>
      <w:pPr>
        <w:pStyle w:val="FirstParagraph"/>
      </w:pPr>
      <w:r>
        <w:t xml:space="preserve">Two swaps tested the driver electronics and the wiring. First, the left and right hip-X driver</w:t>
      </w:r>
      <w:r>
        <w:t xml:space="preserve"> </w:t>
      </w:r>
      <w:r>
        <w:t xml:space="preserve">boards were exchanged and the legs refitted; on power-up no motor faults were reported, but the</w:t>
      </w:r>
      <w:r>
        <w:t xml:space="preserve"> </w:t>
      </w:r>
      <w:r>
        <w:t xml:space="preserve">abnormal joint behaviour physically remained with the left socket rather than following the</w:t>
      </w:r>
      <w:r>
        <w:t xml:space="preserve"> </w:t>
      </w:r>
      <w:r>
        <w:t xml:space="preserve">swapped board. Second, the hip-X motor cables were exchanged, after probing the connector PCBs</w:t>
      </w:r>
      <w:r>
        <w:t xml:space="preserve"> </w:t>
      </w:r>
      <w:r>
        <w:t xml:space="preserve">to confirm they were not mirror images and that power and ground would map correctly, and again</w:t>
      </w:r>
      <w:r>
        <w:t xml:space="preserve"> </w:t>
      </w:r>
      <w:r>
        <w:t xml:space="preserve">the abnormal behaviour stayed with the left socket while the other joint operated normally.</w:t>
      </w:r>
      <w:r>
        <w:t xml:space="preserve"> </w:t>
      </w:r>
      <w:r>
        <w:t xml:space="preserve">Table 5 records the physical actions and observations; in both cases the diagnostic reading that</w:t>
      </w:r>
      <w:r>
        <w:t xml:space="preserve"> </w:t>
      </w:r>
      <w:r>
        <w:t xml:space="preserve">accompanied the swap, and the inference drawn from it, are reported in [Ming, SS-TBD].</w:t>
      </w:r>
    </w:p>
    <w:p>
      <w:pPr>
        <w:pStyle w:val="TableCaption"/>
      </w:pPr>
      <w:r>
        <w:rPr>
          <w:b/>
          <w:bCs/>
        </w:rPr>
        <w:t xml:space="preserve">Table 5 —</w:t>
      </w:r>
      <w:r>
        <w:t xml:space="preserve"> </w:t>
      </w:r>
      <w:r>
        <w:t xml:space="preserve">Actuator component-swap actions and the physical observations recorded. The diagnostic reading and interpretation for each swap are reported in [Ming, SS-TBD].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 — Actuator component-swap actions and the physical observations recorded. The diagnostic reading and interpretation for each swap are reported in [Ming, SS-TBD]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Physical action</w:t>
            </w:r>
          </w:p>
        </w:tc>
        <w:tc>
          <w:tcPr/>
          <w:p>
            <w:pPr>
              <w:pStyle w:val="Compact"/>
            </w:pPr>
            <w:r>
              <w:t xml:space="preserve">Physical observation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Exchange L/R hip-X driver boards</w:t>
            </w:r>
          </w:p>
        </w:tc>
        <w:tc>
          <w:tcPr/>
          <w:p>
            <w:pPr>
              <w:pStyle w:val="Compact"/>
            </w:pPr>
            <w:r>
              <w:t xml:space="preserve">No motor faults on power-up; abnormal behaviour stayed with the left socket, not the 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Exchange L/R hip-X connector cables</w:t>
            </w:r>
          </w:p>
        </w:tc>
        <w:tc>
          <w:tcPr/>
          <w:p>
            <w:pPr>
              <w:pStyle w:val="Compact"/>
            </w:pPr>
            <w:r>
              <w:t xml:space="preserve">Abnormal behaviour stayed with the left socket; the other joint responsive and normal.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Exchange entire rotor + output-encoder + load-cell assemblies</w:t>
            </w:r>
          </w:p>
        </w:tc>
        <w:tc>
          <w:tcPr/>
          <w:p>
            <w:pPr>
              <w:pStyle w:val="Compact"/>
            </w:pPr>
            <w:r>
              <w:t xml:space="preserve">Behaviour moved to the right socket, but a load-cell hard fault appeared (load cells are calibrated per joint).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Exchange output-encoder PCB only (rotors/load-cells returned to original sockets)</w:t>
            </w:r>
          </w:p>
        </w:tc>
        <w:tc>
          <w:tcPr/>
          <w:p>
            <w:pPr>
              <w:pStyle w:val="Compact"/>
            </w:pPr>
            <w:r>
              <w:t xml:space="preserve">Abnormal frozen behaviour cleared on both joints; a residual mechanical offset remained on one joint.</w:t>
            </w:r>
          </w:p>
        </w:tc>
      </w:tr>
    </w:tbl>
    <w:p>
      <w:pPr>
        <w:pStyle w:val="BodyText"/>
      </w:pPr>
      <w:r>
        <w:t xml:space="preserve">Taken together at the hardware level, the driver and cable swaps physically eliminated the</w:t>
      </w:r>
      <w:r>
        <w:t xml:space="preserve"> </w:t>
      </w:r>
      <w:r>
        <w:t xml:space="preserve">driver electronics and the motor wiring as the location of the fault, since neither swap moved</w:t>
      </w:r>
      <w:r>
        <w:t xml:space="preserve"> </w:t>
      </w:r>
      <w:r>
        <w:t xml:space="preserve">the abnormal behaviour with the part. That left the angle-sensing hardware inside the motor as</w:t>
      </w:r>
      <w:r>
        <w:t xml:space="preserve"> </w:t>
      </w:r>
      <w:r>
        <w:t xml:space="preserve">the remaining candidate, which motivated opening the motor itself.</w:t>
      </w:r>
    </w:p>
    <w:bookmarkEnd w:id="102"/>
    <w:bookmarkStart w:id="109" w:name="Xcb73dd221a565ca02c8615dff3f2886dedef85a"/>
    <w:p>
      <w:pPr>
        <w:pStyle w:val="Heading2"/>
      </w:pPr>
      <w:r>
        <w:t xml:space="preserve">Motor disassembly — discovering the secondary encoder</w:t>
      </w:r>
    </w:p>
    <w:p>
      <w:pPr>
        <w:pStyle w:val="FirstParagraph"/>
      </w:pPr>
      <w:r>
        <w:t xml:space="preserve">Each hip-X motor was disassembled to further identify potential points of failure. To isolate</w:t>
      </w:r>
      <w:r>
        <w:t xml:space="preserve"> </w:t>
      </w:r>
      <w:r>
        <w:t xml:space="preserve">the hip-X (abduction) motor, the hip-Y (flexion) motor was first removed from the rotor housing</w:t>
      </w:r>
      <w:r>
        <w:t xml:space="preserve"> </w:t>
      </w:r>
      <w:r>
        <w:t xml:space="preserve">by undoing four very tight M5 Torx screws, after which a flange serving as both cover and</w:t>
      </w:r>
      <w:r>
        <w:t xml:space="preserve"> </w:t>
      </w:r>
      <w:r>
        <w:t xml:space="preserve">mechanical end-stop was freed by removing eight torqued-down M3 hex screws; the X-motor</w:t>
      </w:r>
      <w:r>
        <w:t xml:space="preserve"> </w:t>
      </w:r>
      <w:r>
        <w:t xml:space="preserve">assembly, held together without the flange only by a snug fit between the rotor bearing and</w:t>
      </w:r>
      <w:r>
        <w:t xml:space="preserve"> </w:t>
      </w:r>
      <w:r>
        <w:t xml:space="preserve">housing, could then be pulled apart with some force. The hex screws used by Boston Dynamics</w:t>
      </w:r>
      <w:r>
        <w:t xml:space="preserve"> </w:t>
      </w:r>
      <w:r>
        <w:t xml:space="preserve">were noted to be relatively soft, several stripping easily during disassembly. A further</w:t>
      </w:r>
      <w:r>
        <w:t xml:space="preserve"> </w:t>
      </w:r>
      <w:r>
        <w:t xml:space="preserve">construction detail was that the internal screws on the aluminium plate holding the stator in</w:t>
      </w:r>
      <w:r>
        <w:t xml:space="preserve"> </w:t>
      </w:r>
      <w:r>
        <w:t xml:space="preserve">place are numerically labelled, suggesting a defined tightening sequence to keep the rotor</w:t>
      </w:r>
      <w:r>
        <w:t xml:space="preserve"> </w:t>
      </w:r>
      <w:r>
        <w:t xml:space="preserve">centred.</w:t>
      </w:r>
    </w:p>
    <w:p>
      <w:pPr>
        <w:pStyle w:val="BodyText"/>
      </w:pPr>
      <w:r>
        <w:t xml:space="preserve">The disassembly revealed the key architectural fact of the whole investigation: a</w:t>
      </w:r>
      <w:r>
        <w:t xml:space="preserve"> </w:t>
      </w:r>
      <w:r>
        <w:rPr>
          <w:b/>
          <w:bCs/>
        </w:rPr>
        <w:t xml:space="preserve">second Hall</w:t>
      </w:r>
      <w:r>
        <w:rPr>
          <w:b/>
          <w:bCs/>
        </w:rPr>
        <w:t xml:space="preserve"> </w:t>
      </w:r>
      <w:r>
        <w:rPr>
          <w:b/>
          <w:bCs/>
        </w:rPr>
        <w:t xml:space="preserve">sensor</w:t>
      </w:r>
      <w:r>
        <w:t xml:space="preserve">, also from iC-Haus (the iC-MU), mounted beside the harmonic-drive stage (Figures 23 and</w:t>
      </w:r>
      <w:r>
        <w:t xml:space="preserve"> </w:t>
      </w:r>
      <w:r>
        <w:t xml:space="preserve">24). This was the secondary output encoder introduced in the Background, not visible in any</w:t>
      </w:r>
      <w:r>
        <w:t xml:space="preserve"> </w:t>
      </w:r>
      <w:r>
        <w:t xml:space="preserve">earlier inspection. Because the driver and cable swaps had already cleared the electronics and</w:t>
      </w:r>
      <w:r>
        <w:t xml:space="preserve"> </w:t>
      </w:r>
      <w:r>
        <w:t xml:space="preserve">wiring, and because the primary iC-MHM rotor encoder is a robust four-Hall device whose reading</w:t>
      </w:r>
      <w:r>
        <w:t xml:space="preserve"> </w:t>
      </w:r>
      <w:r>
        <w:t xml:space="preserve">is insensitive to small magnet-placement deviations (the rotor magnet having already been shown</w:t>
      </w:r>
      <w:r>
        <w:t xml:space="preserve"> </w:t>
      </w:r>
      <w:r>
        <w:t xml:space="preserve">well-seated on both sides), this newly exposed secondary encoder became the primary hardware</w:t>
      </w:r>
      <w:r>
        <w:t xml:space="preserve"> </w:t>
      </w:r>
      <w:r>
        <w:t xml:space="preserve">suspect for the abnormal joint behaviour. The sensor tracks a 32-pole Nonius magnet ring mounted</w:t>
      </w:r>
      <w:r>
        <w:t xml:space="preserve"> </w:t>
      </w:r>
      <w:r>
        <w:t xml:space="preserve">on the output of the harmonic drive, indicating that it is this encoder, not the motor-side</w:t>
      </w:r>
      <w:r>
        <w:t xml:space="preserve"> </w:t>
      </w:r>
      <w:r>
        <w:t xml:space="preserve">iC-MHM used to commutate the BLDC drive pre-reduction, that is responsible for the actual</w:t>
      </w:r>
      <w:r>
        <w:t xml:space="preserve"> </w:t>
      </w:r>
      <w:r>
        <w:t xml:space="preserve">joint-angle read-out.</w:t>
      </w:r>
    </w:p>
    <w:p>
      <w:pPr>
        <w:pStyle w:val="BodyText"/>
      </w:pPr>
      <w:r>
        <w:drawing>
          <wp:inline>
            <wp:extent cx="2560320" cy="192023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build-assets/docs_assets_secondary-hall-sensor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92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23 —</w:t>
      </w:r>
      <w:r>
        <w:t xml:space="preserve"> </w:t>
      </w:r>
      <w:r>
        <w:t xml:space="preserve">The secondary output-encoder Hall-IC (iC-Haus iC-MU) found at the harmonic-drive</w:t>
      </w:r>
      <w:r>
        <w:t xml:space="preserve"> </w:t>
      </w:r>
      <w:r>
        <w:t xml:space="preserve">output stage of the hip-X motor.</w:t>
      </w:r>
    </w:p>
    <w:p>
      <w:pPr>
        <w:pStyle w:val="BodyText"/>
      </w:pPr>
      <w:r>
        <w:drawing>
          <wp:inline>
            <wp:extent cx="2560320" cy="1920239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.build-assets/docs_assets_harmonic-reducer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92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24 —</w:t>
      </w:r>
      <w:r>
        <w:t xml:space="preserve"> </w:t>
      </w:r>
      <w:r>
        <w:t xml:space="preserve">The 50:1 harmonic drive of the hip-X actuator.</w:t>
      </w:r>
    </w:p>
    <w:bookmarkEnd w:id="109"/>
    <w:bookmarkStart w:id="116" w:name="the-output-encoder-swap"/>
    <w:p>
      <w:pPr>
        <w:pStyle w:val="Heading2"/>
      </w:pPr>
      <w:r>
        <w:t xml:space="preserve">The output-encoder swap</w:t>
      </w:r>
    </w:p>
    <w:p>
      <w:pPr>
        <w:pStyle w:val="FirstParagraph"/>
      </w:pPr>
      <w:r>
        <w:t xml:space="preserve">The decisive swap concerned the output encoder itself. As a first step, the entire rotor</w:t>
      </w:r>
      <w:r>
        <w:t xml:space="preserve"> </w:t>
      </w:r>
      <w:r>
        <w:t xml:space="preserve">assembly, main connector, encoder and force-feedback (load-cell) module together, was exchanged</w:t>
      </w:r>
      <w:r>
        <w:t xml:space="preserve"> </w:t>
      </w:r>
      <w:r>
        <w:t xml:space="preserve">between the two hind hip-X sockets. This moved the abnormal behaviour to the right socket as</w:t>
      </w:r>
      <w:r>
        <w:t xml:space="preserve"> </w:t>
      </w:r>
      <w:r>
        <w:t xml:space="preserve">intended, but it also raised a</w:t>
      </w:r>
      <w:r>
        <w:t xml:space="preserve"> </w:t>
      </w:r>
      <w:r>
        <w:rPr>
          <w:b/>
          <w:bCs/>
        </w:rPr>
        <w:t xml:space="preserve">load-cell hard fault</w:t>
      </w:r>
      <w:r>
        <w:t xml:space="preserve">: the load cells are calibrated per</w:t>
      </w:r>
      <w:r>
        <w:t xml:space="preserve"> </w:t>
      </w:r>
      <w:r>
        <w:t xml:space="preserve">joint, so swapping them was not admissible, and the fault prevented the motors from powering</w:t>
      </w:r>
      <w:r>
        <w:t xml:space="preserve"> </w:t>
      </w:r>
      <w:r>
        <w:t xml:space="preserve">on. The swap was therefore refined (Figure 25): only the</w:t>
      </w:r>
      <w:r>
        <w:t xml:space="preserve"> </w:t>
      </w:r>
      <w:r>
        <w:rPr>
          <w:b/>
          <w:bCs/>
        </w:rPr>
        <w:t xml:space="preserve">main connector PCB carrying the</w:t>
      </w:r>
      <w:r>
        <w:rPr>
          <w:b/>
          <w:bCs/>
        </w:rPr>
        <w:t xml:space="preserve"> </w:t>
      </w:r>
      <w:r>
        <w:rPr>
          <w:b/>
          <w:bCs/>
        </w:rPr>
        <w:t xml:space="preserve">secondary output encoder</w:t>
      </w:r>
      <w:r>
        <w:t xml:space="preserve"> </w:t>
      </w:r>
      <w:r>
        <w:t xml:space="preserve">was exchanged, while each rotor and its load cell were returned to</w:t>
      </w:r>
      <w:r>
        <w:t xml:space="preserve"> </w:t>
      </w:r>
      <w:r>
        <w:t xml:space="preserve">their original stator. The driver boards were likewise returned to their original sides.</w:t>
      </w:r>
    </w:p>
    <w:p>
      <w:pPr>
        <w:pStyle w:val="BodyText"/>
      </w:pPr>
      <w:r>
        <w:drawing>
          <wp:inline>
            <wp:extent cx="2560320" cy="1918533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.build-assets/docs_assets_rotor-swap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918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25 —</w:t>
      </w:r>
      <w:r>
        <w:t xml:space="preserve"> </w:t>
      </w:r>
      <w:r>
        <w:t xml:space="preserve">The rotor / output-encoder assemblies during the swap; only the secondary</w:t>
      </w:r>
      <w:r>
        <w:t xml:space="preserve"> </w:t>
      </w:r>
      <w:r>
        <w:t xml:space="preserve">output-encoder PCB was ultimately interchanged, with the load cells kept in their original</w:t>
      </w:r>
      <w:r>
        <w:t xml:space="preserve"> </w:t>
      </w:r>
      <w:r>
        <w:t xml:space="preserve">joints.</w:t>
      </w:r>
    </w:p>
    <w:p>
      <w:pPr>
        <w:pStyle w:val="BodyText"/>
      </w:pPr>
      <w:r>
        <w:t xml:space="preserve">With the output-encoder PCBs interchanged between the hind hip-X sockets and the magnets held</w:t>
      </w:r>
      <w:r>
        <w:t xml:space="preserve"> </w:t>
      </w:r>
      <w:r>
        <w:t xml:space="preserve">fixed, the load-cell fault disappeared and both joints thereafter responded to articulation: the</w:t>
      </w:r>
      <w:r>
        <w:t xml:space="preserve"> </w:t>
      </w:r>
      <w:r>
        <w:t xml:space="preserve">previously frozen behaviour was gone (Figure 26). A residual mechanical offset remained on the</w:t>
      </w:r>
      <w:r>
        <w:t xml:space="preserve"> </w:t>
      </w:r>
      <w:r>
        <w:t xml:space="preserve">left joint, measurable as a consistent difference in the joint’s centre position relative to the</w:t>
      </w:r>
      <w:r>
        <w:t xml:space="preserve"> </w:t>
      </w:r>
      <w:r>
        <w:t xml:space="preserve">opposite side when each leg was jogged by hand across its full range of motion; the per-joint</w:t>
      </w:r>
      <w:r>
        <w:t xml:space="preserve"> </w:t>
      </w:r>
      <w:r>
        <w:t xml:space="preserve">offsets recorded in this way are given in Table 7. The physical range (the delta between the</w:t>
      </w:r>
      <w:r>
        <w:t xml:space="preserve"> </w:t>
      </w:r>
      <w:r>
        <w:t xml:space="preserve">mechanical limits) was consistent across all four legs, indicating that the offset was a fixed</w:t>
      </w:r>
      <w:r>
        <w:t xml:space="preserve"> </w:t>
      </w:r>
      <w:r>
        <w:t xml:space="preserve">calibration/seating shift rather than a change in travel.</w:t>
      </w:r>
    </w:p>
    <w:p>
      <w:pPr>
        <w:pStyle w:val="BodyText"/>
      </w:pPr>
      <w:r>
        <w:drawing>
          <wp:inline>
            <wp:extent cx="2560320" cy="341148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.build-assets/docs_assets_encoder-closeup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1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26 —</w:t>
      </w:r>
      <w:r>
        <w:t xml:space="preserve"> </w:t>
      </w:r>
      <w:r>
        <w:t xml:space="preserve">The secondary output-encoder PCB, close up, after the swap.</w:t>
      </w:r>
    </w:p>
    <w:p>
      <w:pPr>
        <w:pStyle w:val="TableCaption"/>
      </w:pPr>
      <w:r>
        <w:rPr>
          <w:b/>
          <w:bCs/>
        </w:rPr>
        <w:t xml:space="preserve">Table 7 —</w:t>
      </w:r>
      <w:r>
        <w:t xml:space="preserve"> </w:t>
      </w:r>
      <w:r>
        <w:t xml:space="preserve">Hind hip-X mechanical offsets from the horizontal centre, measured by manually jogging each leg to its limits. The physical range was consistent across joints. Interpretation of the readings is reported in [Ming, SS-TBD].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 — Hind hip-X mechanical offsets from the horizontal centre, measured by manually jogging each leg to its limits. The physical range was consistent across joints. Interpretation of the readings is reported in [Ming, SS-TBD]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Joint</w:t>
            </w:r>
          </w:p>
        </w:tc>
        <w:tc>
          <w:tcPr/>
          <w:p>
            <w:pPr>
              <w:pStyle w:val="Compact"/>
            </w:pPr>
            <w:r>
              <w:t xml:space="preserve">Offset from centre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hind hip-X (reference side)</w:t>
            </w:r>
          </w:p>
        </w:tc>
        <w:tc>
          <w:tcPr/>
          <w:p>
            <w:pPr>
              <w:pStyle w:val="Compact"/>
            </w:pPr>
            <w:r>
              <w:t xml:space="preserve">~0.12 rad (≈6.8°)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hind hip-X (faulty side)</w:t>
            </w:r>
          </w:p>
        </w:tc>
        <w:tc>
          <w:tcPr/>
          <w:p>
            <w:pPr>
              <w:pStyle w:val="Compact"/>
            </w:pPr>
            <w:r>
              <w:t xml:space="preserve">~0.53 rad (≈30°)</w:t>
            </w:r>
          </w:p>
        </w:tc>
      </w:tr>
    </w:tbl>
    <w:p>
      <w:pPr>
        <w:pStyle w:val="BodyText"/>
      </w:pPr>
      <w:r>
        <w:t xml:space="preserve">At the hardware level the swap sequence was conclusive in one specific sense: interchanging the</w:t>
      </w:r>
      <w:r>
        <w:t xml:space="preserve"> </w:t>
      </w:r>
      <w:r>
        <w:t xml:space="preserve">secondary output-encoder PCB physically moved the abnormal behaviour between joints, whereas</w:t>
      </w:r>
      <w:r>
        <w:t xml:space="preserve"> </w:t>
      </w:r>
      <w:r>
        <w:t xml:space="preserve">interchanging the drivers, cables, rotors and magnets did not. The fault therefore resides in a</w:t>
      </w:r>
      <w:r>
        <w:t xml:space="preserve"> </w:t>
      </w:r>
      <w:r>
        <w:rPr>
          <w:b/>
          <w:bCs/>
        </w:rPr>
        <w:t xml:space="preserve">physical hardware difference at the secondary output encoder</w:t>
      </w:r>
      <w:r>
        <w:t xml:space="preserve">, and not in the driver, wiring,</w:t>
      </w:r>
      <w:r>
        <w:t xml:space="preserve"> </w:t>
      </w:r>
      <w:r>
        <w:t xml:space="preserve">rotor or diametric magnet. The electrical nature of that board, and the question of what,</w:t>
      </w:r>
      <w:r>
        <w:t xml:space="preserve"> </w:t>
      </w:r>
      <w:r>
        <w:t xml:space="preserve">precisely, could differ between two nominally identical encoders, is taken up in Section 7.</w:t>
      </w:r>
    </w:p>
    <w:bookmarkEnd w:id="116"/>
    <w:bookmarkEnd w:id="117"/>
    <w:bookmarkStart w:id="138" w:name="X05d9b590d281f4191a9cb50ab934a39989bd493"/>
    <w:p>
      <w:pPr>
        <w:pStyle w:val="Heading1"/>
      </w:pPr>
      <w:r>
        <w:t xml:space="preserve">Methodology 3 — Encoder electrical reverse-engineering</w:t>
      </w:r>
    </w:p>
    <w:p>
      <w:pPr>
        <w:pStyle w:val="FirstParagraph"/>
      </w:pPr>
      <w:r>
        <w:t xml:space="preserve">Localising the fault to the secondary output-encoder board raised a hardware question that could</w:t>
      </w:r>
      <w:r>
        <w:t xml:space="preserve"> </w:t>
      </w:r>
      <w:r>
        <w:t xml:space="preserve">only be answered by reverse-engineering the board’s electrical design: what does the board</w:t>
      </w:r>
      <w:r>
        <w:t xml:space="preserve"> </w:t>
      </w:r>
      <w:r>
        <w:t xml:space="preserve">consist of, how is it wired, and could a configuration or connection difference, rather than a</w:t>
      </w:r>
      <w:r>
        <w:t xml:space="preserve"> </w:t>
      </w:r>
      <w:r>
        <w:t xml:space="preserve">dead component, explain the behaviour? This chapter reports that reverse-engineering: the</w:t>
      </w:r>
      <w:r>
        <w:t xml:space="preserve"> </w:t>
      </w:r>
      <w:r>
        <w:t xml:space="preserve">board’s components and pinout, the decoding of its configuration EEPROM, the routing that</w:t>
      </w:r>
      <w:r>
        <w:t xml:space="preserve"> </w:t>
      </w:r>
      <w:r>
        <w:t xml:space="preserve">connects it to the rest of the actuator, and the bench attempt to read the sensor directly.</w:t>
      </w:r>
    </w:p>
    <w:bookmarkStart w:id="124" w:name="board-components-and-pinout"/>
    <w:p>
      <w:pPr>
        <w:pStyle w:val="Heading2"/>
      </w:pPr>
      <w:r>
        <w:t xml:space="preserve">Board components and pinout</w:t>
      </w:r>
    </w:p>
    <w:p>
      <w:pPr>
        <w:pStyle w:val="FirstParagraph"/>
      </w:pPr>
      <w:r>
        <w:t xml:space="preserve">The secondary output-encoder PCB carries three principal devices: the</w:t>
      </w:r>
      <w:r>
        <w:t xml:space="preserve"> </w:t>
      </w:r>
      <w:r>
        <w:rPr>
          <w:b/>
          <w:bCs/>
        </w:rPr>
        <w:t xml:space="preserve">iC-MU</w:t>
      </w:r>
      <w:r>
        <w:t xml:space="preserve"> </w:t>
      </w:r>
      <w:r>
        <w:t xml:space="preserve">Hall-IC itself,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external EEPROM</w:t>
      </w:r>
      <w:r>
        <w:t xml:space="preserve"> </w:t>
      </w:r>
      <w:r>
        <w:t xml:space="preserve">holding its configuration, and an</w:t>
      </w:r>
      <w:r>
        <w:t xml:space="preserve"> </w:t>
      </w:r>
      <w:r>
        <w:rPr>
          <w:b/>
          <w:bCs/>
        </w:rPr>
        <w:t xml:space="preserve">RS-485/RS-422 differential</w:t>
      </w:r>
      <w:r>
        <w:rPr>
          <w:b/>
          <w:bCs/>
        </w:rPr>
        <w:t xml:space="preserve"> </w:t>
      </w:r>
      <w:r>
        <w:rPr>
          <w:b/>
          <w:bCs/>
        </w:rPr>
        <w:t xml:space="preserve">transceiver</w:t>
      </w:r>
      <w:r>
        <w:t xml:space="preserve"> </w:t>
      </w:r>
      <w:r>
        <w:t xml:space="preserve">(an Analog Devices LTC2863 [6]) that carries the sensor’s serial output off-board</w:t>
      </w:r>
      <w:r>
        <w:t xml:space="preserve"> </w:t>
      </w:r>
      <w:r>
        <w:t xml:space="preserve">(Figure 27). A set of test pads exposes the EEPROM’s SDA/SCL lines, presumably for programming,</w:t>
      </w:r>
      <w:r>
        <w:t xml:space="preserve"> </w:t>
      </w:r>
      <w:r>
        <w:t xml:space="preserve">together with the transceiver’s differential outputs and supply near the main connector.</w:t>
      </w:r>
    </w:p>
    <w:p>
      <w:pPr>
        <w:pStyle w:val="BodyText"/>
      </w:pPr>
      <w:r>
        <w:drawing>
          <wp:inline>
            <wp:extent cx="3200400" cy="170688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.build-assets/data_electrical_assets_offset-enc-pcb-component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06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27 —</w:t>
      </w:r>
      <w:r>
        <w:t xml:space="preserve"> </w:t>
      </w:r>
      <w:r>
        <w:t xml:space="preserve">The secondary output-encoder PCB, showing the iC-MU Hall-IC, the external</w:t>
      </w:r>
      <w:r>
        <w:t xml:space="preserve"> </w:t>
      </w:r>
      <w:r>
        <w:t xml:space="preserve">configuration EEPROM and the RS-485/RS-422 transceiver.</w:t>
      </w:r>
    </w:p>
    <w:p>
      <w:pPr>
        <w:pStyle w:val="BodyText"/>
      </w:pPr>
      <w:r>
        <w:t xml:space="preserve">Probing established the board’s wiring as a textbook</w:t>
      </w:r>
      <w:r>
        <w:t xml:space="preserve"> </w:t>
      </w:r>
      <w:r>
        <w:rPr>
          <w:b/>
          <w:bCs/>
        </w:rPr>
        <w:t xml:space="preserve">ExtSSI</w:t>
      </w:r>
      <w:r>
        <w:t xml:space="preserve"> </w:t>
      </w:r>
      <w:r>
        <w:t xml:space="preserve">slave node (Figure 28,</w:t>
      </w:r>
      <w:r>
        <w:t xml:space="preserve"> </w:t>
      </w:r>
      <w:r>
        <w:t xml:space="preserve">Table 6). Pin PA0 of the iC-MU is tied to ground, which selects the BiSS fall-back protocol; the</w:t>
      </w:r>
      <w:r>
        <w:t xml:space="preserve"> </w:t>
      </w:r>
      <w:r>
        <w:t xml:space="preserve">transceiver’s receiver output (RO) drives PA1 (the clock input, MA), and the transceiver’s</w:t>
      </w:r>
      <w:r>
        <w:t xml:space="preserve"> </w:t>
      </w:r>
      <w:r>
        <w:t xml:space="preserve">driver input (DI) is fed from PA3 (the slave data output, SLO); PA2 (slave in, SLI) is grounded,</w:t>
      </w:r>
      <w:r>
        <w:t xml:space="preserve"> </w:t>
      </w:r>
      <w:r>
        <w:t xml:space="preserve">correct for a single unchained slave. This is exactly the connection the iC-MU datasheet [5]</w:t>
      </w:r>
      <w:r>
        <w:t xml:space="preserve"> </w:t>
      </w:r>
      <w:r>
        <w:t xml:space="preserve">prescribes for its</w:t>
      </w:r>
      <w:r>
        <w:t xml:space="preserve"> </w:t>
      </w:r>
      <w:r>
        <w:rPr>
          <w:rStyle w:val="VerbatimChar"/>
        </w:rPr>
        <w:t xml:space="preserve">MODEA=7</w:t>
      </w:r>
      <w:r>
        <w:t xml:space="preserve"> </w:t>
      </w:r>
      <w:r>
        <w:t xml:space="preserve">ExtSSI mode, and it is consistent between the boards inspected.</w:t>
      </w:r>
    </w:p>
    <w:p>
      <w:pPr>
        <w:pStyle w:val="BodyText"/>
      </w:pPr>
      <w:r>
        <w:drawing>
          <wp:inline>
            <wp:extent cx="3200400" cy="4692547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build-assets/data_electrical_assets_pinout-connection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692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28 —</w:t>
      </w:r>
      <w:r>
        <w:t xml:space="preserve"> </w:t>
      </w:r>
      <w:r>
        <w:t xml:space="preserve">The iC-MU pinout and connections, wired as an ExtSSI slave node.</w:t>
      </w:r>
    </w:p>
    <w:p>
      <w:pPr>
        <w:pStyle w:val="TableCaption"/>
      </w:pPr>
      <w:r>
        <w:rPr>
          <w:b/>
          <w:bCs/>
        </w:rPr>
        <w:t xml:space="preserve">Table 6 —</w:t>
      </w:r>
      <w:r>
        <w:t xml:space="preserve"> </w:t>
      </w:r>
      <w:r>
        <w:t xml:space="preserve">iC-MU Port-A (ExtSSI,</w:t>
      </w:r>
      <w:r>
        <w:t xml:space="preserve"> </w:t>
      </w:r>
      <w:r>
        <w:rPr>
          <w:rStyle w:val="VerbatimChar"/>
        </w:rPr>
        <w:t xml:space="preserve">MODEA=7</w:t>
      </w:r>
      <w:r>
        <w:t xml:space="preserve">) pinout, as wired on the board and cross-checked against the datasheet [5].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 — iC-MU Port-A (ExtSSI, MODEA=7) pinout, as wired on the board and cross-checked against the datasheet [5]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iC-MU pin</w:t>
            </w:r>
          </w:p>
        </w:tc>
        <w:tc>
          <w:tcPr/>
          <w:p>
            <w:pPr>
              <w:pStyle w:val="Compact"/>
            </w:pPr>
            <w:r>
              <w:t xml:space="preserve">Function (MODEA=7)</w:t>
            </w:r>
          </w:p>
        </w:tc>
        <w:tc>
          <w:tcPr/>
          <w:p>
            <w:pPr>
              <w:pStyle w:val="Compac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PA0</w:t>
            </w:r>
          </w:p>
        </w:tc>
        <w:tc>
          <w:tcPr/>
          <w:p>
            <w:pPr>
              <w:pStyle w:val="Compact"/>
            </w:pPr>
            <w:r>
              <w:t xml:space="preserve">NPRES</w:t>
            </w:r>
          </w:p>
        </w:tc>
        <w:tc>
          <w:tcPr/>
          <w:p>
            <w:pPr>
              <w:pStyle w:val="Compact"/>
            </w:pPr>
            <w:r>
              <w:t xml:space="preserve">tied to GND (selects BiSS fall-back)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PA1</w:t>
            </w:r>
          </w:p>
        </w:tc>
        <w:tc>
          <w:tcPr/>
          <w:p>
            <w:pPr>
              <w:pStyle w:val="Compact"/>
            </w:pPr>
            <w:r>
              <w:t xml:space="preserve">MA (clock in)</w:t>
            </w:r>
          </w:p>
        </w:tc>
        <w:tc>
          <w:tcPr/>
          <w:p>
            <w:pPr>
              <w:pStyle w:val="Compact"/>
            </w:pPr>
            <w:r>
              <w:t xml:space="preserve">← LTC2863 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PA2</w:t>
            </w:r>
          </w:p>
        </w:tc>
        <w:tc>
          <w:tcPr/>
          <w:p>
            <w:pPr>
              <w:pStyle w:val="Compact"/>
            </w:pPr>
            <w:r>
              <w:t xml:space="preserve">SLI (slave in)</w:t>
            </w:r>
          </w:p>
        </w:tc>
        <w:tc>
          <w:tcPr/>
          <w:p>
            <w:pPr>
              <w:pStyle w:val="Compact"/>
            </w:pPr>
            <w:r>
              <w:t xml:space="preserve">GND (correct for a single, unchained slave)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PA3</w:t>
            </w:r>
          </w:p>
        </w:tc>
        <w:tc>
          <w:tcPr/>
          <w:p>
            <w:pPr>
              <w:pStyle w:val="Compact"/>
            </w:pPr>
            <w:r>
              <w:t xml:space="preserve">SLO (data out)</w:t>
            </w:r>
          </w:p>
        </w:tc>
        <w:tc>
          <w:tcPr/>
          <w:p>
            <w:pPr>
              <w:pStyle w:val="Compact"/>
            </w:pPr>
            <w:r>
              <w:t xml:space="preserve">→ LTC2863 DI</w:t>
            </w:r>
          </w:p>
        </w:tc>
      </w:tr>
    </w:tbl>
    <w:bookmarkEnd w:id="124"/>
    <w:bookmarkStart w:id="125" w:name="configuration-eeprom-decode"/>
    <w:p>
      <w:pPr>
        <w:pStyle w:val="Heading2"/>
      </w:pPr>
      <w:r>
        <w:t xml:space="preserve">Configuration-EEPROM decode</w:t>
      </w:r>
    </w:p>
    <w:p>
      <w:pPr>
        <w:pStyle w:val="FirstParagraph"/>
      </w:pPr>
      <w:r>
        <w:t xml:space="preserve">To characterise the encoder’s configuration, the contents of its external EEPROM were decoded</w:t>
      </w:r>
      <w:r>
        <w:t xml:space="preserve"> </w:t>
      </w:r>
      <w:r>
        <w:t xml:space="preserve">against the iC-MU datasheet [5], register by register. Per the datasheet, the iC-MU attempts to</w:t>
      </w:r>
      <w:r>
        <w:t xml:space="preserve"> </w:t>
      </w:r>
      <w:r>
        <w:t xml:space="preserve">load its configuration from this EEPROM three times at start-up and, failing that, boots on</w:t>
      </w:r>
      <w:r>
        <w:t xml:space="preserve"> </w:t>
      </w:r>
      <w:r>
        <w:t xml:space="preserve">default values, with the fall-back output protocol selected by PA0 (LOW → BiSS). The decode</w:t>
      </w:r>
      <w:r>
        <w:t xml:space="preserve"> </w:t>
      </w:r>
      <w:r>
        <w:t xml:space="preserve">established that the stored configuration is a coherent, datasheet-normal ExtSSI set-up rather</w:t>
      </w:r>
      <w:r>
        <w:t xml:space="preserve"> </w:t>
      </w:r>
      <w:r>
        <w:t xml:space="preserve">than anything corrupt or exotic: amplitude control is enabled (so the manual gain fields are</w:t>
      </w:r>
      <w:r>
        <w:t xml:space="preserve"> </w:t>
      </w:r>
      <w:r>
        <w:t xml:space="preserve">intentionally inert), Port A is configured as ExtSSI and Port B as ABZ, the interpolation filter</w:t>
      </w:r>
      <w:r>
        <w:t xml:space="preserve"> </w:t>
      </w:r>
      <w:r>
        <w:t xml:space="preserve">is set to the 14-bit / 39 dB</w:t>
      </w:r>
      <w:r>
        <w:t xml:space="preserve"> </w:t>
      </w:r>
      <w:r>
        <w:rPr>
          <w:rStyle w:val="VerbatimChar"/>
        </w:rPr>
        <w:t xml:space="preserve">FILT4</w:t>
      </w:r>
      <w:r>
        <w:t xml:space="preserve"> </w:t>
      </w:r>
      <w:r>
        <w:t xml:space="preserve">setting, the master/nonius period count</w:t>
      </w:r>
      <w:r>
        <w:t xml:space="preserve"> </w:t>
      </w:r>
      <w:r>
        <w:rPr>
          <w:rStyle w:val="VerbatimChar"/>
        </w:rPr>
        <w:t xml:space="preserve">MPC=5</w:t>
      </w:r>
      <w:r>
        <w:t xml:space="preserve"> </w:t>
      </w:r>
      <w:r>
        <w:t xml:space="preserve">gives up to</w:t>
      </w:r>
      <w:r>
        <w:t xml:space="preserve"> </w:t>
      </w:r>
      <w:r>
        <w:t xml:space="preserve">19-bit absolute resolution, and the config-range CRC16 (</w:t>
      </w:r>
      <w:r>
        <w:rPr>
          <w:rStyle w:val="VerbatimChar"/>
        </w:rPr>
        <w:t xml:space="preserve">0x52A8</w:t>
      </w:r>
      <w:r>
        <w:t xml:space="preserve">) matches the value computed over</w:t>
      </w:r>
      <w:r>
        <w:t xml:space="preserve"> </w:t>
      </w:r>
      <w:r>
        <w:t xml:space="preserve">the configuration bytes. Table 8 lists the most diagnostic registers; the full annotated map is</w:t>
      </w:r>
      <w:r>
        <w:t xml:space="preserve"> </w:t>
      </w:r>
      <w:r>
        <w:t xml:space="preserve">given in Appendix B. The upper offset/preset region reads as erased (all</w:t>
      </w:r>
      <w:r>
        <w:t xml:space="preserve"> </w:t>
      </w:r>
      <w:r>
        <w:rPr>
          <w:rStyle w:val="VerbatimChar"/>
        </w:rPr>
        <w:t xml:space="preserve">0xFF</w:t>
      </w:r>
      <w:r>
        <w:t xml:space="preserve">) with a</w:t>
      </w:r>
      <w:r>
        <w:t xml:space="preserve"> </w:t>
      </w:r>
      <w:r>
        <w:t xml:space="preserve">non-matching CRC8, consistent with an unused absolute-offset block rather than a fault.</w:t>
      </w:r>
    </w:p>
    <w:p>
      <w:pPr>
        <w:pStyle w:val="TableCaption"/>
      </w:pPr>
      <w:r>
        <w:rPr>
          <w:b/>
          <w:bCs/>
        </w:rPr>
        <w:t xml:space="preserve">Table 8 —</w:t>
      </w:r>
      <w:r>
        <w:t xml:space="preserve"> </w:t>
      </w:r>
      <w:r>
        <w:t xml:space="preserve">Selected iC-MU EEPROM configuration registers (full annotated map in Appendix 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 — Selected iC-MU EEPROM configuration registers (full annotated map in Appendix B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Field(s)</w:t>
            </w:r>
          </w:p>
        </w:tc>
        <w:tc>
          <w:tcPr/>
          <w:p>
            <w:pPr>
              <w:pStyle w:val="Compact"/>
            </w:pPr>
            <w:r>
              <w:t xml:space="preserve">Decoded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ENAC=1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CIBM=8</w:t>
            </w:r>
          </w:p>
        </w:tc>
        <w:tc>
          <w:tcPr/>
          <w:p>
            <w:pPr>
              <w:pStyle w:val="Compact"/>
            </w:pPr>
            <w:r>
              <w:t xml:space="preserve">Amplitude control active; bias-current trim nominal (manual gains ignored).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MODEA=7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MODEB=0</w:t>
            </w:r>
          </w:p>
        </w:tc>
        <w:tc>
          <w:tcPr/>
          <w:p>
            <w:pPr>
              <w:pStyle w:val="Compact"/>
            </w:pPr>
            <w:r>
              <w:t xml:space="preserve">Port A = ExtSSI (NPRES/MA/SLI/SLO); Port B = ABZ.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FILT=4</w:t>
            </w:r>
          </w:p>
        </w:tc>
        <w:tc>
          <w:tcPr/>
          <w:p>
            <w:pPr>
              <w:pStyle w:val="Compact"/>
            </w:pPr>
            <w:r>
              <w:t xml:space="preserve">Linear/radial scanning; FILT4 = 39 dB, 14-bit interpolation.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MPC=5</w:t>
            </w:r>
          </w:p>
        </w:tc>
        <w:tc>
          <w:tcPr/>
          <w:p>
            <w:pPr>
              <w:pStyle w:val="Compact"/>
            </w:pPr>
            <w:r>
              <w:t xml:space="preserve">32 master / 31 nonius periods; ≤19-bit absolute resolution.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0x13-0x14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 0F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RESABZ=0x0FFF</w:t>
            </w:r>
          </w:p>
        </w:tc>
        <w:tc>
          <w:tcPr/>
          <w:p>
            <w:pPr>
              <w:pStyle w:val="Compact"/>
            </w:pPr>
            <w:r>
              <w:t xml:space="preserve">ABZ resolution = (0x0FFF + 1) × 4 = 16 384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0x21-0x22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52 A8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CRC16</w:t>
            </w:r>
          </w:p>
        </w:tc>
        <w:tc>
          <w:tcPr/>
          <w:p>
            <w:pPr>
              <w:pStyle w:val="Compact"/>
            </w:pPr>
            <w:r>
              <w:t xml:space="preserve">Matches the CRC computed over the config ranges: configuration is intact.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0x3E-0x3F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69 43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MFG_ID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0x6943</w:t>
            </w:r>
            <w:r>
              <w:t xml:space="preserve"> </w:t>
            </w:r>
            <w:r>
              <w:t xml:space="preserve">= ASCII</w:t>
            </w:r>
            <w:r>
              <w:t xml:space="preserve"> </w:t>
            </w:r>
            <w:r>
              <w:t xml:space="preserve">“iC”</w:t>
            </w:r>
            <w:r>
              <w:t xml:space="preserve"> </w:t>
            </w:r>
            <w:r>
              <w:t xml:space="preserve">(iC-Haus).</w:t>
            </w:r>
          </w:p>
        </w:tc>
      </w:tr>
    </w:tbl>
    <w:p>
      <w:pPr>
        <w:pStyle w:val="BodyText"/>
      </w:pPr>
      <w:r>
        <w:t xml:space="preserve">The significance of this decode is that it removes configuration corruption from the list of</w:t>
      </w:r>
      <w:r>
        <w:t xml:space="preserve"> </w:t>
      </w:r>
      <w:r>
        <w:t xml:space="preserve">possible faults at the hardware level: the board’s programmed set-up is internally consistent</w:t>
      </w:r>
      <w:r>
        <w:t xml:space="preserve"> </w:t>
      </w:r>
      <w:r>
        <w:t xml:space="preserve">and datasheet-normal. The complementary</w:t>
      </w:r>
      <w:r>
        <w:t xml:space="preserve"> </w:t>
      </w:r>
      <w:r>
        <w:rPr>
          <w:i/>
          <w:iCs/>
        </w:rPr>
        <w:t xml:space="preserve">comparative</w:t>
      </w:r>
      <w:r>
        <w:t xml:space="preserve"> </w:t>
      </w:r>
      <w:r>
        <w:t xml:space="preserve">result, the bench read that established</w:t>
      </w:r>
      <w:r>
        <w:t xml:space="preserve"> </w:t>
      </w:r>
      <w:r>
        <w:t xml:space="preserve">the faulty and healthy encoders to be byte-identical in their stored configuration, and hence</w:t>
      </w:r>
      <w:r>
        <w:t xml:space="preserve"> </w:t>
      </w:r>
      <w:r>
        <w:t xml:space="preserve">that the difference between them is physical rather than programmed, was performed on the signal</w:t>
      </w:r>
      <w:r>
        <w:t xml:space="preserve"> </w:t>
      </w:r>
      <w:r>
        <w:t xml:space="preserve">layer and is reported in [Ming, SS-TBD]; this report owns the decode, not that comparative read.</w:t>
      </w:r>
    </w:p>
    <w:bookmarkEnd w:id="125"/>
    <w:bookmarkStart w:id="126" w:name="signal-routing"/>
    <w:p>
      <w:pPr>
        <w:pStyle w:val="Heading2"/>
      </w:pPr>
      <w:r>
        <w:t xml:space="preserve">Signal routing</w:t>
      </w:r>
    </w:p>
    <w:p>
      <w:pPr>
        <w:pStyle w:val="FirstParagraph"/>
      </w:pPr>
      <w:r>
        <w:t xml:space="preserve">Probing to trace the sensor signals out to the main motor connector showed that no such route</w:t>
      </w:r>
      <w:r>
        <w:t xml:space="preserve"> </w:t>
      </w:r>
      <w:r>
        <w:t xml:space="preserve">exists: none of the transceiver’s differential A/B/Z/Y outputs reach the main connector.</w:t>
      </w:r>
      <w:r>
        <w:t xml:space="preserve"> </w:t>
      </w:r>
      <w:r>
        <w:t xml:space="preserve">Instead, the secondary output encoder is wired</w:t>
      </w:r>
      <w:r>
        <w:t xml:space="preserve"> </w:t>
      </w:r>
      <w:r>
        <w:rPr>
          <w:b/>
          <w:bCs/>
        </w:rPr>
        <w:t xml:space="preserve">directly to the motor driver’s STM32</w:t>
      </w:r>
      <w:r>
        <w:rPr>
          <w:b/>
          <w:bCs/>
        </w:rPr>
        <w:t xml:space="preserve"> </w:t>
      </w:r>
      <w:r>
        <w:rPr>
          <w:b/>
          <w:bCs/>
        </w:rPr>
        <w:t xml:space="preserve">microcontroller</w:t>
      </w:r>
      <w:r>
        <w:t xml:space="preserve">, which consumes the post-reduction joint angle locally, formats feedback, and</w:t>
      </w:r>
      <w:r>
        <w:t xml:space="preserve"> </w:t>
      </w:r>
      <w:r>
        <w:t xml:space="preserve">streams it to the main compute module over the driver’s own CAN transceiver. This routing is a</w:t>
      </w:r>
      <w:r>
        <w:t xml:space="preserve"> </w:t>
      </w:r>
      <w:r>
        <w:t xml:space="preserve">hardware finding in its own right, and it also explains, at the hardware level, why the driver</w:t>
      </w:r>
      <w:r>
        <w:t xml:space="preserve"> </w:t>
      </w:r>
      <w:r>
        <w:t xml:space="preserve">rather than the main computer governs the joint’s local behaviour; the control-loop</w:t>
      </w:r>
      <w:r>
        <w:t xml:space="preserve"> </w:t>
      </w:r>
      <w:r>
        <w:rPr>
          <w:i/>
          <w:iCs/>
        </w:rPr>
        <w:t xml:space="preserve">consequences</w:t>
      </w:r>
      <w:r>
        <w:t xml:space="preserve"> </w:t>
      </w:r>
      <w:r>
        <w:t xml:space="preserve">of that routing are a signal-layer matter and are discussed in [Ming, SS-TBD].</w:t>
      </w:r>
    </w:p>
    <w:bookmarkEnd w:id="126"/>
    <w:bookmarkStart w:id="136" w:name="bench-read-attempt-and-its-limit"/>
    <w:p>
      <w:pPr>
        <w:pStyle w:val="Heading2"/>
      </w:pPr>
      <w:r>
        <w:t xml:space="preserve">Bench read attempt and its limit</w:t>
      </w:r>
    </w:p>
    <w:p>
      <w:pPr>
        <w:pStyle w:val="FirstParagraph"/>
      </w:pPr>
      <w:r>
        <w:t xml:space="preserve">A final effort was made to read the iC-MU directly on the bench while it remained installed in</w:t>
      </w:r>
      <w:r>
        <w:t xml:space="preserve"> </w:t>
      </w:r>
      <w:r>
        <w:t xml:space="preserve">the actuator, so that the sensor’s raw output could be observed as hardware. The differential</w:t>
      </w:r>
      <w:r>
        <w:t xml:space="preserve"> </w:t>
      </w:r>
      <w:r>
        <w:t xml:space="preserve">signal pairs proved inaccessible at the driver, but probing showed that the four test pads</w:t>
      </w:r>
      <w:r>
        <w:t xml:space="preserve"> </w:t>
      </w:r>
      <w:r>
        <w:t xml:space="preserve">beside the main connector are the transceiver’s</w:t>
      </w:r>
      <w:r>
        <w:t xml:space="preserve"> </w:t>
      </w:r>
      <w:r>
        <w:rPr>
          <w:rStyle w:val="VerbatimChar"/>
        </w:rPr>
        <w:t xml:space="preserve">A/B/Y/Z</w:t>
      </w:r>
      <w:r>
        <w:t xml:space="preserve"> </w:t>
      </w:r>
      <w:r>
        <w:t xml:space="preserve">differential pairs, with two further</w:t>
      </w:r>
      <w:r>
        <w:t xml:space="preserve"> </w:t>
      </w:r>
      <w:r>
        <w:t xml:space="preserve">pads providing +5 V and ground (Figure 30). Wires were soldered to these pads (Figure 31) and</w:t>
      </w:r>
      <w:r>
        <w:t xml:space="preserve"> </w:t>
      </w:r>
      <w:r>
        <w:t xml:space="preserve">the encoder section powered from a bench supply, drawing about 0.11 A at 5 V.</w:t>
      </w:r>
    </w:p>
    <w:p>
      <w:pPr>
        <w:pStyle w:val="BodyText"/>
      </w:pPr>
      <w:r>
        <w:drawing>
          <wp:inline>
            <wp:extent cx="2933700" cy="145428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.build-assets/docs_assets_testpad-map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454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30 —</w:t>
      </w:r>
      <w:r>
        <w:t xml:space="preserve"> </w:t>
      </w:r>
      <w:r>
        <w:t xml:space="preserve">The flex-PCB test-pad map: the four pads beside the main connector are the</w:t>
      </w:r>
      <w:r>
        <w:t xml:space="preserve"> </w:t>
      </w:r>
      <w:r>
        <w:t xml:space="preserve">transceiver’s A/B/Y/Z differential pairs, with +5 V and ground alongside.</w:t>
      </w:r>
    </w:p>
    <w:p>
      <w:pPr>
        <w:pStyle w:val="BodyText"/>
      </w:pPr>
      <w:r>
        <w:drawing>
          <wp:inline>
            <wp:extent cx="2560320" cy="341376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.build-assets/docs_assets_flex-pcb-testpad-soldering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31 —</w:t>
      </w:r>
      <w:r>
        <w:t xml:space="preserve"> </w:t>
      </w:r>
      <w:r>
        <w:t xml:space="preserve">Wires soldered to the flex-PCB test pads to power and monitor the encoder</w:t>
      </w:r>
      <w:r>
        <w:t xml:space="preserve"> </w:t>
      </w:r>
      <w:r>
        <w:t xml:space="preserve">section on the bench.</w:t>
      </w:r>
    </w:p>
    <w:p>
      <w:pPr>
        <w:pStyle w:val="BodyText"/>
      </w:pPr>
      <w:r>
        <w:t xml:space="preserve">The read did not succeed, and the reasons are themselves hardware findings. Establishing serial</w:t>
      </w:r>
      <w:r>
        <w:t xml:space="preserve"> </w:t>
      </w:r>
      <w:r>
        <w:t xml:space="preserve">communication with the iC-MU over its RS-485/RS-422 transceiver required either a matching</w:t>
      </w:r>
      <w:r>
        <w:t xml:space="preserve"> </w:t>
      </w:r>
      <w:r>
        <w:t xml:space="preserve">full-duplex four-wire transceiver or two standard RS-485 transceivers, neither of which was</w:t>
      </w:r>
      <w:r>
        <w:t xml:space="preserve"> </w:t>
      </w:r>
      <w:r>
        <w:t xml:space="preserve">available. The alternative, driving the sensor with the motor driver’s own STM32 and observing</w:t>
      </w:r>
      <w:r>
        <w:t xml:space="preserve"> </w:t>
      </w:r>
      <w:r>
        <w:t xml:space="preserve">the transceiver output lines on an oscilloscope (Figure 32), was blocked by a power issue:</w:t>
      </w:r>
      <w:r>
        <w:t xml:space="preserve"> </w:t>
      </w:r>
      <w:r>
        <w:t xml:space="preserve">although the driver’s 5 V rail measured a correct 4.994 V, the 3.3 V rail that supplies the STM32</w:t>
      </w:r>
      <w:r>
        <w:t xml:space="preserve"> </w:t>
      </w:r>
      <w:r>
        <w:t xml:space="preserve">sat at only about 0.4 V. Tracing the supply showed that the 5 V feeds an LT3029 LDO regulator [7]</w:t>
      </w:r>
      <w:r>
        <w:t xml:space="preserve"> </w:t>
      </w:r>
      <w:r>
        <w:t xml:space="preserve">whose 3.3 V output was the dead rail, and that the LDO appeared to be enabled by another rail</w:t>
      </w:r>
      <w:r>
        <w:t xml:space="preserve"> </w:t>
      </w:r>
      <w:r>
        <w:t xml:space="preserve">rather than by the 5 V supply, so the microcontroller never powered. Powering the STM32 directly</w:t>
      </w:r>
      <w:r>
        <w:t xml:space="preserve"> </w:t>
      </w:r>
      <w:r>
        <w:t xml:space="preserve">from the 3.3 V pad still produced no edges on the monitored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lines, indicating that</w:t>
      </w:r>
      <w:r>
        <w:t xml:space="preserve"> </w:t>
      </w:r>
      <w:r>
        <w:t xml:space="preserve">the driver was not, under these bench conditions, periodically polling the sensor to generate an</w:t>
      </w:r>
      <w:r>
        <w:t xml:space="preserve"> </w:t>
      </w:r>
      <w:r>
        <w:t xml:space="preserve">output. The bench read therefore reached its limit: reading the sensor’s raw registers requires</w:t>
      </w:r>
      <w:r>
        <w:t xml:space="preserve"> </w:t>
      </w:r>
      <w:r>
        <w:t xml:space="preserve">either the correct RS-485/RS-422 interface hardware or a way to command the driver’s STM32 to</w:t>
      </w:r>
      <w:r>
        <w:t xml:space="preserve"> </w:t>
      </w:r>
      <w:r>
        <w:t xml:space="preserve">poll the encoder, and neither was available within the project’s timeframe. This dead end is</w:t>
      </w:r>
      <w:r>
        <w:t xml:space="preserve"> </w:t>
      </w:r>
      <w:r>
        <w:t xml:space="preserve">carried forward as a limitation and a concrete piece of future work.</w:t>
      </w:r>
    </w:p>
    <w:p>
      <w:pPr>
        <w:pStyle w:val="BodyText"/>
      </w:pPr>
      <w:r>
        <w:drawing>
          <wp:inline>
            <wp:extent cx="2560320" cy="3416797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.build-assets/docs_assets_oscilloscope-test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6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32 —</w:t>
      </w:r>
      <w:r>
        <w:t xml:space="preserve"> </w:t>
      </w:r>
      <w:r>
        <w:t xml:space="preserve">The oscilloscope bench read attempt; no edges were observed on the monitored</w:t>
      </w:r>
      <w:r>
        <w:t xml:space="preserve"> </w:t>
      </w:r>
      <w:r>
        <w:t xml:space="preserve">transceiver lines, the driver STM32 remaining unpowered on its 3.3 V rail.</w:t>
      </w:r>
    </w:p>
    <w:bookmarkEnd w:id="136"/>
    <w:bookmarkStart w:id="137" w:name="the-db25-payload-port-bypass"/>
    <w:p>
      <w:pPr>
        <w:pStyle w:val="Heading2"/>
      </w:pPr>
      <w:r>
        <w:t xml:space="preserve">The DB25 payload-port bypass</w:t>
      </w:r>
    </w:p>
    <w:p>
      <w:pPr>
        <w:pStyle w:val="FirstParagraph"/>
      </w:pPr>
      <w:r>
        <w:t xml:space="preserve">One further electrical obstacle stood between the restored power system and any motor test, and</w:t>
      </w:r>
      <w:r>
        <w:t xml:space="preserve"> </w:t>
      </w:r>
      <w:r>
        <w:t xml:space="preserve">it was resolved by reverse-engineering a connector. Enabling motor power raised an</w:t>
      </w:r>
      <w:r>
        <w:t xml:space="preserve"> </w:t>
      </w:r>
      <w:r>
        <w:t xml:space="preserve">“uncovered</w:t>
      </w:r>
      <w:r>
        <w:t xml:space="preserve"> </w:t>
      </w:r>
      <w:r>
        <w:t xml:space="preserve">payload port”</w:t>
      </w:r>
      <w:r>
        <w:t xml:space="preserve"> </w:t>
      </w:r>
      <w:r>
        <w:t xml:space="preserve">stop function: Spot detects whether its DB25 payload-port covers are fitted, and</w:t>
      </w:r>
      <w:r>
        <w:t xml:space="preserve"> </w:t>
      </w:r>
      <w:r>
        <w:t xml:space="preserve">one cover was missing. Inspection showed the cover contained no active components, only a mating</w:t>
      </w:r>
      <w:r>
        <w:t xml:space="preserve"> </w:t>
      </w:r>
      <w:r>
        <w:t xml:space="preserve">DB25 shell, so the detection had to be passive. Probing the cover for continuity revealed that</w:t>
      </w:r>
      <w:r>
        <w:t xml:space="preserve"> </w:t>
      </w:r>
      <w:r>
        <w:rPr>
          <w:b/>
          <w:bCs/>
        </w:rPr>
        <w:t xml:space="preserve">four sets of pins are shorted together</w:t>
      </w:r>
      <w:r>
        <w:t xml:space="preserve"> </w:t>
      </w:r>
      <w:r>
        <w:t xml:space="preserve">inside it, and replicating those shorts on the open</w:t>
      </w:r>
      <w:r>
        <w:t xml:space="preserve"> </w:t>
      </w:r>
      <w:r>
        <w:t xml:space="preserve">port, first with tinned jumper wires, later with a female DB25 header wired to match, cleared</w:t>
      </w:r>
      <w:r>
        <w:t xml:space="preserve"> </w:t>
      </w:r>
      <w:r>
        <w:t xml:space="preserve">the lockout and allowed motor power to be enabled. The pin-short map is given in Appendix D.</w:t>
      </w:r>
    </w:p>
    <w:bookmarkEnd w:id="137"/>
    <w:bookmarkEnd w:id="138"/>
    <w:bookmarkStart w:id="141" w:name="evaluation-limitations-and-improvements"/>
    <w:p>
      <w:pPr>
        <w:pStyle w:val="Heading1"/>
      </w:pPr>
      <w:r>
        <w:t xml:space="preserve">Evaluation, Limitations and Improvements</w:t>
      </w:r>
    </w:p>
    <w:bookmarkStart w:id="139" w:name="power-system"/>
    <w:p>
      <w:pPr>
        <w:pStyle w:val="Heading2"/>
      </w:pPr>
      <w:r>
        <w:t xml:space="preserve">Power system</w:t>
      </w:r>
    </w:p>
    <w:p>
      <w:pPr>
        <w:pStyle w:val="FirstParagraph"/>
      </w:pPr>
      <w:r>
        <w:t xml:space="preserve">Against its objective, the power-system work succeeded in full: both battery modules were</w:t>
      </w:r>
      <w:r>
        <w:t xml:space="preserve"> </w:t>
      </w:r>
      <w:r>
        <w:t xml:space="preserve">rebuilt on their original BMS boards in the OEM 14s4p form factor and both reached a</w:t>
      </w:r>
      <w:r>
        <w:t xml:space="preserve"> </w:t>
      </w:r>
      <w:r>
        <w:rPr>
          <w:b/>
          <w:bCs/>
        </w:rPr>
        <w:t xml:space="preserve">full,</w:t>
      </w:r>
      <w:r>
        <w:rPr>
          <w:b/>
          <w:bCs/>
        </w:rPr>
        <w:t xml:space="preserve"> </w:t>
      </w:r>
      <w:r>
        <w:rPr>
          <w:b/>
          <w:bCs/>
        </w:rPr>
        <w:t xml:space="preserve">balanced charge</w:t>
      </w:r>
      <w:r>
        <w:t xml:space="preserve">, with pack #2 reporting an excellent balance index of 0.02. The single most</w:t>
      </w:r>
      <w:r>
        <w:t xml:space="preserve"> </w:t>
      </w:r>
      <w:r>
        <w:t xml:space="preserve">important finding is that the rebuild’s reliability was governed almost entirely by</w:t>
      </w:r>
      <w:r>
        <w:t xml:space="preserve"> </w:t>
      </w:r>
      <w:r>
        <w:rPr>
          <w:b/>
          <w:bCs/>
        </w:rPr>
        <w:t xml:space="preserve">spot-weld</w:t>
      </w:r>
      <w:r>
        <w:rPr>
          <w:b/>
          <w:bCs/>
        </w:rPr>
        <w:t xml:space="preserve"> </w:t>
      </w:r>
      <w:r>
        <w:rPr>
          <w:b/>
          <w:bCs/>
        </w:rPr>
        <w:t xml:space="preserve">quality</w:t>
      </w:r>
      <w:r>
        <w:t xml:space="preserve">: the same class of defect manifested first as cell-group imbalance and then as a</w:t>
      </w:r>
      <w:r>
        <w:t xml:space="preserve"> </w:t>
      </w:r>
      <w:r>
        <w:t xml:space="preserve">battery-fault lockout from one disconnected joint, and both traced back to bends and stress</w:t>
      </w:r>
      <w:r>
        <w:t xml:space="preserve"> </w:t>
      </w:r>
      <w:r>
        <w:t xml:space="preserve">points in the nickel-strip routing imposed by the first bracket design. The V2 pack turned that</w:t>
      </w:r>
      <w:r>
        <w:t xml:space="preserve"> </w:t>
      </w:r>
      <w:r>
        <w:t xml:space="preserve">finding into a design improvement: added bracing, OEM-derived spacer positions, laser-cut</w:t>
      </w:r>
      <w:r>
        <w:t xml:space="preserve"> </w:t>
      </w:r>
      <w:r>
        <w:t xml:space="preserve">slotted strips that avoid stacking, and captured-nut BMS mounting. The result was a pack that</w:t>
      </w:r>
      <w:r>
        <w:t xml:space="preserve"> </w:t>
      </w:r>
      <w:r>
        <w:t xml:space="preserve">welded cleanly and balanced correctly on the first attempt, assembled in a fraction of the time.</w:t>
      </w:r>
      <w:r>
        <w:t xml:space="preserve"> </w:t>
      </w:r>
      <w:r>
        <w:t xml:space="preserve">Two limitations remain. The OEM phase-change thermal filler was not reproduced, because no</w:t>
      </w:r>
      <w:r>
        <w:t xml:space="preserve"> </w:t>
      </w:r>
      <w:r>
        <w:t xml:space="preserve">workable off-the-shelf equivalent was found; the pack instead relies on the silicone thermal</w:t>
      </w:r>
      <w:r>
        <w:t xml:space="preserve"> </w:t>
      </w:r>
      <w:r>
        <w:t xml:space="preserve">sheet and the retained NTC monitoring, and sourcing a suitable PCM is a clear improvement for a</w:t>
      </w:r>
      <w:r>
        <w:t xml:space="preserve"> </w:t>
      </w:r>
      <w:r>
        <w:t xml:space="preserve">future build. And the pack #2 SoC repair depended on an improvised fastener (a cardboard shim in</w:t>
      </w:r>
      <w:r>
        <w:t xml:space="preserve"> </w:t>
      </w:r>
      <w:r>
        <w:t xml:space="preserve">place of the missing flex-connector fastener), which should be replaced with a proper part.</w:t>
      </w:r>
    </w:p>
    <w:bookmarkEnd w:id="139"/>
    <w:bookmarkStart w:id="140" w:name="actuator-at-the-hardware-level"/>
    <w:p>
      <w:pPr>
        <w:pStyle w:val="Heading2"/>
      </w:pPr>
      <w:r>
        <w:t xml:space="preserve">Actuator, at the hardware level</w:t>
      </w:r>
    </w:p>
    <w:p>
      <w:pPr>
        <w:pStyle w:val="FirstParagraph"/>
      </w:pPr>
      <w:r>
        <w:t xml:space="preserve">The mechanical investigation met its objective of localising the fault to a physical part. By</w:t>
      </w:r>
      <w:r>
        <w:t xml:space="preserve"> </w:t>
      </w:r>
      <w:r>
        <w:t xml:space="preserve">moving each candidate part in turn between the faulty and healthy hind hip-X actuators, the</w:t>
      </w:r>
      <w:r>
        <w:t xml:space="preserve"> </w:t>
      </w:r>
      <w:r>
        <w:t xml:space="preserve">hardware work</w:t>
      </w:r>
      <w:r>
        <w:t xml:space="preserve"> </w:t>
      </w:r>
      <w:r>
        <w:rPr>
          <w:b/>
          <w:bCs/>
        </w:rPr>
        <w:t xml:space="preserve">physically ruled out</w:t>
      </w:r>
      <w:r>
        <w:t xml:space="preserve"> </w:t>
      </w:r>
      <w:r>
        <w:t xml:space="preserve">the driver electronics, the motor wiring, the rotor and</w:t>
      </w:r>
      <w:r>
        <w:t xml:space="preserve"> </w:t>
      </w:r>
      <w:r>
        <w:t xml:space="preserve">its magnet, and the primary rotor encoder as the location of the fault, because none of those</w:t>
      </w:r>
      <w:r>
        <w:t xml:space="preserve"> </w:t>
      </w:r>
      <w:r>
        <w:t xml:space="preserve">swaps carried the abnormal behaviour with the part. Conversely, interchanging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output-encoder PCB</w:t>
      </w:r>
      <w:r>
        <w:t xml:space="preserve"> </w:t>
      </w:r>
      <w:r>
        <w:t xml:space="preserve">did move the behaviour between joints, localising the fault to a physical</w:t>
      </w:r>
      <w:r>
        <w:t xml:space="preserve"> </w:t>
      </w:r>
      <w:r>
        <w:t xml:space="preserve">hardware difference at that board. The subsequent electrical reverse-engineering then narrowed</w:t>
      </w:r>
      <w:r>
        <w:t xml:space="preserve"> </w:t>
      </w:r>
      <w:r>
        <w:t xml:space="preserve">what that difference could be: the board is a datasheet-normal ExtSSI iC-MU node whose stored</w:t>
      </w:r>
      <w:r>
        <w:t xml:space="preserve"> </w:t>
      </w:r>
      <w:r>
        <w:t xml:space="preserve">configuration decodes as internally consistent (CRC-valid), which removes configuration</w:t>
      </w:r>
      <w:r>
        <w:t xml:space="preserve"> </w:t>
      </w:r>
      <w:r>
        <w:t xml:space="preserve">corruption as an explanation and points to a physical device-level difference rather than a</w:t>
      </w:r>
      <w:r>
        <w:t xml:space="preserve"> </w:t>
      </w:r>
      <w:r>
        <w:t xml:space="preserve">programming one. The overarching limitation is that the hardware work stops, by design, at</w:t>
      </w:r>
      <w:r>
        <w:t xml:space="preserve"> </w:t>
      </w:r>
      <w:r>
        <w:t xml:space="preserve">“the</w:t>
      </w:r>
      <w:r>
        <w:t xml:space="preserve"> </w:t>
      </w:r>
      <w:r>
        <w:t xml:space="preserve">fault is a physical hardware difference”</w:t>
      </w:r>
      <w:r>
        <w:t xml:space="preserve">; the confirmation of that fault at the signal level, the</w:t>
      </w:r>
      <w:r>
        <w:t xml:space="preserve"> </w:t>
      </w:r>
      <w:r>
        <w:t xml:space="preserve">comparative read establishing the two encoders’ configurations byte-identical, and the eventual</w:t>
      </w:r>
      <w:r>
        <w:t xml:space="preserve"> </w:t>
      </w:r>
      <w:r>
        <w:t xml:space="preserve">repair are reported in [Ming, SS-TBD].</w:t>
      </w:r>
    </w:p>
    <w:p>
      <w:pPr>
        <w:pStyle w:val="BodyText"/>
      </w:pPr>
      <w:r>
        <w:t xml:space="preserve">The most concrete hardware limitation was the</w:t>
      </w:r>
      <w:r>
        <w:t xml:space="preserve"> </w:t>
      </w:r>
      <w:r>
        <w:rPr>
          <w:b/>
          <w:bCs/>
        </w:rPr>
        <w:t xml:space="preserve">bench read that could not be completed</w:t>
      </w:r>
      <w:r>
        <w:t xml:space="preserve">.</w:t>
      </w:r>
      <w:r>
        <w:t xml:space="preserve"> </w:t>
      </w:r>
      <w:r>
        <w:t xml:space="preserve">Reading the iC-MU’s raw registers in situ was defeated by two independent obstacles: the absence</w:t>
      </w:r>
      <w:r>
        <w:t xml:space="preserve"> </w:t>
      </w:r>
      <w:r>
        <w:t xml:space="preserve">of a suitable RS-485/RS-422 interface (a full-duplex four-wire transceiver, or two RS-485</w:t>
      </w:r>
      <w:r>
        <w:t xml:space="preserve"> </w:t>
      </w:r>
      <w:r>
        <w:t xml:space="preserve">transceivers), and the driver STM32 remaining unpowered because its 3.3 V LDO rail did not come</w:t>
      </w:r>
      <w:r>
        <w:t xml:space="preserve"> </w:t>
      </w:r>
      <w:r>
        <w:t xml:space="preserve">up under bench conditions. Each obstacle implies its own improvement: procuring the correct</w:t>
      </w:r>
      <w:r>
        <w:t xml:space="preserve"> </w:t>
      </w:r>
      <w:r>
        <w:t xml:space="preserve">transceiver hardware to read the sensor directly, and working out the LDO’s enable condition so</w:t>
      </w:r>
      <w:r>
        <w:t xml:space="preserve"> </w:t>
      </w:r>
      <w:r>
        <w:t xml:space="preserve">the driver can be powered and commanded to poll the encoder on the bench. A further, per-joint</w:t>
      </w:r>
      <w:r>
        <w:t xml:space="preserve"> </w:t>
      </w:r>
      <w:r>
        <w:t xml:space="preserve">limitation is the residual mechanical offset left after the encoder swap: correcting it by</w:t>
      </w:r>
      <w:r>
        <w:t xml:space="preserve"> </w:t>
      </w:r>
      <w:r>
        <w:t xml:space="preserve">re-clocking the rotor housing is possible only in coarse 45° steps given the eight securing</w:t>
      </w:r>
      <w:r>
        <w:t xml:space="preserve"> </w:t>
      </w:r>
      <w:r>
        <w:t xml:space="preserve">screws, so a finer calibration route would be needed to remove it cleanly. Finally, the epoxy</w:t>
      </w:r>
      <w:r>
        <w:t xml:space="preserve"> </w:t>
      </w:r>
      <w:r>
        <w:t xml:space="preserve">coating over the controller board prevented direct probing of several test points, a practical</w:t>
      </w:r>
      <w:r>
        <w:t xml:space="preserve"> </w:t>
      </w:r>
      <w:r>
        <w:t xml:space="preserve">constraint on any future in-situ electrical work.</w:t>
      </w:r>
    </w:p>
    <w:bookmarkEnd w:id="140"/>
    <w:bookmarkEnd w:id="141"/>
    <w:bookmarkStart w:id="14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hardware objectives of the project were met. Spot’s power system was rebuilt from two dead</w:t>
      </w:r>
      <w:r>
        <w:t xml:space="preserve"> </w:t>
      </w:r>
      <w:r>
        <w:t xml:space="preserve">modules into two modules that charge to a full, balanced state, by replacing the degraded cells</w:t>
      </w:r>
      <w:r>
        <w:t xml:space="preserve"> </w:t>
      </w:r>
      <w:r>
        <w:t xml:space="preserve">with OEM-spec Samsung INR18650-30Q cells on the original BMS and, critically, by driving the</w:t>
      </w:r>
      <w:r>
        <w:t xml:space="preserve"> </w:t>
      </w:r>
      <w:r>
        <w:t xml:space="preserve">rebuild’s reliability through spot-weld quality and a second-generation bracket design. In</w:t>
      </w:r>
      <w:r>
        <w:t xml:space="preserve"> </w:t>
      </w:r>
      <w:r>
        <w:t xml:space="preserve">parallel, the faulty hip-X actuator, a previously undocumented piece of hardware, was</w:t>
      </w:r>
      <w:r>
        <w:t xml:space="preserve"> </w:t>
      </w:r>
      <w:r>
        <w:t xml:space="preserve">characterised from the outside in: its 50:1 harmonic-drive, dual-encoder construction was</w:t>
      </w:r>
      <w:r>
        <w:t xml:space="preserve"> </w:t>
      </w:r>
      <w:r>
        <w:t xml:space="preserve">established by teardown; a disciplined sequence of component swaps localised the fault to a</w:t>
      </w:r>
      <w:r>
        <w:t xml:space="preserve"> </w:t>
      </w:r>
      <w:r>
        <w:t xml:space="preserve">physical difference at the secondary output-encoder board; and reverse-engineering that board</w:t>
      </w:r>
      <w:r>
        <w:t xml:space="preserve"> </w:t>
      </w:r>
      <w:r>
        <w:t xml:space="preserve">established its ExtSSI iC-MU design, pinout, direct-to-STM32 routing and CRC-valid configuration,</w:t>
      </w:r>
      <w:r>
        <w:t xml:space="preserve"> </w:t>
      </w:r>
      <w:r>
        <w:t xml:space="preserve">narrowing the fault to a physical device difference rather than a programming or wiring one.</w:t>
      </w:r>
    </w:p>
    <w:p>
      <w:pPr>
        <w:pStyle w:val="BodyText"/>
      </w:pPr>
      <w:r>
        <w:t xml:space="preserve">The skills developed span the rebuild and characterisation of lithium battery systems and their</w:t>
      </w:r>
      <w:r>
        <w:t xml:space="preserve"> </w:t>
      </w:r>
      <w:r>
        <w:t xml:space="preserve">BMS, the mechanical teardown and reassembly of a precision harmonic-drive actuator, and the</w:t>
      </w:r>
      <w:r>
        <w:t xml:space="preserve"> </w:t>
      </w:r>
      <w:r>
        <w:t xml:space="preserve">electrical reverse-engineering of a Hall-encoder PCB, including datasheet-level EEPROM decoding</w:t>
      </w:r>
      <w:r>
        <w:t xml:space="preserve"> </w:t>
      </w:r>
      <w:r>
        <w:t xml:space="preserve">and pinout tracing. The principal thread of future work follows directly from the one hardware</w:t>
      </w:r>
      <w:r>
        <w:t xml:space="preserve"> </w:t>
      </w:r>
      <w:r>
        <w:t xml:space="preserve">task that could not be completed: instrumenting the iC-MU sensor with the correct</w:t>
      </w:r>
      <w:r>
        <w:t xml:space="preserve"> </w:t>
      </w:r>
      <w:r>
        <w:t xml:space="preserve">RS-485/RS-422 interface (or a powered, polled driver STM32) to read its raw output on the bench.</w:t>
      </w:r>
      <w:r>
        <w:t xml:space="preserve"> </w:t>
      </w:r>
      <w:r>
        <w:t xml:space="preserve">Beyond that, a physics-based simulation of the actuator and its encoder signal chain is proposed</w:t>
      </w:r>
      <w:r>
        <w:t xml:space="preserve"> </w:t>
      </w:r>
      <w:r>
        <w:t xml:space="preserve">as a means of exploring the fault without repeated teardown; it is noted here strictly as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work, no such simulation having been built within this project. The signal-layer</w:t>
      </w:r>
      <w:r>
        <w:t xml:space="preserve"> </w:t>
      </w:r>
      <w:r>
        <w:t xml:space="preserve">confirmation of the fault and the encoder repair that returned the joint toward service are</w:t>
      </w:r>
      <w:r>
        <w:t xml:space="preserve"> </w:t>
      </w:r>
      <w:r>
        <w:t xml:space="preserve">reported in the companion report [Ming, SS-TBD].</w:t>
      </w:r>
    </w:p>
    <w:bookmarkEnd w:id="142"/>
    <w:bookmarkStart w:id="14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Boston Dynamics,</w:t>
      </w:r>
      <w:r>
        <w:t xml:space="preserve"> </w:t>
      </w:r>
      <w:r>
        <w:t xml:space="preserve">“Spot Battery Safety Data Sheets (SDS).”</w:t>
      </w:r>
      <w:r>
        <w:t xml:space="preserve"> </w:t>
      </w:r>
      <w:r>
        <w:t xml:space="preserve">Available: https://support.bostondynamics.com/s/article/Spot-Battery-Safety-Data-Sheets-SDS-49922</w:t>
      </w:r>
    </w:p>
    <w:p>
      <w:pPr>
        <w:pStyle w:val="BodyText"/>
      </w:pPr>
      <w:r>
        <w:t xml:space="preserve">[2] Falcon PEV,</w:t>
      </w:r>
      <w:r>
        <w:t xml:space="preserve"> </w:t>
      </w:r>
      <w:r>
        <w:t xml:space="preserve">“18650 Samsung 30Q 3000 mAh Battery Cell.”</w:t>
      </w:r>
      <w:r>
        <w:t xml:space="preserve"> </w:t>
      </w:r>
      <w:r>
        <w:t xml:space="preserve">Available: https://www.falconpev.com.sg/products/18650-samsung-30q-3000mah</w:t>
      </w:r>
    </w:p>
    <w:p>
      <w:pPr>
        <w:pStyle w:val="BodyText"/>
      </w:pPr>
      <w:r>
        <w:t xml:space="preserve">[3]</w:t>
      </w:r>
      <w:r>
        <w:t xml:space="preserve"> </w:t>
      </w:r>
      <w:r>
        <w:t xml:space="preserve">“Comprehensive Teardown Report of the Quadruped Robot Spot,”</w:t>
      </w:r>
      <w:r>
        <w:t xml:space="preserve"> </w:t>
      </w:r>
      <w:r>
        <w:t xml:space="preserve">r/IndiaTech, Reddit. Available: https://www.reddit.com/r/IndiaTech/comments/1nwsba2/comprehensive_teardown_report_of_the_quadruped/</w:t>
      </w:r>
    </w:p>
    <w:p>
      <w:pPr>
        <w:pStyle w:val="BodyText"/>
      </w:pPr>
      <w:r>
        <w:t xml:space="preserve">[4] LHS Materials,</w:t>
      </w:r>
      <w:r>
        <w:t xml:space="preserve"> </w:t>
      </w:r>
      <w:r>
        <w:t xml:space="preserve">“Thermal Regulation.”</w:t>
      </w:r>
      <w:r>
        <w:t xml:space="preserve"> </w:t>
      </w:r>
      <w:r>
        <w:t xml:space="preserve">Available: https://www.lhsmaterials.com/thermal-regulation</w:t>
      </w:r>
    </w:p>
    <w:p>
      <w:pPr>
        <w:pStyle w:val="BodyText"/>
      </w:pPr>
      <w:r>
        <w:t xml:space="preserve">[5] iC-Haus,</w:t>
      </w:r>
      <w:r>
        <w:t xml:space="preserve"> </w:t>
      </w:r>
      <w:r>
        <w:t xml:space="preserve">“iC-MU Position Encoder — Pole Width 1.28 mm,”</w:t>
      </w:r>
      <w:r>
        <w:t xml:space="preserve"> </w:t>
      </w:r>
      <w:r>
        <w:t xml:space="preserve">datasheet. Available: https://ave-nl.com/wp-content/uploads/2021/12/MU_datasheet_F2en_AVE.pdf</w:t>
      </w:r>
    </w:p>
    <w:p>
      <w:pPr>
        <w:pStyle w:val="BodyText"/>
      </w:pPr>
      <w:r>
        <w:t xml:space="preserve">[6] Analog Devices,</w:t>
      </w:r>
      <w:r>
        <w:t xml:space="preserve"> </w:t>
      </w:r>
      <w:r>
        <w:t xml:space="preserve">“LTC2863 — RS-485/RS-422 Transceiver,”</w:t>
      </w:r>
      <w:r>
        <w:t xml:space="preserve"> </w:t>
      </w:r>
      <w:r>
        <w:t xml:space="preserve">datasheet. Available: https://www.analog.com/media/en/technical-documentation/data-sheets/2862345fc.pdf</w:t>
      </w:r>
    </w:p>
    <w:p>
      <w:pPr>
        <w:pStyle w:val="BodyText"/>
      </w:pPr>
      <w:r>
        <w:t xml:space="preserve">[7] Analog Devices,</w:t>
      </w:r>
      <w:r>
        <w:t xml:space="preserve"> </w:t>
      </w:r>
      <w:r>
        <w:t xml:space="preserve">“LT3029 — Dual Low-Dropout Linear Regulator,”</w:t>
      </w:r>
      <w:r>
        <w:t xml:space="preserve"> </w:t>
      </w:r>
      <w:r>
        <w:t xml:space="preserve">datasheet. Available: https://www.analog.com/media/en/technical-documentation/data-sheets/3029fb.pdf</w:t>
      </w:r>
    </w:p>
    <w:p>
      <w:pPr>
        <w:pStyle w:val="BodyText"/>
      </w:pPr>
      <w:r>
        <w:t xml:space="preserve">[8] Boston Dynamics,</w:t>
      </w:r>
      <w:r>
        <w:t xml:space="preserve"> </w:t>
      </w:r>
      <w:r>
        <w:t xml:space="preserve">“Spot Software Updates.”</w:t>
      </w:r>
      <w:r>
        <w:t xml:space="preserve"> </w:t>
      </w:r>
      <w:r>
        <w:t xml:space="preserve">Available: https://support.bostondynamics.com/s/article/Spot-Software-Updates-70795</w:t>
      </w:r>
    </w:p>
    <w:bookmarkEnd w:id="143"/>
    <w:bookmarkStart w:id="155" w:name="appendices"/>
    <w:p>
      <w:pPr>
        <w:pStyle w:val="Heading1"/>
      </w:pPr>
      <w:r>
        <w:t xml:space="preserve">Appendices</w:t>
      </w:r>
    </w:p>
    <w:bookmarkStart w:id="144" w:name="appendix-a-project-timeline-gantt"/>
    <w:p>
      <w:pPr>
        <w:pStyle w:val="Heading2"/>
      </w:pPr>
      <w:r>
        <w:t xml:space="preserve">Appendix A — Project timeline (Gantt)</w:t>
      </w:r>
    </w:p>
    <w:p>
      <w:pPr>
        <w:pStyle w:val="FirstParagraph"/>
      </w:pPr>
      <w:r>
        <w:t xml:space="preserve">The hardware work reported here ran from mid-May to mid-July 2026 across the phases below (dates</w:t>
      </w:r>
      <w:r>
        <w:t xml:space="preserve"> </w:t>
      </w:r>
      <w:r>
        <w:t xml:space="preserve">from the project’s session logs). Diagnostic-interpretation and repair sessions on the signal</w:t>
      </w:r>
      <w:r>
        <w:t xml:space="preserve"> </w:t>
      </w:r>
      <w:r>
        <w:t xml:space="preserve">layer are the companion report’s and are omitted.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Sessions (2026)</w:t>
            </w:r>
          </w:p>
        </w:tc>
        <w:tc>
          <w:tcPr/>
          <w:p>
            <w:pPr>
              <w:pStyle w:val="Compact"/>
            </w:pPr>
            <w: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 diagnosis &amp; decision to rebuild</w:t>
            </w:r>
          </w:p>
        </w:tc>
        <w:tc>
          <w:tcPr/>
          <w:p>
            <w:pPr>
              <w:pStyle w:val="Compact"/>
            </w:pPr>
            <w:r>
              <w:t xml:space="preserve">Inspection → restoration attempt → disassembly &amp; sourcing</w:t>
            </w:r>
          </w:p>
        </w:tc>
        <w:tc>
          <w:tcPr/>
          <w:p>
            <w:pPr>
              <w:pStyle w:val="Compact"/>
            </w:pPr>
            <w:r>
              <w:t xml:space="preserve">13, 20, 21 May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#1 design</w:t>
            </w:r>
          </w:p>
        </w:tc>
        <w:tc>
          <w:tcPr/>
          <w:p>
            <w:pPr>
              <w:pStyle w:val="Compact"/>
            </w:pPr>
            <w:r>
              <w:t xml:space="preserve">Pack-design research; spacer CAD</w:t>
            </w:r>
          </w:p>
        </w:tc>
        <w:tc>
          <w:tcPr/>
          <w:p>
            <w:pPr>
              <w:pStyle w:val="Compact"/>
            </w:pPr>
            <w:r>
              <w:t xml:space="preserve">25 May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#1 assembly &amp; welding</w:t>
            </w:r>
          </w:p>
        </w:tc>
        <w:tc>
          <w:tcPr/>
          <w:p>
            <w:pPr>
              <w:pStyle w:val="Compact"/>
            </w:pPr>
            <w:r>
              <w:t xml:space="preserve">Assembly sessions 1-4</w:t>
            </w:r>
          </w:p>
        </w:tc>
        <w:tc>
          <w:tcPr/>
          <w:p>
            <w:pPr>
              <w:pStyle w:val="Compact"/>
            </w:pPr>
            <w:r>
              <w:t xml:space="preserve">28, 29 May; 2, 4 Jun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#1 test, fault-find &amp; rework</w:t>
            </w:r>
          </w:p>
        </w:tc>
        <w:tc>
          <w:tcPr/>
          <w:p>
            <w:pPr>
              <w:pStyle w:val="Compact"/>
            </w:pPr>
            <w:r>
              <w:t xml:space="preserve">Cell-group diagnosis + DB25 bypass; weld rework &amp; verify</w:t>
            </w:r>
          </w:p>
        </w:tc>
        <w:tc>
          <w:tcPr/>
          <w:p>
            <w:pPr>
              <w:pStyle w:val="Compact"/>
            </w:pPr>
            <w:r>
              <w:t xml:space="preserve">5, 11 Jun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 teardown / leg extraction</w:t>
            </w:r>
          </w:p>
        </w:tc>
        <w:tc>
          <w:tcPr/>
          <w:p>
            <w:pPr>
              <w:pStyle w:val="Compact"/>
            </w:pPr>
            <w:r>
              <w:t xml:space="preserve">Teardown; pack #2 disassembly</w:t>
            </w:r>
          </w:p>
        </w:tc>
        <w:tc>
          <w:tcPr/>
          <w:p>
            <w:pPr>
              <w:pStyle w:val="Compact"/>
            </w:pPr>
            <w:r>
              <w:t xml:space="preserve">15 Jun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#2 (V2)</w:t>
            </w:r>
          </w:p>
        </w:tc>
        <w:tc>
          <w:tcPr/>
          <w:p>
            <w:pPr>
              <w:pStyle w:val="Compact"/>
            </w:pPr>
            <w:r>
              <w:t xml:space="preserve">V2 design; assembly; SoC-cable repair &amp; full charge</w:t>
            </w:r>
          </w:p>
        </w:tc>
        <w:tc>
          <w:tcPr/>
          <w:p>
            <w:pPr>
              <w:pStyle w:val="Compact"/>
            </w:pPr>
            <w:r>
              <w:t xml:space="preserve">16, 17, 18 Jun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Actuator swaps</w:t>
            </w:r>
          </w:p>
        </w:tc>
        <w:tc>
          <w:tcPr/>
          <w:p>
            <w:pPr>
              <w:pStyle w:val="Compact"/>
            </w:pPr>
            <w:r>
              <w:t xml:space="preserve">Driver &amp; cable swaps</w:t>
            </w:r>
          </w:p>
        </w:tc>
        <w:tc>
          <w:tcPr/>
          <w:p>
            <w:pPr>
              <w:pStyle w:val="Compact"/>
            </w:pPr>
            <w:r>
              <w:t xml:space="preserve">18, 19 Jun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 disassembly</w:t>
            </w:r>
          </w:p>
        </w:tc>
        <w:tc>
          <w:tcPr/>
          <w:p>
            <w:pPr>
              <w:pStyle w:val="Compact"/>
            </w:pPr>
            <w:r>
              <w:t xml:space="preserve">Secondary encoder identified</w:t>
            </w:r>
          </w:p>
        </w:tc>
        <w:tc>
          <w:tcPr/>
          <w:p>
            <w:pPr>
              <w:pStyle w:val="Compact"/>
            </w:pPr>
            <w:r>
              <w:t xml:space="preserve">25 Jun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Output-encoder swap</w:t>
            </w:r>
          </w:p>
        </w:tc>
        <w:tc>
          <w:tcPr/>
          <w:p>
            <w:pPr>
              <w:pStyle w:val="Compact"/>
            </w:pPr>
            <w:r>
              <w:t xml:space="preserve">PCB-only swap; ROM/offset measurement</w:t>
            </w:r>
          </w:p>
        </w:tc>
        <w:tc>
          <w:tcPr/>
          <w:p>
            <w:pPr>
              <w:pStyle w:val="Compact"/>
            </w:pPr>
            <w:r>
              <w:t xml:space="preserve">30 Jun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Encoder electrical RE</w:t>
            </w:r>
          </w:p>
        </w:tc>
        <w:tc>
          <w:tcPr/>
          <w:p>
            <w:pPr>
              <w:pStyle w:val="Compact"/>
            </w:pPr>
            <w:r>
              <w:t xml:space="preserve">EEPROM decode; routing; bench read attempt</w:t>
            </w:r>
          </w:p>
        </w:tc>
        <w:tc>
          <w:tcPr/>
          <w:p>
            <w:pPr>
              <w:pStyle w:val="Compact"/>
            </w:pPr>
            <w:r>
              <w:t xml:space="preserve">Jun-16 Jul</w:t>
            </w:r>
          </w:p>
        </w:tc>
      </w:tr>
    </w:tbl>
    <w:bookmarkEnd w:id="144"/>
    <w:bookmarkStart w:id="145" w:name="Xff1d4ff358a7cb10ed1b03ade0af59cdd769805"/>
    <w:p>
      <w:pPr>
        <w:pStyle w:val="Heading2"/>
      </w:pPr>
      <w:r>
        <w:t xml:space="preserve">Appendix B — iC-MU EEPROM configuration register map</w:t>
      </w:r>
    </w:p>
    <w:p>
      <w:pPr>
        <w:pStyle w:val="FirstParagraph"/>
      </w:pPr>
      <w:r>
        <w:t xml:space="preserve">Full annotated decode of the external configuration EEPROM against the iC-MU datasheet [5]. Raw</w:t>
      </w:r>
      <w:r>
        <w:t xml:space="preserve"> </w:t>
      </w:r>
      <w:r>
        <w:t xml:space="preserve">dump (hex), addresses</w:t>
      </w:r>
      <w:r>
        <w:t xml:space="preserve"> </w:t>
      </w:r>
      <w:r>
        <w:rPr>
          <w:rStyle w:val="VerbatimChar"/>
        </w:rPr>
        <w:t xml:space="preserve">0x00</w:t>
      </w:r>
      <w:r>
        <w:t xml:space="preserve">-</w:t>
      </w:r>
      <w:r>
        <w:rPr>
          <w:rStyle w:val="VerbatimChar"/>
        </w:rPr>
        <w:t xml:space="preserve">0x3F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00000000 00 00 00 00 00 88 00 00 00 00 00 07 00 00 14 05</w:t>
      </w:r>
      <w:r>
        <w:br/>
      </w:r>
      <w:r>
        <w:rPr>
          <w:rStyle w:val="VerbatimChar"/>
        </w:rPr>
        <w:t xml:space="preserve">00000010 00 4e 20 ff 0f 13 10 02 00 00 00 00 00 00 00 00</w:t>
      </w:r>
      <w:r>
        <w:br/>
      </w:r>
      <w:r>
        <w:rPr>
          <w:rStyle w:val="VerbatimChar"/>
        </w:rPr>
        <w:t xml:space="preserve">00000020 00 52 a8 ff ff ff ff ff ff ff ff ff ff ff ff ff</w:t>
      </w:r>
      <w:r>
        <w:br/>
      </w:r>
      <w:r>
        <w:rPr>
          <w:rStyle w:val="VerbatimChar"/>
        </w:rPr>
        <w:t xml:space="preserve">00000030 00 00 00 00 00 00 00 00 4d 55 07 00 00 00 69 43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Register / fields</w:t>
            </w:r>
          </w:p>
        </w:tc>
        <w:tc>
          <w:tcPr/>
          <w:p>
            <w:pPr>
              <w:pStyle w:val="Compact"/>
            </w:pPr>
            <w:r>
              <w:t xml:space="preserve">Decoded setting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GC_M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GF_M</w:t>
            </w:r>
          </w:p>
        </w:tc>
        <w:tc>
          <w:tcPr/>
          <w:p>
            <w:pPr>
              <w:pStyle w:val="Compact"/>
            </w:pPr>
            <w:r>
              <w:t xml:space="preserve">Master coarse/fine gain 0 (ignored, amplitude control enabled).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GX_M</w:t>
            </w:r>
          </w:p>
        </w:tc>
        <w:tc>
          <w:tcPr/>
          <w:p>
            <w:pPr>
              <w:pStyle w:val="Compact"/>
            </w:pPr>
            <w:r>
              <w:t xml:space="preserve">Master cosine gain adjust = 1.000.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VOSS_M</w:t>
            </w:r>
          </w:p>
        </w:tc>
        <w:tc>
          <w:tcPr/>
          <w:p>
            <w:pPr>
              <w:pStyle w:val="Compact"/>
            </w:pPr>
            <w:r>
              <w:t xml:space="preserve">Master sine offset = 0 mV.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VOSC_M</w:t>
            </w:r>
          </w:p>
        </w:tc>
        <w:tc>
          <w:tcPr/>
          <w:p>
            <w:pPr>
              <w:pStyle w:val="Compact"/>
            </w:pPr>
            <w:r>
              <w:t xml:space="preserve">Master cosine offset = 0 mV.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PH_M</w:t>
            </w:r>
          </w:p>
        </w:tc>
        <w:tc>
          <w:tcPr/>
          <w:p>
            <w:pPr>
              <w:pStyle w:val="Compact"/>
            </w:pPr>
            <w:r>
              <w:t xml:space="preserve">Master phase adjust = 0°.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ENAC=1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CIBM=8</w:t>
            </w:r>
          </w:p>
        </w:tc>
        <w:tc>
          <w:tcPr/>
          <w:p>
            <w:pPr>
              <w:pStyle w:val="Compact"/>
            </w:pPr>
            <w:r>
              <w:t xml:space="preserve">Amplitude control active; bias-current trim nominal 0%.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GC_N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GF_N</w:t>
            </w:r>
          </w:p>
        </w:tc>
        <w:tc>
          <w:tcPr/>
          <w:p>
            <w:pPr>
              <w:pStyle w:val="Compact"/>
            </w:pPr>
            <w:r>
              <w:t xml:space="preserve">Nonius coarse/fine gain 0 (ignored).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GX_N</w:t>
            </w:r>
          </w:p>
        </w:tc>
        <w:tc>
          <w:tcPr/>
          <w:p>
            <w:pPr>
              <w:pStyle w:val="Compact"/>
            </w:pPr>
            <w:r>
              <w:t xml:space="preserve">Nonius cosine gain adjust = 1.000.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VOSS_N</w:t>
            </w:r>
          </w:p>
        </w:tc>
        <w:tc>
          <w:tcPr/>
          <w:p>
            <w:pPr>
              <w:pStyle w:val="Compact"/>
            </w:pPr>
            <w:r>
              <w:t xml:space="preserve">Nonius sine offset = 0 mV.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VOSC_N</w:t>
            </w:r>
          </w:p>
        </w:tc>
        <w:tc>
          <w:tcPr/>
          <w:p>
            <w:pPr>
              <w:pStyle w:val="Compact"/>
            </w:pPr>
            <w:r>
              <w:t xml:space="preserve">Nonius cosine offset = 0 mV.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PH_N</w:t>
            </w:r>
          </w:p>
        </w:tc>
        <w:tc>
          <w:tcPr/>
          <w:p>
            <w:pPr>
              <w:pStyle w:val="Compact"/>
            </w:pPr>
            <w:r>
              <w:t xml:space="preserve">Nonius phase adjust = 0°.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MODEA=7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MODEB=0</w:t>
            </w:r>
          </w:p>
        </w:tc>
        <w:tc>
          <w:tcPr/>
          <w:p>
            <w:pPr>
              <w:pStyle w:val="Compact"/>
            </w:pPr>
            <w:r>
              <w:t xml:space="preserve">Port A = ExtSSI (NPRES/MA/SLI/SLO); Port B = ABZ (A/B/Z/NER).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CFGEW</w:t>
            </w:r>
          </w:p>
        </w:tc>
        <w:tc>
          <w:tcPr/>
          <w:p>
            <w:pPr>
              <w:pStyle w:val="Compact"/>
            </w:pPr>
            <w:r>
              <w:t xml:space="preserve">All error/warning messages enabled.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NCHK_CRC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NCHK_NON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ACRM_RES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EMTD</w:t>
            </w:r>
          </w:p>
        </w:tc>
        <w:tc>
          <w:tcPr/>
          <w:p>
            <w:pPr>
              <w:pStyle w:val="Compact"/>
            </w:pPr>
            <w:r>
              <w:t xml:space="preserve">Actual (non-accumulated) status; cyclic CRC + nonius verification active; no auto-reset; min error-display time 0 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FILT=4</w:t>
            </w:r>
          </w:p>
        </w:tc>
        <w:tc>
          <w:tcPr/>
          <w:p>
            <w:pPr>
              <w:pStyle w:val="Compact"/>
            </w:pPr>
            <w:r>
              <w:t xml:space="preserve">Linear/radial scanning; FILT4 = 39 dB suppression, 14-bit interpolation.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MPC=5</w:t>
            </w:r>
          </w:p>
        </w:tc>
        <w:tc>
          <w:tcPr/>
          <w:p>
            <w:pPr>
              <w:pStyle w:val="Compact"/>
            </w:pPr>
            <w:r>
              <w:t xml:space="preserve">32 master / 31 nonius periods; ≤19-bit absolute resolution.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*_MT</w:t>
            </w:r>
          </w:p>
        </w:tc>
        <w:tc>
          <w:tcPr/>
          <w:p>
            <w:pPr>
              <w:pStyle w:val="Compact"/>
            </w:pPr>
            <w:r>
              <w:t xml:space="preserve">No external multiturn data; MT chain/verification disabled.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OUT_ZERO=2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OUT_MSB=14</w:t>
            </w:r>
          </w:p>
        </w:tc>
        <w:tc>
          <w:tcPr/>
          <w:p>
            <w:pPr>
              <w:pStyle w:val="Compact"/>
            </w:pPr>
            <w:r>
              <w:t xml:space="preserve">Serial output inserts 2 zero bits; output MSB = user-data bit 27.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MODE_ST=2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Binary output, no SSI ring; raw master/nonius track data; LSB = bit 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0x13-0x14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 0F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RESABZ=0x0FFF</w:t>
            </w:r>
          </w:p>
        </w:tc>
        <w:tc>
          <w:tcPr/>
          <w:p>
            <w:pPr>
              <w:pStyle w:val="Compact"/>
            </w:pPr>
            <w:r>
              <w:t xml:space="preserve">ABZ / FlexCount resolution = (0x0FFF + 1) × 4 = 16 384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SS_AB=1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FRQAB=3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AB step 1; startup counting visible; AB limit ≈ 781.25 kHz (320 ns edge distance).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CHYS_AB=1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PP60UVW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INV_*</w:t>
            </w:r>
          </w:p>
        </w:tc>
        <w:tc>
          <w:tcPr/>
          <w:p>
            <w:pPr>
              <w:pStyle w:val="Compact"/>
            </w:pPr>
            <w:r>
              <w:t xml:space="preserve">Z index = 90°; AB hysteresis 0.175°; UVW 120°; A/B/Z not inverted.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RPL=0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PPUVW=2</w:t>
            </w:r>
          </w:p>
        </w:tc>
        <w:tc>
          <w:tcPr/>
          <w:p>
            <w:pPr>
              <w:pStyle w:val="Compact"/>
            </w:pPr>
            <w:r>
              <w:t xml:space="preserve">Config mode, no restriction; UVW commutation = 1 pole pair.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Normal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0x19-0x20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SPO_BASE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SPO_0…14</w:t>
            </w:r>
          </w:p>
        </w:tc>
        <w:tc>
          <w:tcPr/>
          <w:p>
            <w:pPr>
              <w:pStyle w:val="Compact"/>
            </w:pPr>
            <w:r>
              <w:t xml:space="preserve">Nonius track-offset slopes all zero.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0x21-0x22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52 A8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CRC16</w:t>
            </w:r>
          </w:p>
        </w:tc>
        <w:tc>
          <w:tcPr/>
          <w:p>
            <w:pPr>
              <w:pStyle w:val="Compact"/>
            </w:pPr>
            <w:r>
              <w:t xml:space="preserve">0x52A8, matches CRC over config ranges 0x00-0x20, 0x30-0x3F.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0x23-0x27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OFF_ABZ</w:t>
            </w:r>
          </w:p>
        </w:tc>
        <w:tc>
          <w:tcPr/>
          <w:p>
            <w:pPr>
              <w:pStyle w:val="Compact"/>
            </w:pPr>
            <w:r>
              <w:t xml:space="preserve">Absolute-output offset block reads erased (unused).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0x28-0x29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 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OFF_UVW</w:t>
            </w:r>
          </w:p>
        </w:tc>
        <w:tc>
          <w:tcPr/>
          <w:p>
            <w:pPr>
              <w:pStyle w:val="Compact"/>
            </w:pPr>
            <w:r>
              <w:t xml:space="preserve">UVW offset reads erased.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0x2A-0x2E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PRES_POS</w:t>
            </w:r>
          </w:p>
        </w:tc>
        <w:tc>
          <w:tcPr/>
          <w:p>
            <w:pPr>
              <w:pStyle w:val="Compact"/>
            </w:pPr>
            <w:r>
              <w:t xml:space="preserve">Preset position reads erased.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CRC8</w:t>
            </w:r>
          </w:p>
        </w:tc>
        <w:tc>
          <w:tcPr/>
          <w:p>
            <w:pPr>
              <w:pStyle w:val="Compact"/>
            </w:pPr>
            <w:r>
              <w:t xml:space="preserve">Does not match posted offset/preset bytes (block unused).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PA0_CONF</w:t>
            </w:r>
          </w:p>
        </w:tc>
        <w:tc>
          <w:tcPr/>
          <w:p>
            <w:pPr>
              <w:pStyle w:val="Compact"/>
            </w:pPr>
            <w:r>
              <w:t xml:space="preserve">Falling edge on NPRES = NO_FUNCTION.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EDSBANK</w:t>
            </w:r>
          </w:p>
        </w:tc>
        <w:tc>
          <w:tcPr/>
          <w:p>
            <w:pPr>
              <w:pStyle w:val="Compact"/>
            </w:pPr>
            <w:r>
              <w:t xml:space="preserve">No EDS.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0x32-0x33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00 00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PROFILE_ID</w:t>
            </w:r>
          </w:p>
        </w:tc>
        <w:tc>
          <w:tcPr/>
          <w:p>
            <w:pPr>
              <w:pStyle w:val="Compact"/>
            </w:pPr>
            <w:r>
              <w:t xml:space="preserve">0x0000.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0x34-0x37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0x00000000.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0x38-0x3D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4D 55 07 00 00 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DEV_ID</w:t>
            </w:r>
          </w:p>
        </w:tc>
        <w:tc>
          <w:tcPr/>
          <w:p>
            <w:pPr>
              <w:pStyle w:val="Compact"/>
            </w:pPr>
            <w:r>
              <w:t xml:space="preserve">ASCII</w:t>
            </w:r>
            <w:r>
              <w:t xml:space="preserve"> </w:t>
            </w:r>
            <w:r>
              <w:t xml:space="preserve">“MU”</w:t>
            </w:r>
            <w:r>
              <w:t xml:space="preserve">, then 0x07 00 00 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0x3E-0x3F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69 43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MFG_ID</w:t>
            </w:r>
          </w:p>
        </w:tc>
        <w:tc>
          <w:tcPr/>
          <w:p>
            <w:pPr>
              <w:pStyle w:val="Compact"/>
            </w:pPr>
            <w:r>
              <w:t xml:space="preserve">0x6943 = ASCII</w:t>
            </w:r>
            <w:r>
              <w:t xml:space="preserve"> </w:t>
            </w:r>
            <w:r>
              <w:t xml:space="preserve">“iC”</w:t>
            </w:r>
            <w:r>
              <w:t xml:space="preserve"> </w:t>
            </w:r>
            <w:r>
              <w:t xml:space="preserve">(iC-Haus).</w:t>
            </w:r>
          </w:p>
        </w:tc>
      </w:tr>
    </w:tbl>
    <w:bookmarkEnd w:id="145"/>
    <w:bookmarkStart w:id="149" w:name="appendix-c-encoder-board-pinout"/>
    <w:p>
      <w:pPr>
        <w:pStyle w:val="Heading2"/>
      </w:pPr>
      <w:r>
        <w:t xml:space="preserve">Appendix C — Encoder-board pinout</w:t>
      </w:r>
    </w:p>
    <w:p>
      <w:pPr>
        <w:pStyle w:val="FirstParagraph"/>
      </w:pPr>
      <w:r>
        <w:t xml:space="preserve">See Figure 28 and Table 6 for the ExtSSI wiring, and Figure 29 for the connector-flex test pads</w:t>
      </w:r>
      <w:r>
        <w:t xml:space="preserve"> </w:t>
      </w:r>
      <w:r>
        <w:t xml:space="preserve">(the transceiver’s</w:t>
      </w:r>
      <w:r>
        <w:t xml:space="preserve"> </w:t>
      </w:r>
      <w:r>
        <w:rPr>
          <w:rStyle w:val="VerbatimChar"/>
        </w:rPr>
        <w:t xml:space="preserve">A/B/Y/Z</w:t>
      </w:r>
      <w:r>
        <w:t xml:space="preserve"> </w:t>
      </w:r>
      <w:r>
        <w:t xml:space="preserve">differential pairs plus +5 V and ground) used for the bench read</w:t>
      </w:r>
      <w:r>
        <w:t xml:space="preserve"> </w:t>
      </w:r>
      <w:r>
        <w:t xml:space="preserve">attempt of Section 7.</w:t>
      </w:r>
    </w:p>
    <w:p>
      <w:pPr>
        <w:pStyle w:val="BodyText"/>
      </w:pPr>
      <w:r>
        <w:drawing>
          <wp:inline>
            <wp:extent cx="3200400" cy="1542254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.build-assets/data_electrical_assets_testpads-connectio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542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29 —</w:t>
      </w:r>
      <w:r>
        <w:t xml:space="preserve"> </w:t>
      </w:r>
      <w:r>
        <w:t xml:space="preserve">The connector-flex test pads, mapping to the transceiver’s A/B/Y/Z outputs and</w:t>
      </w:r>
      <w:r>
        <w:t xml:space="preserve"> </w:t>
      </w:r>
      <w:r>
        <w:t xml:space="preserve">the encoder supply rails.</w:t>
      </w:r>
    </w:p>
    <w:bookmarkEnd w:id="149"/>
    <w:bookmarkStart w:id="153" w:name="X99bce25a4be648d2614eec59e645aeb6dd3f67e"/>
    <w:p>
      <w:pPr>
        <w:pStyle w:val="Heading2"/>
      </w:pPr>
      <w:r>
        <w:t xml:space="preserve">Appendix D — DB25 payload-port cover pin shorts</w:t>
      </w:r>
    </w:p>
    <w:p>
      <w:pPr>
        <w:pStyle w:val="FirstParagraph"/>
      </w:pPr>
      <w:r>
        <w:t xml:space="preserve">The four sets of pins shorted inside the OEM payload-port cover, reverse-engineered by continuity</w:t>
      </w:r>
      <w:r>
        <w:t xml:space="preserve"> </w:t>
      </w:r>
      <w:r>
        <w:t xml:space="preserve">probing and replicated on the open port to bypass the cover-detection lockout (Section 7).</w:t>
      </w:r>
    </w:p>
    <w:p>
      <w:pPr>
        <w:pStyle w:val="BodyText"/>
      </w:pPr>
      <w:r>
        <w:drawing>
          <wp:inline>
            <wp:extent cx="3200400" cy="1480814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.build-assets/data_electrical_assets_db25-cover-shorts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80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33 —</w:t>
      </w:r>
      <w:r>
        <w:t xml:space="preserve"> </w:t>
      </w:r>
      <w:r>
        <w:t xml:space="preserve">The DB25 payload-port cover pin shorts. Replicating these four shorts on the open</w:t>
      </w:r>
      <w:r>
        <w:t xml:space="preserve"> </w:t>
      </w:r>
      <w:r>
        <w:t xml:space="preserve">port clears the</w:t>
      </w:r>
      <w:r>
        <w:t xml:space="preserve"> </w:t>
      </w:r>
      <w:r>
        <w:t xml:space="preserve">“uncovered payload port”</w:t>
      </w:r>
      <w:r>
        <w:t xml:space="preserve"> </w:t>
      </w:r>
      <w:r>
        <w:t xml:space="preserve">motor-power lockout.</w:t>
      </w:r>
    </w:p>
    <w:bookmarkEnd w:id="153"/>
    <w:bookmarkStart w:id="154" w:name="appendix-e-battery-cad-iterations"/>
    <w:p>
      <w:pPr>
        <w:pStyle w:val="Heading2"/>
      </w:pPr>
      <w:r>
        <w:t xml:space="preserve">Appendix E — Battery CAD iterations</w:t>
      </w:r>
    </w:p>
    <w:p>
      <w:pPr>
        <w:pStyle w:val="FirstParagraph"/>
      </w:pPr>
      <w:r>
        <w:t xml:space="preserve">The V1 cell spacer (Figure 8) reproduced the irregular OEM cell positions in PC-CF. The V2</w:t>
      </w:r>
      <w:r>
        <w:t xml:space="preserve"> </w:t>
      </w:r>
      <w:r>
        <w:t xml:space="preserve">brackets (Figure 18) added bracing, OEM-derived spacer positions, ABS-GF construction and</w:t>
      </w:r>
      <w:r>
        <w:t xml:space="preserve"> </w:t>
      </w:r>
      <w:r>
        <w:t xml:space="preserve">captured-nut BMS mounting, and are compared against the cleaner pack #2 weld result in Figure 19.</w:t>
      </w:r>
    </w:p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0" Target="media/rId150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46" Target="media/rId146.png" /><Relationship Type="http://schemas.openxmlformats.org/officeDocument/2006/relationships/image" Id="rId39" Target="media/rId39.jpg" /><Relationship Type="http://schemas.openxmlformats.org/officeDocument/2006/relationships/image" Id="rId68" Target="media/rId68.jpg" /><Relationship Type="http://schemas.openxmlformats.org/officeDocument/2006/relationships/image" Id="rId87" Target="media/rId87.jpg" /><Relationship Type="http://schemas.openxmlformats.org/officeDocument/2006/relationships/image" Id="rId71" Target="media/rId71.jpg" /><Relationship Type="http://schemas.openxmlformats.org/officeDocument/2006/relationships/image" Id="rId28" Target="media/rId28.jpg" /><Relationship Type="http://schemas.openxmlformats.org/officeDocument/2006/relationships/image" Id="rId65" Target="media/rId65.jpg" /><Relationship Type="http://schemas.openxmlformats.org/officeDocument/2006/relationships/image" Id="rId75" Target="media/rId75.png" /><Relationship Type="http://schemas.openxmlformats.org/officeDocument/2006/relationships/image" Id="rId49" Target="media/rId49.jpg" /><Relationship Type="http://schemas.openxmlformats.org/officeDocument/2006/relationships/image" Id="rId31" Target="media/rId31.jpg" /><Relationship Type="http://schemas.openxmlformats.org/officeDocument/2006/relationships/image" Id="rId95" Target="media/rId95.jpg" /><Relationship Type="http://schemas.openxmlformats.org/officeDocument/2006/relationships/image" Id="rId53" Target="media/rId53.png" /><Relationship Type="http://schemas.openxmlformats.org/officeDocument/2006/relationships/image" Id="rId15" Target="media/rId15.jpg" /><Relationship Type="http://schemas.openxmlformats.org/officeDocument/2006/relationships/image" Id="rId21" Target="media/rId21.jpg" /><Relationship Type="http://schemas.openxmlformats.org/officeDocument/2006/relationships/image" Id="rId25" Target="media/rId25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30" Target="media/rId130.jpg" /><Relationship Type="http://schemas.openxmlformats.org/officeDocument/2006/relationships/image" Id="rId59" Target="media/rId59.jpg" /><Relationship Type="http://schemas.openxmlformats.org/officeDocument/2006/relationships/image" Id="rId106" Target="media/rId106.jpg" /><Relationship Type="http://schemas.openxmlformats.org/officeDocument/2006/relationships/image" Id="rId84" Target="media/rId84.jpg" /><Relationship Type="http://schemas.openxmlformats.org/officeDocument/2006/relationships/image" Id="rId46" Target="media/rId46.jpg" /><Relationship Type="http://schemas.openxmlformats.org/officeDocument/2006/relationships/image" Id="rId133" Target="media/rId133.jpg" /><Relationship Type="http://schemas.openxmlformats.org/officeDocument/2006/relationships/image" Id="rId62" Target="media/rId62.jpg" /><Relationship Type="http://schemas.openxmlformats.org/officeDocument/2006/relationships/image" Id="rId56" Target="media/rId56.jpg" /><Relationship Type="http://schemas.openxmlformats.org/officeDocument/2006/relationships/image" Id="rId81" Target="media/rId81.jpg" /><Relationship Type="http://schemas.openxmlformats.org/officeDocument/2006/relationships/image" Id="rId110" Target="media/rId110.jpg" /><Relationship Type="http://schemas.openxmlformats.org/officeDocument/2006/relationships/image" Id="rId18" Target="media/rId18.jpg" /><Relationship Type="http://schemas.openxmlformats.org/officeDocument/2006/relationships/image" Id="rId103" Target="media/rId103.jpg" /><Relationship Type="http://schemas.openxmlformats.org/officeDocument/2006/relationships/image" Id="rId78" Target="media/rId78.jpg" /><Relationship Type="http://schemas.openxmlformats.org/officeDocument/2006/relationships/image" Id="rId92" Target="media/rId92.jpg" /><Relationship Type="http://schemas.openxmlformats.org/officeDocument/2006/relationships/image" Id="rId127" Target="media/rId127.png" /><Relationship Type="http://schemas.openxmlformats.org/officeDocument/2006/relationships/image" Id="rId34" Target="media/rId34.jpg" /><Relationship Type="http://schemas.openxmlformats.org/officeDocument/2006/relationships/image" Id="rId43" Target="media/rId4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Power-System Rebuild and Hardware Reverse-Engineering of a Spot Hip Actuator</dc:title>
  <dc:creator>Yizhang [full name — TBC] · [Matriculation No. — TBC]</dc:creator>
  <dc:language>en</dc:language>
  <cp:keywords/>
  <dcterms:created xsi:type="dcterms:W3CDTF">2026-07-20T16:34:36Z</dcterms:created>
  <dcterms:modified xsi:type="dcterms:W3CDTF">2026-07-20T16:34:36Z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AY2025/2026 Special Term</vt:lpwstr>
  </property>
  <property fmtid="{D5CDD505-2E9C-101B-9397-08002B2CF9AE}" pid="3" name="subtitle">
    <vt:lpwstr>CDE2605 Undergraduate Research Opportunities Programme (UROP) · AY2025/2026 Special Term</vt:lpwstr>
  </property>
</Properties>
</file>