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500"/>
              <w:left w:type="dxa" w:w="400"/>
              <w:bottom w:type="dxa" w:w="500"/>
              <w:right w:type="dxa" w:w="400"/>
            </w:tcMar>
          </w:tcPr>
          <w:p>
            <w:pPr>
              <w:spacing w:after="80" w:before="0"/>
              <w:jc w:val="center"/>
            </w:pPr>
            <w:r>
              <w:rPr>
                <w:rFonts w:ascii="Arial" w:cs="Arial" w:eastAsia="Arial" w:hAnsi="Arial"/>
                <w:b/>
                <w:bCs/>
                <w:color w:val="ADD8F7"/>
                <w:sz w:val="20"/>
                <w:szCs w:val="20"/>
              </w:rPr>
              <w:t xml:space="preserve">CAIXA ECONÔMICA FEDERAL</w:t>
            </w:r>
          </w:p>
          <w:p>
            <w:pPr>
              <w:spacing w:after="200" w:before="0"/>
              <w:jc w:val="center"/>
            </w:pPr>
            <w:r>
              <w:rPr>
                <w:rFonts w:ascii="Arial" w:cs="Arial" w:eastAsia="Arial" w:hAnsi="Arial"/>
                <w:b/>
                <w:bCs/>
                <w:color w:val="F47920"/>
                <w:sz w:val="22"/>
                <w:szCs w:val="22"/>
              </w:rPr>
              <w:t xml:space="preserve">PROPOSTA DE INOVAÇÃO INTERNA</w:t>
            </w:r>
          </w:p>
          <w:p>
            <w:pPr>
              <w:spacing w:after="40" w:before="0"/>
              <w:jc w:val="center"/>
            </w:pPr>
            <w:r>
              <w:rPr>
                <w:rFonts w:ascii="Arial" w:cs="Arial" w:eastAsia="Arial" w:hAnsi="Arial"/>
                <w:b/>
                <w:bCs/>
                <w:color w:val="FFFFFF"/>
                <w:sz w:val="46"/>
                <w:szCs w:val="46"/>
              </w:rPr>
              <w:t xml:space="preserve">Gestão Proativa de</w:t>
            </w:r>
          </w:p>
          <w:p>
            <w:pPr>
              <w:spacing w:after="80" w:before="0"/>
              <w:jc w:val="center"/>
            </w:pPr>
            <w:r>
              <w:rPr>
                <w:rFonts w:ascii="Arial" w:cs="Arial" w:eastAsia="Arial" w:hAnsi="Arial"/>
                <w:b/>
                <w:bCs/>
                <w:color w:val="FFFFFF"/>
                <w:sz w:val="46"/>
                <w:szCs w:val="46"/>
              </w:rPr>
              <w:t xml:space="preserve">Jornada Digital</w:t>
            </w:r>
          </w:p>
          <w:p>
            <w:pPr>
              <w:spacing w:after="300" w:before="0"/>
              <w:jc w:val="center"/>
            </w:pPr>
            <w:r>
              <w:rPr>
                <w:rFonts w:ascii="Arial" w:cs="Arial" w:eastAsia="Arial" w:hAnsi="Arial"/>
                <w:b/>
                <w:bCs/>
                <w:color w:val="F47920"/>
                <w:sz w:val="24"/>
                <w:szCs w:val="24"/>
              </w:rPr>
              <w:t xml:space="preserve">Hard Lockout com Pré-Autorização por Período</w:t>
            </w:r>
          </w:p>
          <w:p>
            <w:pPr>
              <w:spacing w:after="60" w:before="0"/>
              <w:jc w:val="center"/>
            </w:pPr>
            <w:r>
              <w:rPr>
                <w:rFonts w:ascii="Arial" w:cs="Arial" w:eastAsia="Arial" w:hAnsi="Arial"/>
                <w:color w:val="FFFFFF"/>
                <w:sz w:val="20"/>
                <w:szCs w:val="20"/>
              </w:rPr>
              <w:t xml:space="preserve">Proponente: Egnaldo Dias da Silva</w:t>
            </w:r>
          </w:p>
          <w:p>
            <w:pPr>
              <w:spacing w:after="60" w:before="0"/>
              <w:jc w:val="center"/>
            </w:pPr>
            <w:r>
              <w:rPr>
                <w:rFonts w:ascii="Arial" w:cs="Arial" w:eastAsia="Arial" w:hAnsi="Arial"/>
                <w:color w:val="ADD8F7"/>
                <w:sz w:val="20"/>
                <w:szCs w:val="20"/>
              </w:rPr>
              <w:t xml:space="preserve">Gerente Geral | Agência Serra Talhada/PE</w:t>
            </w:r>
          </w:p>
          <w:p>
            <w:pPr>
              <w:spacing w:after="0" w:before="0"/>
              <w:jc w:val="center"/>
            </w:pPr>
            <w:r>
              <w:rPr>
                <w:rFonts w:ascii="Arial" w:cs="Arial" w:eastAsia="Arial" w:hAnsi="Arial"/>
                <w:i/>
                <w:iCs/>
                <w:color w:val="ADD8F7"/>
                <w:sz w:val="18"/>
                <w:szCs w:val="18"/>
              </w:rPr>
              <w:t xml:space="preserve">Março de 2026</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1. SUMÁRIO EXECUTIVO</w:t>
            </w:r>
          </w:p>
        </w:tc>
      </w:tr>
    </w:tbl>
    <w:p>
      <w:pPr>
        <w:spacing w:after="60" w:before="0"/>
      </w:pPr>
      <w:r>
        <w:t xml:space="preserve"/>
      </w:r>
    </w:p>
    <w:p>
      <w:pPr>
        <w:spacing w:after="60" w:before="60"/>
        <w:jc w:val="both"/>
      </w:pPr>
      <w:r>
        <w:rPr>
          <w:rFonts w:ascii="Arial" w:cs="Arial" w:eastAsia="Arial" w:hAnsi="Arial"/>
          <w:color w:val="2D2D2D"/>
          <w:sz w:val="20"/>
          <w:szCs w:val="20"/>
        </w:rPr>
        <w:t xml:space="preserve">A presente proposta tem como objetivo apresentar à Diretoria de Gestão de Pessoas e Tecnologia da Caixa Econômica Federal um modelo inovador de controle de jornada digital denominado Gestão Proativa de Jornada Digital — Hard Lockout com Pré-Autorização por Período.</w:t>
      </w:r>
    </w:p>
    <w:p>
      <w:pPr>
        <w:spacing w:after="60" w:before="0"/>
      </w:pPr>
      <w:r>
        <w:t xml:space="preserve"/>
      </w:r>
    </w:p>
    <w:p>
      <w:pPr>
        <w:spacing w:after="60" w:before="60"/>
        <w:jc w:val="both"/>
      </w:pPr>
      <w:r>
        <w:rPr>
          <w:rFonts w:ascii="Arial" w:cs="Arial" w:eastAsia="Arial" w:hAnsi="Arial"/>
          <w:color w:val="2D2D2D"/>
          <w:sz w:val="20"/>
          <w:szCs w:val="20"/>
        </w:rPr>
        <w:t xml:space="preserve">O modelo proposto institui um mecanismo automatizado de bloqueio preventivo (Hard Lockout) das estações de trabalho ao atingir o limite de horas previsto na escala do empregado, com possibilidade de extensão mediante pré-autorização formal no sistema de gestão de jornada. A iniciativa nasce de evidência empírica colhida na Agência Serra Talhada/PE: um único episódio de horas extras não autorizadas gerou custo extraordinário de R$2.000,00 em uma unidade de 25 funcionários.</w:t>
      </w:r>
    </w:p>
    <w:p>
      <w:pPr>
        <w:spacing w:after="60" w:before="0"/>
      </w:pPr>
      <w:r>
        <w:t xml:space="preserve"/>
      </w:r>
    </w:p>
    <w:p>
      <w:pPr>
        <w:spacing w:after="60" w:before="60"/>
        <w:jc w:val="both"/>
      </w:pPr>
      <w:r>
        <w:rPr>
          <w:rFonts w:ascii="Arial" w:cs="Arial" w:eastAsia="Arial" w:hAnsi="Arial"/>
          <w:color w:val="2D2D2D"/>
          <w:sz w:val="20"/>
          <w:szCs w:val="20"/>
        </w:rPr>
        <w:t xml:space="preserve">Projetando esse custo unitário para a rede completa de 3.500 agências da Caixa, o potencial de economia anual chega a R$42 milhões, tornando esta proposta financeiramente relevante mesmo em cenário conservador de redução de 50% das ocorrências.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2. CONTEXTO E JUSTIFICATIVA</w:t>
            </w:r>
          </w:p>
        </w:tc>
      </w:tr>
    </w:tbl>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2.1 Diagnóstico do Problema</w:t>
      </w:r>
    </w:p>
    <w:p>
      <w:pPr>
        <w:spacing w:after="60" w:before="60"/>
        <w:jc w:val="both"/>
      </w:pPr>
      <w:r>
        <w:rPr>
          <w:rFonts w:ascii="Arial" w:cs="Arial" w:eastAsia="Arial" w:hAnsi="Arial"/>
          <w:color w:val="2D2D2D"/>
          <w:sz w:val="20"/>
          <w:szCs w:val="20"/>
        </w:rPr>
        <w:t xml:space="preserve">O controle de jornada no ambiente bancário é objeto de permanente tensão entre a necessidade operacional e os limites legais impostos pela CLT e pelos acordos coletivos da categoria. Na Caixa Econômica Federal, a complexidade é amplificada pela capilaridade da rede — 3.500 agências em todo o território nacional — e pela heterogeneidade dos perfis de atendimento, que inclui caixas, gerentes de relacionamento, técnicos de TI e analistas de back-office.</w:t>
      </w:r>
    </w:p>
    <w:p>
      <w:pPr>
        <w:spacing w:after="60" w:before="0"/>
      </w:pPr>
      <w:r>
        <w:t xml:space="preserve"/>
      </w:r>
    </w:p>
    <w:p>
      <w:pPr>
        <w:spacing w:after="60" w:before="60"/>
        <w:jc w:val="both"/>
      </w:pPr>
      <w:r>
        <w:rPr>
          <w:rFonts w:ascii="Arial" w:cs="Arial" w:eastAsia="Arial" w:hAnsi="Arial"/>
          <w:color w:val="2D2D2D"/>
          <w:sz w:val="20"/>
          <w:szCs w:val="20"/>
        </w:rPr>
        <w:t xml:space="preserve">Atualmente, o controle é majoritariamente passivo: o sistema registra o tempo trabalhado e, ao final do período, aponta os desvios. Esse modelo reativo gera custos trabalhistas imprevistos, desgaste nas relações com a gestão de pessoas e exposição a autuações do Ministério do Trabalho.</w:t>
      </w:r>
    </w:p>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2.2 Evidência Empírica — Caso Serra Talhada/PE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4792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Parâmetro</w:t>
            </w:r>
          </w:p>
        </w:tc>
        <w:tc>
          <w:tcPr>
            <w:tcW w:type="dxa" w:w="4680"/>
            <w:tcBorders>
              <w:top w:val="none" w:color="FFFFFF" w:sz="0"/>
              <w:left w:val="none" w:color="FFFFFF" w:sz="0"/>
              <w:bottom w:val="none" w:color="FFFFFF" w:sz="0"/>
              <w:right w:val="none" w:color="FFFFFF" w:sz="0"/>
            </w:tcBorders>
            <w:shd w:fill="F4792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Dado Real</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60"/>
              <w:bottom w:type="dxa" w:w="80"/>
              <w:right w:type="dxa" w:w="160"/>
            </w:tcMar>
          </w:tcPr>
          <w:p>
            <w:pPr>
              <w:jc w:val="left"/>
            </w:pPr>
            <w:r>
              <w:rPr>
                <w:rFonts w:ascii="Arial" w:cs="Arial" w:eastAsia="Arial" w:hAnsi="Arial"/>
                <w:b/>
                <w:bCs/>
                <w:color w:val="2D2D2D"/>
                <w:sz w:val="20"/>
                <w:szCs w:val="20"/>
              </w:rPr>
              <w:t xml:space="preserve">Custo do episódio (estouro de jornada)</w:t>
            </w:r>
          </w:p>
        </w:tc>
        <w:tc>
          <w:tcPr>
            <w:tcW w:type="dxa" w:w="4680"/>
            <w:tcBorders>
              <w:top w:val="single" w:color="CCCCCC" w:sz="1"/>
              <w:left w:val="single" w:color="CCCCCC" w:sz="1"/>
              <w:bottom w:val="single" w:color="CCCCCC" w:sz="1"/>
              <w:right w:val="single" w:color="CCCCCC" w:sz="1"/>
            </w:tcBorders>
            <w:shd w:fill="FEF0E7"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R$ 2.000,00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Número de funcionários na agência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25 colaboradores</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60"/>
              <w:bottom w:type="dxa" w:w="80"/>
              <w:right w:type="dxa" w:w="160"/>
            </w:tcMar>
          </w:tcPr>
          <w:p>
            <w:pPr>
              <w:jc w:val="left"/>
            </w:pPr>
            <w:r>
              <w:rPr>
                <w:rFonts w:ascii="Arial" w:cs="Arial" w:eastAsia="Arial" w:hAnsi="Arial"/>
                <w:b/>
                <w:bCs/>
                <w:color w:val="2D2D2D"/>
                <w:sz w:val="20"/>
                <w:szCs w:val="20"/>
              </w:rPr>
              <w:t xml:space="preserve">Impacto por funcionário</w:t>
            </w:r>
          </w:p>
        </w:tc>
        <w:tc>
          <w:tcPr>
            <w:tcW w:type="dxa" w:w="4680"/>
            <w:tcBorders>
              <w:top w:val="single" w:color="CCCCCC" w:sz="1"/>
              <w:left w:val="single" w:color="CCCCCC" w:sz="1"/>
              <w:bottom w:val="single" w:color="CCCCCC" w:sz="1"/>
              <w:right w:val="single" w:color="CCCCCC" w:sz="1"/>
            </w:tcBorders>
            <w:shd w:fill="FEF0E7"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R$ 80,00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Natureza do evento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Horas extras não autorizadas</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60"/>
              <w:bottom w:type="dxa" w:w="80"/>
              <w:right w:type="dxa" w:w="160"/>
            </w:tcMar>
          </w:tcPr>
          <w:p>
            <w:pPr>
              <w:jc w:val="left"/>
            </w:pPr>
            <w:r>
              <w:rPr>
                <w:rFonts w:ascii="Arial" w:cs="Arial" w:eastAsia="Arial" w:hAnsi="Arial"/>
                <w:b/>
                <w:bCs/>
                <w:color w:val="2D2D2D"/>
                <w:sz w:val="20"/>
                <w:szCs w:val="20"/>
              </w:rPr>
              <w:t xml:space="preserve">Resultado esperado com Hard Lockout</w:t>
            </w:r>
          </w:p>
        </w:tc>
        <w:tc>
          <w:tcPr>
            <w:tcW w:type="dxa" w:w="4680"/>
            <w:tcBorders>
              <w:top w:val="single" w:color="CCCCCC" w:sz="1"/>
              <w:left w:val="single" w:color="CCCCCC" w:sz="1"/>
              <w:bottom w:val="single" w:color="CCCCCC" w:sz="1"/>
              <w:right w:val="single" w:color="CCCCCC" w:sz="1"/>
            </w:tcBorders>
            <w:shd w:fill="FEF0E7"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Eliminação do custo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3. BENCHMARKING — BANCO DO BRASIL</w:t>
            </w:r>
          </w:p>
        </w:tc>
      </w:tr>
    </w:tbl>
    <w:p>
      <w:pPr>
        <w:spacing w:after="60" w:before="0"/>
      </w:pPr>
      <w:r>
        <w:t xml:space="preserve"/>
      </w:r>
    </w:p>
    <w:p>
      <w:pPr>
        <w:spacing w:after="60" w:before="60"/>
        <w:jc w:val="both"/>
      </w:pPr>
      <w:r>
        <w:rPr>
          <w:rFonts w:ascii="Arial" w:cs="Arial" w:eastAsia="Arial" w:hAnsi="Arial"/>
          <w:color w:val="2D2D2D"/>
          <w:sz w:val="20"/>
          <w:szCs w:val="20"/>
        </w:rPr>
        <w:t xml:space="preserve">O Banco do Brasil implementou, a partir de 2022, um sistema de gestão de jornada digital integrado ao seu ambiente Microsoft 365, com funcionalidades que incluem alertas automáticos de proximidade ao limite de jornada, bloqueio de acesso a sistemas corporativos e registro eletrônico de pré-autorizações. Os resultados reportados indicam redução significativa de litígios trabalhistas relacionados a horas extras não autorizadas.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05C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Indicador</w:t>
            </w:r>
          </w:p>
        </w:tc>
        <w:tc>
          <w:tcPr>
            <w:tcW w:type="dxa" w:w="4680"/>
            <w:tcBorders>
              <w:top w:val="none" w:color="FFFFFF" w:sz="0"/>
              <w:left w:val="none" w:color="FFFFFF" w:sz="0"/>
              <w:bottom w:val="none" w:color="FFFFFF" w:sz="0"/>
              <w:right w:val="none" w:color="FFFFFF" w:sz="0"/>
            </w:tcBorders>
            <w:shd w:fill="005C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Valor / Estimativa</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Banco do Brasil — Adoção do Hard Lockout</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2022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Plataforma base utilizada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Microsoft 365 / Power Platform</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Redução de litígios trabalhistas (estimativa)</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Expressiva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Integração com sistema de ponto eletrônico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Sim</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Possibilidade de pré-autorização digital</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Sim</w:t>
            </w:r>
          </w:p>
        </w:tc>
      </w:tr>
    </w:tbl>
    <w:p>
      <w:pPr>
        <w:spacing w:after="60" w:before="0"/>
      </w:pPr>
      <w:r>
        <w:t xml:space="preserve"/>
      </w:r>
    </w:p>
    <w:p>
      <w:pPr>
        <w:spacing w:after="60" w:before="60"/>
        <w:jc w:val="both"/>
      </w:pPr>
      <w:r>
        <w:rPr>
          <w:rFonts w:ascii="Arial" w:cs="Arial" w:eastAsia="Arial" w:hAnsi="Arial"/>
          <w:color w:val="2D2D2D"/>
          <w:sz w:val="20"/>
          <w:szCs w:val="20"/>
        </w:rPr>
        <w:t xml:space="preserve">A Caixa possui infraestrutura compatível com a do BB, incluindo licenciamento Microsoft 365, ambiente Power Platform e Microsoft Teams amplamente utilizado nas agências. A replicação do modelo é tecnicamente viável sem necessidade de investimento em novas licenças.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4. SOLUÇÃO PROPOSTA — HARD LOCKOUT COM PRÉ-AUTORIZAÇÃO</w:t>
            </w:r>
          </w:p>
        </w:tc>
      </w:tr>
    </w:tbl>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4.1 Arquitetura Funcional</w:t>
      </w:r>
    </w:p>
    <w:p>
      <w:pPr>
        <w:spacing w:after="60" w:before="60"/>
        <w:jc w:val="both"/>
      </w:pPr>
      <w:r>
        <w:rPr>
          <w:rFonts w:ascii="Arial" w:cs="Arial" w:eastAsia="Arial" w:hAnsi="Arial"/>
          <w:color w:val="2D2D2D"/>
          <w:sz w:val="20"/>
          <w:szCs w:val="20"/>
        </w:rPr>
        <w:t xml:space="preserve">O Hard Lockout com Pré-Autorização por Período funciona em três camadas integradas:</w:t>
      </w:r>
    </w:p>
    <w:p>
      <w:pPr>
        <w:spacing w:after="60" w:before="0"/>
      </w:pPr>
      <w:r>
        <w:t xml:space="preserve"/>
      </w:r>
    </w:p>
    <w:p>
      <w:pPr>
        <w:pStyle w:val="ListParagraph"/>
        <w:numPr>
          <w:ilvl w:val="0"/>
          <w:numId w:val="2"/>
        </w:numPr>
        <w:spacing w:after="40" w:before="40"/>
      </w:pPr>
      <w:r>
        <w:rPr>
          <w:rFonts w:ascii="Arial" w:cs="Arial" w:eastAsia="Arial" w:hAnsi="Arial"/>
          <w:color w:val="2D2D2D"/>
          <w:sz w:val="20"/>
          <w:szCs w:val="20"/>
        </w:rPr>
        <w:t xml:space="preserve">Camada 1 — Monitoramento em Tempo Real: integração com o sistema de ponto eletrônico (SISPAG/SIG-RH) para acompanhamento contínuo das horas trabalhadas de cada empregado.</w:t>
      </w:r>
    </w:p>
    <w:p>
      <w:pPr>
        <w:pStyle w:val="ListParagraph"/>
        <w:numPr>
          <w:ilvl w:val="0"/>
          <w:numId w:val="2"/>
        </w:numPr>
        <w:spacing w:after="40" w:before="40"/>
      </w:pPr>
      <w:r>
        <w:rPr>
          <w:rFonts w:ascii="Arial" w:cs="Arial" w:eastAsia="Arial" w:hAnsi="Arial"/>
          <w:color w:val="2D2D2D"/>
          <w:sz w:val="20"/>
          <w:szCs w:val="20"/>
        </w:rPr>
        <w:t xml:space="preserve">Camada 2 — Alertas Progressivos: notificações automáticas via Microsoft Teams ao empregado e ao gerente imediato quando a jornada atingir 80%, 90% e 100% do limite diário/semanal.</w:t>
      </w:r>
    </w:p>
    <w:p>
      <w:pPr>
        <w:pStyle w:val="ListParagraph"/>
        <w:numPr>
          <w:ilvl w:val="0"/>
          <w:numId w:val="2"/>
        </w:numPr>
        <w:spacing w:after="40" w:before="40"/>
      </w:pPr>
      <w:r>
        <w:rPr>
          <w:rFonts w:ascii="Arial" w:cs="Arial" w:eastAsia="Arial" w:hAnsi="Arial"/>
          <w:color w:val="2D2D2D"/>
          <w:sz w:val="20"/>
          <w:szCs w:val="20"/>
        </w:rPr>
        <w:t xml:space="preserve">Camada 3 — Hard Lockout: bloqueio automático das estações de trabalho (logout forçado do Windows/sistemas CEF) ao atingir o limite de jornada sem pré-autorização vigente.</w:t>
      </w:r>
    </w:p>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4.2 Fluxo de Pré-Autorização</w:t>
      </w:r>
    </w:p>
    <w:p>
      <w:pPr>
        <w:spacing w:after="60" w:before="60"/>
        <w:jc w:val="both"/>
      </w:pPr>
      <w:r>
        <w:rPr>
          <w:rFonts w:ascii="Arial" w:cs="Arial" w:eastAsia="Arial" w:hAnsi="Arial"/>
          <w:color w:val="2D2D2D"/>
          <w:sz w:val="20"/>
          <w:szCs w:val="20"/>
        </w:rPr>
        <w:t xml:space="preserve">Quando a operação exige trabalho além do limite, o gerente solicita antecipadamente a extensão via Power Apps. O sistema registra o motivo, o período autorizado, o número de funcionários envolvidos e gera registro auditável. O Hard Lockout é temporariamente suspenso para os empregados autorizados, e o custo estimado da extensão é calculado e exibido em tempo real antes da aprovação.</w:t>
      </w:r>
    </w:p>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4.3 Infraestrutura Existente Aproveitada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Componente</w:t>
            </w:r>
          </w:p>
        </w:tc>
        <w:tc>
          <w:tcPr>
            <w:tcW w:type="dxa" w:w="312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Disponibilidade</w:t>
            </w:r>
          </w:p>
        </w:tc>
        <w:tc>
          <w:tcPr>
            <w:tcW w:type="dxa" w:w="312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Ação Necessária</w:t>
            </w:r>
          </w:p>
        </w:tc>
      </w:tr>
      <w:tr>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Microsoft 365</w:t>
            </w:r>
          </w:p>
        </w:tc>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Já licenciado</w:t>
            </w:r>
          </w:p>
        </w:tc>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Nenhuma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Power Automate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Incluso no M365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Configuração de fluxos</w:t>
            </w:r>
          </w:p>
        </w:tc>
      </w:tr>
      <w:tr>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Power Apps</w:t>
            </w:r>
          </w:p>
        </w:tc>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Incluso no M365</w:t>
            </w:r>
          </w:p>
        </w:tc>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Desenvolvimento do 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Microsoft Teams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Implantado na CEF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Integração de notificações</w:t>
            </w:r>
          </w:p>
        </w:tc>
      </w:tr>
      <w:tr>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Active Directory</w:t>
            </w:r>
          </w:p>
        </w:tc>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Infraestrutura existente</w:t>
            </w:r>
          </w:p>
        </w:tc>
        <w:tc>
          <w:tcPr>
            <w:tcW w:type="dxa" w:w="312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Regras de bloqueio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SIG-RH / Ponto Eletrônico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Sistema CEF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API de integração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5. ROI E ANÁLISE FINANCEIRA</w:t>
            </w:r>
          </w:p>
        </w:tc>
      </w:tr>
    </w:tbl>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5.1 Projeção de Economia — Rede CEF</w:t>
      </w:r>
    </w:p>
    <w:p>
      <w:pPr>
        <w:spacing w:after="60" w:before="60"/>
        <w:jc w:val="both"/>
      </w:pPr>
      <w:r>
        <w:rPr>
          <w:rFonts w:ascii="Arial" w:cs="Arial" w:eastAsia="Arial" w:hAnsi="Arial"/>
          <w:color w:val="2D2D2D"/>
          <w:sz w:val="20"/>
          <w:szCs w:val="20"/>
        </w:rPr>
        <w:t xml:space="preserve">A projeção de economia baseia-se no dado real do episódio de Serra Talhada/PE, extrapolado de forma conservadora para a rede nacional da Caixa: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05C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Indicador</w:t>
            </w:r>
          </w:p>
        </w:tc>
        <w:tc>
          <w:tcPr>
            <w:tcW w:type="dxa" w:w="4680"/>
            <w:tcBorders>
              <w:top w:val="none" w:color="FFFFFF" w:sz="0"/>
              <w:left w:val="none" w:color="FFFFFF" w:sz="0"/>
              <w:bottom w:val="none" w:color="FFFFFF" w:sz="0"/>
              <w:right w:val="none" w:color="FFFFFF" w:sz="0"/>
            </w:tcBorders>
            <w:shd w:fill="005C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Valor / Estimativa</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Custo médio por episódio de estouro (base real)</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R$ 2.000,00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Episódios mensais estimados por agência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1</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Total de agências na rede CEF</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3.500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Custo total mensal estimado (sem controle)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R$ 7.000.000,00</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Custo total anual estimado (sem controle)</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R$ 84.000.000,00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Redução esperada com Hard Lockout (conservador)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50%</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Economia anual estimada — cenário conservador</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R$ 42.000.000,00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Custo de desenvolvimento e implantação (estimativa)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R$ 500.000,00</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Payback estimado</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&lt; 60 dias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ROI em 12 meses (conservador)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D2D2D"/>
                <w:sz w:val="20"/>
                <w:szCs w:val="20"/>
              </w:rPr>
              <w:t xml:space="preserve">8.300%</w:t>
            </w:r>
          </w:p>
        </w:tc>
      </w:tr>
    </w:tbl>
    <w:p>
      <w:pPr>
        <w:spacing w:after="60" w:before="0"/>
      </w:pPr>
      <w:r>
        <w:t xml:space="preserve"/>
      </w:r>
    </w:p>
    <w:p>
      <w:pPr>
        <w:spacing w:after="60" w:before="60"/>
        <w:jc w:val="both"/>
      </w:pPr>
      <w:r>
        <w:rPr>
          <w:rFonts w:ascii="Arial" w:cs="Arial" w:eastAsia="Arial" w:hAnsi="Arial"/>
          <w:color w:val="2D2D2D"/>
          <w:sz w:val="20"/>
          <w:szCs w:val="20"/>
        </w:rPr>
        <w:t xml:space="preserve">Nota: A projeção assume 1 episódio mensal por agência com custo médio de R$2.000,00, consistente com o dado empírico de Serra Talhada. O custo de desenvolvimento contempla recursos internos da DICIT e horas de consultoria Microsoft, sem aquisição de novas licenças.</w:t>
      </w:r>
    </w:p>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5.2 Benefícios Adicionais Não Monetizados</w:t>
      </w:r>
    </w:p>
    <w:p>
      <w:pPr>
        <w:pStyle w:val="ListParagraph"/>
        <w:numPr>
          <w:ilvl w:val="0"/>
          <w:numId w:val="2"/>
        </w:numPr>
        <w:spacing w:after="40" w:before="40"/>
      </w:pPr>
      <w:r>
        <w:rPr>
          <w:rFonts w:ascii="Arial" w:cs="Arial" w:eastAsia="Arial" w:hAnsi="Arial"/>
          <w:color w:val="2D2D2D"/>
          <w:sz w:val="20"/>
          <w:szCs w:val="20"/>
        </w:rPr>
        <w:t xml:space="preserve">Redução do passivo trabalhista latente e dos riscos de autuação fiscal.</w:t>
      </w:r>
    </w:p>
    <w:p>
      <w:pPr>
        <w:pStyle w:val="ListParagraph"/>
        <w:numPr>
          <w:ilvl w:val="0"/>
          <w:numId w:val="2"/>
        </w:numPr>
        <w:spacing w:after="40" w:before="40"/>
      </w:pPr>
      <w:r>
        <w:rPr>
          <w:rFonts w:ascii="Arial" w:cs="Arial" w:eastAsia="Arial" w:hAnsi="Arial"/>
          <w:color w:val="2D2D2D"/>
          <w:sz w:val="20"/>
          <w:szCs w:val="20"/>
        </w:rPr>
        <w:t xml:space="preserve">Melhoria do clima organizacional pelo tratamento equânime da jornada.</w:t>
      </w:r>
    </w:p>
    <w:p>
      <w:pPr>
        <w:pStyle w:val="ListParagraph"/>
        <w:numPr>
          <w:ilvl w:val="0"/>
          <w:numId w:val="2"/>
        </w:numPr>
        <w:spacing w:after="40" w:before="40"/>
      </w:pPr>
      <w:r>
        <w:rPr>
          <w:rFonts w:ascii="Arial" w:cs="Arial" w:eastAsia="Arial" w:hAnsi="Arial"/>
          <w:color w:val="2D2D2D"/>
          <w:sz w:val="20"/>
          <w:szCs w:val="20"/>
        </w:rPr>
        <w:t xml:space="preserve">Geração de dados analíticos para planejamento de quadro e escalas.</w:t>
      </w:r>
    </w:p>
    <w:p>
      <w:pPr>
        <w:pStyle w:val="ListParagraph"/>
        <w:numPr>
          <w:ilvl w:val="0"/>
          <w:numId w:val="2"/>
        </w:numPr>
        <w:spacing w:after="40" w:before="40"/>
      </w:pPr>
      <w:r>
        <w:rPr>
          <w:rFonts w:ascii="Arial" w:cs="Arial" w:eastAsia="Arial" w:hAnsi="Arial"/>
          <w:color w:val="2D2D2D"/>
          <w:sz w:val="20"/>
          <w:szCs w:val="20"/>
        </w:rPr>
        <w:t xml:space="preserve">Cumprimento proativo de exigências regulatórias do Banco Central sobre gestão de pessoas.</w:t>
      </w:r>
    </w:p>
    <w:p>
      <w:pPr>
        <w:pStyle w:val="ListParagraph"/>
        <w:numPr>
          <w:ilvl w:val="0"/>
          <w:numId w:val="2"/>
        </w:numPr>
        <w:spacing w:after="40" w:before="40"/>
      </w:pPr>
      <w:r>
        <w:rPr>
          <w:rFonts w:ascii="Arial" w:cs="Arial" w:eastAsia="Arial" w:hAnsi="Arial"/>
          <w:color w:val="2D2D2D"/>
          <w:sz w:val="20"/>
          <w:szCs w:val="20"/>
        </w:rPr>
        <w:t xml:space="preserve">Fortalecimento da imagem institucional da Caixa como empregadora responsável.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6. PLANO DE IMPLANTAÇÃO</w:t>
            </w:r>
          </w:p>
        </w:tc>
      </w:tr>
    </w:tbl>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6.1 Estratégia de Piloto</w:t>
      </w:r>
    </w:p>
    <w:p>
      <w:pPr>
        <w:spacing w:after="60" w:before="60"/>
        <w:jc w:val="both"/>
      </w:pPr>
      <w:r>
        <w:rPr>
          <w:rFonts w:ascii="Arial" w:cs="Arial" w:eastAsia="Arial" w:hAnsi="Arial"/>
          <w:color w:val="2D2D2D"/>
          <w:sz w:val="20"/>
          <w:szCs w:val="20"/>
        </w:rPr>
        <w:t xml:space="preserve">Propõe-se a implantação em modelo piloto em 5 a 8 agências selecionadas, com a Agência Serra Talhada/PE como agência-âncora por já possuir evidência documentada do problema e gestor proponente engajado. As demais agências do piloto serão selecionadas pela DICIT em conjunto com a DIPES, priorizando agências com histórico de horas extras recorrentes.</w:t>
      </w:r>
    </w:p>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6.2 Fases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4260"/>
        <w:gridCol w:w="1500"/>
      </w:tblGrid>
      <w:tr>
        <w:tc>
          <w:tcPr>
            <w:tcW w:type="dxa" w:w="150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Fase</w:t>
            </w:r>
          </w:p>
        </w:tc>
        <w:tc>
          <w:tcPr>
            <w:tcW w:type="dxa" w:w="210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Nome</w:t>
            </w:r>
          </w:p>
        </w:tc>
        <w:tc>
          <w:tcPr>
            <w:tcW w:type="dxa" w:w="426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Descrição</w:t>
            </w:r>
          </w:p>
        </w:tc>
        <w:tc>
          <w:tcPr>
            <w:tcW w:type="dxa" w:w="1500"/>
            <w:tcBorders>
              <w:top w:val="none" w:color="FFFFFF" w:sz="0"/>
              <w:left w:val="none" w:color="FFFFFF" w:sz="0"/>
              <w:bottom w:val="none" w:color="FFFFFF" w:sz="0"/>
              <w:right w:val="none" w:color="FFFFFF" w:sz="0"/>
            </w:tcBorders>
            <w:shd w:fill="005CA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Prazo</w:t>
            </w:r>
          </w:p>
        </w:tc>
      </w:tr>
      <w:tr>
        <w:tc>
          <w:tcPr>
            <w:tcW w:type="dxa" w:w="150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Fase 0</w:t>
            </w:r>
          </w:p>
        </w:tc>
        <w:tc>
          <w:tcPr>
            <w:tcW w:type="dxa" w:w="210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MVP Inicial</w:t>
            </w:r>
          </w:p>
        </w:tc>
        <w:tc>
          <w:tcPr>
            <w:tcW w:type="dxa" w:w="426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Desenvolvimento do fluxo Power Automate e notificações Teams</w:t>
            </w:r>
          </w:p>
        </w:tc>
        <w:tc>
          <w:tcPr>
            <w:tcW w:type="dxa" w:w="150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Semanas 1–4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Fase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Pré-Piloto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Configuração, treinamento e ajustes nas agências selecionadas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Semanas 5–12</w:t>
            </w:r>
          </w:p>
        </w:tc>
      </w:tr>
      <w:tr>
        <w:tc>
          <w:tcPr>
            <w:tcW w:type="dxa" w:w="150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Fase 2</w:t>
            </w:r>
          </w:p>
        </w:tc>
        <w:tc>
          <w:tcPr>
            <w:tcW w:type="dxa" w:w="210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Operação Piloto</w:t>
            </w:r>
          </w:p>
        </w:tc>
        <w:tc>
          <w:tcPr>
            <w:tcW w:type="dxa" w:w="426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Operação supervisionada com coleta de métricas e feedbacks</w:t>
            </w:r>
          </w:p>
        </w:tc>
        <w:tc>
          <w:tcPr>
            <w:tcW w:type="dxa" w:w="1500"/>
            <w:tcBorders>
              <w:top w:val="single" w:color="CCCCCC" w:sz="1"/>
              <w:left w:val="single" w:color="CCCCCC" w:sz="1"/>
              <w:bottom w:val="single" w:color="CCCCCC" w:sz="1"/>
              <w:right w:val="single" w:color="CCCCCC" w:sz="1"/>
            </w:tcBorders>
            <w:shd w:fill="E8F1F9" w:val="clear"/>
            <w:tcMar>
              <w:top w:type="dxa" w:w="80"/>
              <w:left w:type="dxa" w:w="120"/>
              <w:bottom w:type="dxa" w:w="80"/>
              <w:right w:type="dxa" w:w="120"/>
            </w:tcMar>
          </w:tcPr>
          <w:p>
            <w:r>
              <w:rPr>
                <w:rFonts w:ascii="Arial" w:cs="Arial" w:eastAsia="Arial" w:hAnsi="Arial"/>
                <w:color w:val="2D2D2D"/>
                <w:sz w:val="18"/>
                <w:szCs w:val="18"/>
              </w:rPr>
              <w:t xml:space="preserve">Semanas 13–20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Fase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Avaliação e Escala</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Análise de resultados, ajustes finais e plano de expansão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Semanas 21–24</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CA9"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7. GOVERNANÇA, RISCOS E PRÓXIMOS PASSOS</w:t>
            </w:r>
          </w:p>
        </w:tc>
      </w:tr>
    </w:tbl>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7.1 Estrutura de Governança</w:t>
      </w:r>
    </w:p>
    <w:p>
      <w:pPr>
        <w:pStyle w:val="ListParagraph"/>
        <w:numPr>
          <w:ilvl w:val="0"/>
          <w:numId w:val="2"/>
        </w:numPr>
        <w:spacing w:after="40" w:before="40"/>
      </w:pPr>
      <w:r>
        <w:rPr>
          <w:rFonts w:ascii="Arial" w:cs="Arial" w:eastAsia="Arial" w:hAnsi="Arial"/>
          <w:color w:val="2D2D2D"/>
          <w:sz w:val="20"/>
          <w:szCs w:val="20"/>
        </w:rPr>
        <w:t xml:space="preserve">Patrocinador Executivo: Diretoria de Gestão de Pessoas (DIPES).</w:t>
      </w:r>
    </w:p>
    <w:p>
      <w:pPr>
        <w:pStyle w:val="ListParagraph"/>
        <w:numPr>
          <w:ilvl w:val="0"/>
          <w:numId w:val="2"/>
        </w:numPr>
        <w:spacing w:after="40" w:before="40"/>
      </w:pPr>
      <w:r>
        <w:rPr>
          <w:rFonts w:ascii="Arial" w:cs="Arial" w:eastAsia="Arial" w:hAnsi="Arial"/>
          <w:color w:val="2D2D2D"/>
          <w:sz w:val="20"/>
          <w:szCs w:val="20"/>
        </w:rPr>
        <w:t xml:space="preserve">Gerência Técnica: Departamento de Infraestrutura e Comunicações (DICIT).</w:t>
      </w:r>
    </w:p>
    <w:p>
      <w:pPr>
        <w:pStyle w:val="ListParagraph"/>
        <w:numPr>
          <w:ilvl w:val="0"/>
          <w:numId w:val="2"/>
        </w:numPr>
        <w:spacing w:after="40" w:before="40"/>
      </w:pPr>
      <w:r>
        <w:rPr>
          <w:rFonts w:ascii="Arial" w:cs="Arial" w:eastAsia="Arial" w:hAnsi="Arial"/>
          <w:color w:val="2D2D2D"/>
          <w:sz w:val="20"/>
          <w:szCs w:val="20"/>
        </w:rPr>
        <w:t xml:space="preserve">Gerência Operacional do Piloto: Egnaldo Dias da Silva — Gerente Geral CEF Serra Talhada/PE.</w:t>
      </w:r>
    </w:p>
    <w:p>
      <w:pPr>
        <w:pStyle w:val="ListParagraph"/>
        <w:numPr>
          <w:ilvl w:val="0"/>
          <w:numId w:val="2"/>
        </w:numPr>
        <w:spacing w:after="40" w:before="40"/>
      </w:pPr>
      <w:r>
        <w:rPr>
          <w:rFonts w:ascii="Arial" w:cs="Arial" w:eastAsia="Arial" w:hAnsi="Arial"/>
          <w:color w:val="2D2D2D"/>
          <w:sz w:val="20"/>
          <w:szCs w:val="20"/>
        </w:rPr>
        <w:t xml:space="preserve">Comitê de Acompanhamento: representantes das superintendências regionais participantes do piloto.</w:t>
      </w:r>
    </w:p>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7.2 Principais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05C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Risco</w:t>
            </w:r>
          </w:p>
        </w:tc>
        <w:tc>
          <w:tcPr>
            <w:tcW w:type="dxa" w:w="4680"/>
            <w:tcBorders>
              <w:top w:val="none" w:color="FFFFFF" w:sz="0"/>
              <w:left w:val="none" w:color="FFFFFF" w:sz="0"/>
              <w:bottom w:val="none" w:color="FFFFFF" w:sz="0"/>
              <w:right w:val="none" w:color="FFFFFF" w:sz="0"/>
            </w:tcBorders>
            <w:shd w:fill="005C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Mitigação</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Resistência dos empregados ao bloqueio</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val="false"/>
                <w:bCs w:val="false"/>
                <w:color w:val="2D2D2D"/>
                <w:sz w:val="20"/>
                <w:szCs w:val="20"/>
              </w:rPr>
              <w:t xml:space="preserve">Comunicação prévia e campanha de conscientização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Falhas de integração com SIG-RH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2D2D2D"/>
                <w:sz w:val="20"/>
                <w:szCs w:val="20"/>
              </w:rPr>
              <w:t xml:space="preserve">Ambiente de homologação e testes extensivos na Fase 0</w:t>
            </w:r>
          </w:p>
        </w:tc>
      </w:tr>
      <w:tr>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bCs/>
                <w:color w:val="2D2D2D"/>
                <w:sz w:val="20"/>
                <w:szCs w:val="20"/>
              </w:rPr>
              <w:t xml:space="preserve">Situações emergenciais sem pré-autorização</w:t>
            </w:r>
          </w:p>
        </w:tc>
        <w:tc>
          <w:tcPr>
            <w:tcW w:type="dxa" w:w="4680"/>
            <w:tcBorders>
              <w:top w:val="single" w:color="CCCCCC" w:sz="1"/>
              <w:left w:val="single" w:color="CCCCCC" w:sz="1"/>
              <w:bottom w:val="single" w:color="CCCCCC" w:sz="1"/>
              <w:right w:val="single" w:color="CCCCCC" w:sz="1"/>
            </w:tcBorders>
            <w:shd w:fill="E8F1F9" w:val="clear"/>
            <w:tcMar>
              <w:top w:type="dxa" w:w="80"/>
              <w:left w:type="dxa" w:w="160"/>
              <w:bottom w:type="dxa" w:w="80"/>
              <w:right w:type="dxa" w:w="160"/>
            </w:tcMar>
          </w:tcPr>
          <w:p>
            <w:pPr>
              <w:jc w:val="left"/>
            </w:pPr>
            <w:r>
              <w:rPr>
                <w:rFonts w:ascii="Arial" w:cs="Arial" w:eastAsia="Arial" w:hAnsi="Arial"/>
                <w:b w:val="false"/>
                <w:bCs w:val="false"/>
                <w:color w:val="2D2D2D"/>
                <w:sz w:val="20"/>
                <w:szCs w:val="20"/>
              </w:rPr>
              <w:t xml:space="preserve">Canal de desbloqueio de emergência com registro auditável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bCs/>
                <w:color w:val="2D2D2D"/>
                <w:sz w:val="20"/>
                <w:szCs w:val="20"/>
              </w:rPr>
              <w:t xml:space="preserve">Negociação sindical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2D2D2D"/>
                <w:sz w:val="20"/>
                <w:szCs w:val="20"/>
              </w:rPr>
              <w:t xml:space="preserve">Apresentação antecipada ao sindicato como medida protetora</w:t>
            </w:r>
          </w:p>
        </w:tc>
      </w:tr>
    </w:tbl>
    <w:p>
      <w:pPr>
        <w:spacing w:after="60" w:before="0"/>
      </w:pPr>
      <w:r>
        <w:t xml:space="preserve"/>
      </w:r>
    </w:p>
    <w:p>
      <w:pPr>
        <w:pBdr>
          <w:bottom w:val="single" w:color="F47920" w:sz="4" w:space="2"/>
        </w:pBdr>
        <w:spacing w:after="100" w:before="280"/>
      </w:pPr>
      <w:r>
        <w:rPr>
          <w:rFonts w:ascii="Arial" w:cs="Arial" w:eastAsia="Arial" w:hAnsi="Arial"/>
          <w:b/>
          <w:bCs/>
          <w:color w:val="005CA9"/>
          <w:sz w:val="26"/>
          <w:szCs w:val="26"/>
        </w:rPr>
        <w:t xml:space="preserve">7.3 Próximos Passos Solicitados</w:t>
      </w:r>
    </w:p>
    <w:p>
      <w:pPr>
        <w:pStyle w:val="ListParagraph"/>
        <w:numPr>
          <w:ilvl w:val="0"/>
          <w:numId w:val="2"/>
        </w:numPr>
        <w:spacing w:after="40" w:before="40"/>
      </w:pPr>
      <w:r>
        <w:rPr>
          <w:rFonts w:ascii="Arial" w:cs="Arial" w:eastAsia="Arial" w:hAnsi="Arial"/>
          <w:color w:val="2D2D2D"/>
          <w:sz w:val="20"/>
          <w:szCs w:val="20"/>
        </w:rPr>
        <w:t xml:space="preserve">Aprovação desta proposta pela DIPES e DICIT.</w:t>
      </w:r>
    </w:p>
    <w:p>
      <w:pPr>
        <w:pStyle w:val="ListParagraph"/>
        <w:numPr>
          <w:ilvl w:val="0"/>
          <w:numId w:val="2"/>
        </w:numPr>
        <w:spacing w:after="40" w:before="40"/>
      </w:pPr>
      <w:r>
        <w:rPr>
          <w:rFonts w:ascii="Arial" w:cs="Arial" w:eastAsia="Arial" w:hAnsi="Arial"/>
          <w:color w:val="2D2D2D"/>
          <w:sz w:val="20"/>
          <w:szCs w:val="20"/>
        </w:rPr>
        <w:t xml:space="preserve">Alocação de equipe técnica para desenvolvimento do MVP em Power Automate (Fase 0 — 4 semanas).</w:t>
      </w:r>
    </w:p>
    <w:p>
      <w:pPr>
        <w:pStyle w:val="ListParagraph"/>
        <w:numPr>
          <w:ilvl w:val="0"/>
          <w:numId w:val="2"/>
        </w:numPr>
        <w:spacing w:after="40" w:before="40"/>
      </w:pPr>
      <w:r>
        <w:rPr>
          <w:rFonts w:ascii="Arial" w:cs="Arial" w:eastAsia="Arial" w:hAnsi="Arial"/>
          <w:color w:val="2D2D2D"/>
          <w:sz w:val="20"/>
          <w:szCs w:val="20"/>
        </w:rPr>
        <w:t xml:space="preserve">Seleção das 5 a 8 agências participantes do piloto.</w:t>
      </w:r>
    </w:p>
    <w:p>
      <w:pPr>
        <w:pStyle w:val="ListParagraph"/>
        <w:numPr>
          <w:ilvl w:val="0"/>
          <w:numId w:val="2"/>
        </w:numPr>
        <w:spacing w:after="40" w:before="40"/>
      </w:pPr>
      <w:r>
        <w:rPr>
          <w:rFonts w:ascii="Arial" w:cs="Arial" w:eastAsia="Arial" w:hAnsi="Arial"/>
          <w:color w:val="2D2D2D"/>
          <w:sz w:val="20"/>
          <w:szCs w:val="20"/>
        </w:rPr>
        <w:t xml:space="preserve">Reunião de kick-off com as gerências das agências selecionadas.</w:t>
      </w:r>
    </w:p>
    <w:p>
      <w:pPr>
        <w:pStyle w:val="ListParagraph"/>
        <w:numPr>
          <w:ilvl w:val="0"/>
          <w:numId w:val="2"/>
        </w:numPr>
        <w:spacing w:after="40" w:before="40"/>
      </w:pPr>
      <w:r>
        <w:rPr>
          <w:rFonts w:ascii="Arial" w:cs="Arial" w:eastAsia="Arial" w:hAnsi="Arial"/>
          <w:color w:val="2D2D2D"/>
          <w:sz w:val="20"/>
          <w:szCs w:val="20"/>
        </w:rPr>
        <w:t xml:space="preserve">Apresentação ao sindicato dos bancários para alinhamento e apoio.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9" w:val="clear"/>
            <w:tcMar>
              <w:top w:type="dxa" w:w="200"/>
              <w:left w:type="dxa" w:w="300"/>
              <w:bottom w:type="dxa" w:w="200"/>
              <w:right w:type="dxa" w:w="300"/>
            </w:tcMar>
          </w:tcPr>
          <w:p>
            <w:pPr>
              <w:spacing w:after="120" w:before="0"/>
            </w:pPr>
            <w:r>
              <w:rPr>
                <w:rFonts w:ascii="Arial" w:cs="Arial" w:eastAsia="Arial" w:hAnsi="Arial"/>
                <w:b/>
                <w:bCs/>
                <w:color w:val="005CA9"/>
                <w:sz w:val="24"/>
                <w:szCs w:val="24"/>
              </w:rPr>
              <w:t xml:space="preserve">CONCLUSÃO</w:t>
            </w:r>
          </w:p>
          <w:p>
            <w:pPr>
              <w:spacing w:after="120" w:before="0"/>
              <w:jc w:val="both"/>
            </w:pPr>
            <w:r>
              <w:rPr>
                <w:rFonts w:ascii="Arial" w:cs="Arial" w:eastAsia="Arial" w:hAnsi="Arial"/>
                <w:color w:val="2D2D2D"/>
                <w:sz w:val="20"/>
                <w:szCs w:val="20"/>
              </w:rPr>
              <w:t xml:space="preserve">A Gestão Proativa de Jornada Digital representa uma oportunidade única de eliminar um passivo recorrente e evitável, com ROI documentado, infraestrutura já disponível e modelo de referência implementado com sucesso no principal concorrente direto da Caixa. A Agência Serra Talhada/PE, com sua evidência empírica de R$2.000 de custo evitável e seu gestor comprometido com a inovação, está pronta para ser a agência-âncora que demonstrará para toda a rede que é possível fazer mais com o que já temos.</w:t>
            </w:r>
          </w:p>
          <w:p>
            <w:pPr>
              <w:spacing w:after="40" w:before="0"/>
            </w:pPr>
            <w:r>
              <w:rPr>
                <w:rFonts w:ascii="Arial" w:cs="Arial" w:eastAsia="Arial" w:hAnsi="Arial"/>
                <w:b/>
                <w:bCs/>
                <w:color w:val="005CA9"/>
                <w:sz w:val="20"/>
                <w:szCs w:val="20"/>
              </w:rPr>
              <w:t xml:space="preserve">Egnaldo Dias da Silva</w:t>
            </w:r>
          </w:p>
          <w:p>
            <w:pPr>
              <w:spacing w:after="0" w:before="0"/>
            </w:pPr>
            <w:r>
              <w:rPr>
                <w:rFonts w:ascii="Arial" w:cs="Arial" w:eastAsia="Arial" w:hAnsi="Arial"/>
                <w:color w:val="555555"/>
                <w:sz w:val="18"/>
                <w:szCs w:val="18"/>
              </w:rPr>
              <w:t xml:space="preserve">Gerente Geral — Caixa Econômica Federal — Agência Serra Talhada/PE | Março de 2026</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7920" w:sz="4" w:space="2"/>
      </w:pBdr>
      <w:spacing w:after="40" w:before="0"/>
    </w:pPr>
  </w:p>
  <w:p>
    <w:pPr>
      <w:tabs>
        <w:tab w:val="right" w:pos="9360"/>
      </w:tabs>
    </w:pPr>
    <w:r>
      <w:rPr>
        <w:rFonts w:ascii="Arial" w:cs="Arial" w:eastAsia="Arial" w:hAnsi="Arial"/>
        <w:color w:val="555555"/>
        <w:sz w:val="16"/>
        <w:szCs w:val="16"/>
      </w:rPr>
      <w:t xml:space="preserve">Egnaldo Dias da Silva — Gerente Geral — CEF Serra Talhada/PE</w:t>
    </w:r>
    <w:r>
      <w:rPr>
        <w:rFonts w:ascii="Arial" w:cs="Arial" w:eastAsia="Arial" w:hAnsi="Arial"/>
        <w:sz w:val="16"/>
        <w:szCs w:val="16"/>
      </w:rPr>
      <w:t xml:space="preserve">	</w:t>
    </w:r>
    <w:r>
      <w:rPr>
        <w:rFonts w:ascii="Arial" w:cs="Arial" w:eastAsia="Arial" w:hAnsi="Arial"/>
        <w:color w:val="555555"/>
        <w:sz w:val="16"/>
        <w:szCs w:val="16"/>
      </w:rPr>
      <w:t xml:space="preserve">Pág. </w:t>
    </w:r>
    <w:r>
      <w:rPr>
        <w:rFonts w:ascii="Arial" w:cs="Arial" w:eastAsia="Arial" w:hAnsi="Arial"/>
        <w:b/>
        <w:bCs/>
        <w:color w:val="005CA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W w:type="dxa" w:w="6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20" w:before="0"/>
          </w:pPr>
          <w:r>
            <w:rPr>
              <w:rFonts w:ascii="Arial" w:cs="Arial" w:eastAsia="Arial" w:hAnsi="Arial"/>
              <w:b/>
              <w:bCs/>
              <w:color w:val="005CA9"/>
              <w:sz w:val="18"/>
              <w:szCs w:val="18"/>
            </w:rPr>
            <w:t xml:space="preserve">CAIXA ECONÔMICA FEDERAL</w:t>
          </w:r>
        </w:p>
        <w:p>
          <w:pPr>
            <w:spacing w:after="0" w:before="0"/>
          </w:pPr>
          <w:r>
            <w:rPr>
              <w:rFonts w:ascii="Arial" w:cs="Arial" w:eastAsia="Arial" w:hAnsi="Arial"/>
              <w:i/>
              <w:iCs/>
              <w:color w:val="555555"/>
              <w:sz w:val="16"/>
              <w:szCs w:val="16"/>
            </w:rPr>
            <w:t xml:space="preserve">Gestão Proativa de Jornada Digital</w:t>
          </w:r>
        </w:p>
      </w:tc>
      <w:tc>
        <w:tcPr>
          <w:tcW w:type="dxa" w:w="2960"/>
          <w:tcBorders>
            <w:top w:val="none" w:color="FFFFFF" w:sz="0"/>
            <w:left w:val="none" w:color="FFFFFF" w:sz="0"/>
            <w:bottom w:val="none" w:color="FFFFFF" w:sz="0"/>
            <w:right w:val="none" w:color="FFFFFF" w:sz="0"/>
          </w:tcBorders>
          <w:tcMar>
            <w:top w:type="dxa" w:w="0"/>
            <w:left w:type="dxa" w:w="200"/>
            <w:bottom w:type="dxa" w:w="0"/>
            <w:right w:type="dxa" w:w="0"/>
          </w:tcMar>
          <w:vAlign w:val="center"/>
        </w:tcPr>
        <w:p>
          <w:pPr>
            <w:spacing w:after="0" w:before="0"/>
            <w:jc w:val="right"/>
          </w:pPr>
          <w:r>
            <w:rPr>
              <w:rFonts w:ascii="Arial" w:cs="Arial" w:eastAsia="Arial" w:hAnsi="Arial"/>
              <w:b/>
              <w:bCs/>
              <w:color w:val="F47920"/>
              <w:sz w:val="16"/>
              <w:szCs w:val="16"/>
            </w:rPr>
            <w:t xml:space="preserve">Proposta de Inovação Interna</w:t>
          </w:r>
        </w:p>
      </w:tc>
    </w:tr>
  </w:tbl>
  <w:p>
    <w:pPr>
      <w:pBdr>
        <w:bottom w:val="single" w:color="005CA9" w:sz="8"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F4792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2026-03-17T22:03:11.865Z</dcterms:created>
  <dcterms:modified xsi:type="dcterms:W3CDTF">2026-03-17T22:03:11.866Z</dcterms:modified>
</cp:coreProperties>
</file>

<file path=docProps/custom.xml><?xml version="1.0" encoding="utf-8"?>
<Properties xmlns="http://schemas.openxmlformats.org/officeDocument/2006/custom-properties" xmlns:vt="http://schemas.openxmlformats.org/officeDocument/2006/docPropsVTypes"/>
</file>